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北碚区20</w:t>
      </w:r>
      <w:r>
        <w:rPr>
          <w:rFonts w:ascii="黑体" w:hAnsi="黑体" w:eastAsia="黑体" w:cs="仿宋_GB2312"/>
          <w:b/>
          <w:sz w:val="36"/>
          <w:szCs w:val="36"/>
        </w:rPr>
        <w:t>19</w:t>
      </w:r>
      <w:r>
        <w:rPr>
          <w:rFonts w:hint="eastAsia" w:ascii="黑体" w:hAnsi="黑体" w:eastAsia="黑体" w:cs="仿宋_GB2312"/>
          <w:b/>
          <w:sz w:val="36"/>
          <w:szCs w:val="36"/>
        </w:rPr>
        <w:t>年度</w:t>
      </w: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市政道路清扫保洁项目绩效评价报告</w:t>
      </w:r>
    </w:p>
    <w:p>
      <w:pPr>
        <w:pStyle w:val="19"/>
        <w:snapToGrid w:val="0"/>
        <w:spacing w:line="30" w:lineRule="atLeast"/>
        <w:jc w:val="center"/>
        <w:rPr>
          <w:rFonts w:ascii="黑体" w:hAnsi="黑体" w:eastAsia="黑体" w:cs="仿宋_GB2312"/>
          <w:sz w:val="21"/>
          <w:szCs w:val="21"/>
        </w:rPr>
      </w:pPr>
      <w:r>
        <w:rPr>
          <w:rFonts w:hint="eastAsia" w:ascii="黑体" w:hAnsi="黑体" w:eastAsia="黑体" w:cs="仿宋_GB2312"/>
          <w:sz w:val="21"/>
          <w:szCs w:val="21"/>
        </w:rPr>
        <w:t>天健渝咨〔2020〕 153 号</w:t>
      </w:r>
    </w:p>
    <w:p>
      <w:pPr>
        <w:snapToGrid w:val="0"/>
        <w:spacing w:line="30" w:lineRule="atLeast"/>
        <w:rPr>
          <w:rFonts w:cs="仿宋_GB2312"/>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pStyle w:val="19"/>
        <w:snapToGrid w:val="0"/>
        <w:spacing w:line="360" w:lineRule="auto"/>
        <w:jc w:val="center"/>
        <w:rPr>
          <w:rFonts w:ascii="宋体" w:hAnsi="宋体" w:eastAsia="宋体" w:cs="仿宋_GB2312"/>
          <w:b/>
          <w:bCs/>
          <w:szCs w:val="24"/>
        </w:rPr>
      </w:pPr>
      <w:r>
        <w:rPr>
          <w:rFonts w:hint="eastAsia" w:ascii="宋体" w:hAnsi="宋体" w:eastAsia="宋体" w:cs="仿宋_GB2312"/>
          <w:b/>
          <w:bCs/>
          <w:szCs w:val="24"/>
        </w:rPr>
        <w:t>编制单位：天健会计师事务所（特殊普通合伙）重庆分所</w:t>
      </w:r>
    </w:p>
    <w:p>
      <w:pPr>
        <w:ind w:firstLine="2988" w:firstLineChars="1240"/>
        <w:rPr>
          <w:rFonts w:ascii="宋体" w:hAnsi="宋体" w:eastAsia="宋体" w:cs="仿宋_GB2312"/>
          <w:b/>
          <w:bCs/>
          <w:sz w:val="24"/>
        </w:rPr>
      </w:pPr>
      <w:r>
        <w:rPr>
          <w:rFonts w:hint="eastAsia" w:ascii="宋体" w:hAnsi="宋体" w:eastAsia="宋体" w:cs="仿宋_GB2312"/>
          <w:b/>
          <w:bCs/>
          <w:sz w:val="24"/>
        </w:rPr>
        <w:t>二〇二〇年七月</w:t>
      </w:r>
    </w:p>
    <w:p/>
    <w:p>
      <w:pPr>
        <w:pStyle w:val="9"/>
        <w:tabs>
          <w:tab w:val="right" w:leader="hyphen" w:pos="8306"/>
        </w:tabs>
        <w:jc w:val="center"/>
        <w:rPr>
          <w:rFonts w:cs="仿宋_GB2312"/>
          <w:b/>
          <w:sz w:val="36"/>
          <w:szCs w:val="36"/>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425" w:num="1"/>
          <w:titlePg/>
          <w:docGrid w:type="lines" w:linePitch="408" w:charSpace="0"/>
        </w:sectPr>
      </w:pPr>
    </w:p>
    <w:p>
      <w:pPr>
        <w:pStyle w:val="9"/>
        <w:tabs>
          <w:tab w:val="right" w:leader="hyphen" w:pos="8306"/>
        </w:tabs>
        <w:jc w:val="center"/>
        <w:rPr>
          <w:rFonts w:cs="仿宋_GB2312"/>
          <w:b/>
          <w:sz w:val="36"/>
          <w:szCs w:val="36"/>
        </w:rPr>
      </w:pPr>
      <w:r>
        <w:rPr>
          <w:rFonts w:hint="eastAsia" w:cs="仿宋_GB2312"/>
          <w:b/>
          <w:sz w:val="36"/>
          <w:szCs w:val="36"/>
        </w:rPr>
        <w:t>目   录</w:t>
      </w:r>
    </w:p>
    <w:p>
      <w:pPr>
        <w:pStyle w:val="9"/>
        <w:tabs>
          <w:tab w:val="right" w:leader="dot" w:pos="8302"/>
        </w:tabs>
        <w:rPr>
          <w:rFonts w:asciiTheme="minorHAnsi" w:hAnsiTheme="minorHAnsi" w:eastAsiaTheme="minorEastAsia" w:cstheme="minorBidi"/>
          <w:sz w:val="28"/>
          <w:szCs w:val="2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fldChar w:fldCharType="begin"/>
      </w:r>
      <w:r>
        <w:instrText xml:space="preserve"> HYPERLINK \l "_Toc49241460" </w:instrText>
      </w:r>
      <w:r>
        <w:fldChar w:fldCharType="separate"/>
      </w:r>
      <w:r>
        <w:rPr>
          <w:rStyle w:val="15"/>
          <w:rFonts w:hint="eastAsia" w:ascii="黑体" w:hAnsi="黑体" w:eastAsia="黑体"/>
          <w:bCs/>
          <w:sz w:val="28"/>
          <w:szCs w:val="28"/>
        </w:rPr>
        <w:t>一、基本情况</w:t>
      </w:r>
      <w:r>
        <w:rPr>
          <w:sz w:val="28"/>
          <w:szCs w:val="28"/>
        </w:rPr>
        <w:tab/>
      </w:r>
      <w:r>
        <w:rPr>
          <w:sz w:val="28"/>
          <w:szCs w:val="28"/>
        </w:rPr>
        <w:fldChar w:fldCharType="begin"/>
      </w:r>
      <w:r>
        <w:rPr>
          <w:sz w:val="28"/>
          <w:szCs w:val="28"/>
        </w:rPr>
        <w:instrText xml:space="preserve"> PAGEREF _Toc49241460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"_Toc49241461" </w:instrText>
      </w:r>
      <w:r>
        <w:fldChar w:fldCharType="separate"/>
      </w:r>
      <w:r>
        <w:rPr>
          <w:rStyle w:val="15"/>
          <w:rFonts w:hint="eastAsia"/>
          <w:bCs/>
          <w:sz w:val="28"/>
          <w:szCs w:val="28"/>
        </w:rPr>
        <w:t>（一）项目概况</w:t>
      </w:r>
      <w:r>
        <w:rPr>
          <w:sz w:val="28"/>
          <w:szCs w:val="28"/>
        </w:rPr>
        <w:tab/>
      </w:r>
      <w:r>
        <w:rPr>
          <w:sz w:val="28"/>
          <w:szCs w:val="28"/>
        </w:rPr>
        <w:fldChar w:fldCharType="begin"/>
      </w:r>
      <w:r>
        <w:rPr>
          <w:sz w:val="28"/>
          <w:szCs w:val="28"/>
        </w:rPr>
        <w:instrText xml:space="preserve"> PAGEREF _Toc49241461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"_Toc49241462" </w:instrText>
      </w:r>
      <w:r>
        <w:fldChar w:fldCharType="separate"/>
      </w:r>
      <w:r>
        <w:rPr>
          <w:rStyle w:val="15"/>
          <w:bCs/>
          <w:sz w:val="28"/>
          <w:szCs w:val="28"/>
        </w:rPr>
        <w:t>1</w:t>
      </w:r>
      <w:r>
        <w:rPr>
          <w:rStyle w:val="15"/>
          <w:rFonts w:hint="eastAsia"/>
          <w:bCs/>
          <w:sz w:val="28"/>
          <w:szCs w:val="28"/>
        </w:rPr>
        <w:t>．项目背景</w:t>
      </w:r>
      <w:r>
        <w:rPr>
          <w:sz w:val="28"/>
          <w:szCs w:val="28"/>
        </w:rPr>
        <w:tab/>
      </w:r>
      <w:r>
        <w:rPr>
          <w:sz w:val="28"/>
          <w:szCs w:val="28"/>
        </w:rPr>
        <w:fldChar w:fldCharType="begin"/>
      </w:r>
      <w:r>
        <w:rPr>
          <w:sz w:val="28"/>
          <w:szCs w:val="28"/>
        </w:rPr>
        <w:instrText xml:space="preserve"> PAGEREF _Toc49241462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"_Toc49241463" </w:instrText>
      </w:r>
      <w:r>
        <w:fldChar w:fldCharType="separate"/>
      </w:r>
      <w:r>
        <w:rPr>
          <w:rStyle w:val="15"/>
          <w:bCs/>
          <w:sz w:val="28"/>
          <w:szCs w:val="28"/>
        </w:rPr>
        <w:t>2</w:t>
      </w:r>
      <w:r>
        <w:rPr>
          <w:rStyle w:val="15"/>
          <w:rFonts w:hint="eastAsia"/>
          <w:bCs/>
          <w:sz w:val="28"/>
          <w:szCs w:val="28"/>
        </w:rPr>
        <w:t>．项目内容</w:t>
      </w:r>
      <w:r>
        <w:rPr>
          <w:sz w:val="28"/>
          <w:szCs w:val="28"/>
        </w:rPr>
        <w:tab/>
      </w:r>
      <w:r>
        <w:rPr>
          <w:sz w:val="28"/>
          <w:szCs w:val="28"/>
        </w:rPr>
        <w:fldChar w:fldCharType="begin"/>
      </w:r>
      <w:r>
        <w:rPr>
          <w:sz w:val="28"/>
          <w:szCs w:val="28"/>
        </w:rPr>
        <w:instrText xml:space="preserve"> PAGEREF _Toc49241463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"_Toc49241464" </w:instrText>
      </w:r>
      <w:r>
        <w:fldChar w:fldCharType="separate"/>
      </w:r>
      <w:r>
        <w:rPr>
          <w:rStyle w:val="15"/>
          <w:sz w:val="28"/>
          <w:szCs w:val="28"/>
        </w:rPr>
        <w:t>3</w:t>
      </w:r>
      <w:r>
        <w:rPr>
          <w:rStyle w:val="15"/>
          <w:rFonts w:hint="eastAsia"/>
          <w:sz w:val="28"/>
          <w:szCs w:val="28"/>
        </w:rPr>
        <w:t>．项目实施情况</w:t>
      </w:r>
      <w:r>
        <w:rPr>
          <w:sz w:val="28"/>
          <w:szCs w:val="28"/>
        </w:rPr>
        <w:tab/>
      </w:r>
      <w:r>
        <w:rPr>
          <w:sz w:val="28"/>
          <w:szCs w:val="28"/>
        </w:rPr>
        <w:fldChar w:fldCharType="begin"/>
      </w:r>
      <w:r>
        <w:rPr>
          <w:sz w:val="28"/>
          <w:szCs w:val="28"/>
        </w:rPr>
        <w:instrText xml:space="preserve"> PAGEREF _Toc49241464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"_Toc49241465" </w:instrText>
      </w:r>
      <w:r>
        <w:fldChar w:fldCharType="separate"/>
      </w:r>
      <w:r>
        <w:rPr>
          <w:rStyle w:val="15"/>
          <w:bCs/>
          <w:sz w:val="28"/>
          <w:szCs w:val="28"/>
        </w:rPr>
        <w:t>4</w:t>
      </w:r>
      <w:r>
        <w:rPr>
          <w:rStyle w:val="15"/>
          <w:rFonts w:hint="eastAsia"/>
          <w:bCs/>
          <w:sz w:val="28"/>
          <w:szCs w:val="28"/>
        </w:rPr>
        <w:t>．资金投入及使用情况</w:t>
      </w:r>
      <w:r>
        <w:rPr>
          <w:sz w:val="28"/>
          <w:szCs w:val="28"/>
        </w:rPr>
        <w:tab/>
      </w:r>
      <w:r>
        <w:rPr>
          <w:sz w:val="28"/>
          <w:szCs w:val="28"/>
        </w:rPr>
        <w:fldChar w:fldCharType="begin"/>
      </w:r>
      <w:r>
        <w:rPr>
          <w:sz w:val="28"/>
          <w:szCs w:val="28"/>
        </w:rPr>
        <w:instrText xml:space="preserve"> PAGEREF _Toc49241465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"_Toc49241466" </w:instrText>
      </w:r>
      <w:r>
        <w:fldChar w:fldCharType="separate"/>
      </w:r>
      <w:r>
        <w:rPr>
          <w:rStyle w:val="15"/>
          <w:rFonts w:hint="eastAsia"/>
          <w:bCs/>
          <w:sz w:val="28"/>
          <w:szCs w:val="28"/>
        </w:rPr>
        <w:t>（二）项目绩效目标</w:t>
      </w:r>
      <w:r>
        <w:rPr>
          <w:sz w:val="28"/>
          <w:szCs w:val="28"/>
        </w:rPr>
        <w:tab/>
      </w:r>
      <w:r>
        <w:rPr>
          <w:sz w:val="28"/>
          <w:szCs w:val="28"/>
        </w:rPr>
        <w:fldChar w:fldCharType="begin"/>
      </w:r>
      <w:r>
        <w:rPr>
          <w:sz w:val="28"/>
          <w:szCs w:val="28"/>
        </w:rPr>
        <w:instrText xml:space="preserve"> PAGEREF _Toc49241466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"_Toc49241467" </w:instrText>
      </w:r>
      <w:r>
        <w:fldChar w:fldCharType="separate"/>
      </w:r>
      <w:r>
        <w:rPr>
          <w:rStyle w:val="15"/>
          <w:bCs/>
          <w:sz w:val="28"/>
          <w:szCs w:val="28"/>
        </w:rPr>
        <w:t>1</w:t>
      </w:r>
      <w:r>
        <w:rPr>
          <w:rStyle w:val="15"/>
          <w:rFonts w:hint="eastAsia"/>
          <w:bCs/>
          <w:sz w:val="28"/>
          <w:szCs w:val="28"/>
        </w:rPr>
        <w:t>．总体目标</w:t>
      </w:r>
      <w:r>
        <w:rPr>
          <w:sz w:val="28"/>
          <w:szCs w:val="28"/>
        </w:rPr>
        <w:tab/>
      </w:r>
      <w:r>
        <w:rPr>
          <w:sz w:val="28"/>
          <w:szCs w:val="28"/>
        </w:rPr>
        <w:fldChar w:fldCharType="begin"/>
      </w:r>
      <w:r>
        <w:rPr>
          <w:sz w:val="28"/>
          <w:szCs w:val="28"/>
        </w:rPr>
        <w:instrText xml:space="preserve"> PAGEREF _Toc49241467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"_Toc49241468" </w:instrText>
      </w:r>
      <w:r>
        <w:fldChar w:fldCharType="separate"/>
      </w:r>
      <w:r>
        <w:rPr>
          <w:rStyle w:val="15"/>
          <w:bCs/>
          <w:sz w:val="28"/>
          <w:szCs w:val="28"/>
        </w:rPr>
        <w:t>2</w:t>
      </w:r>
      <w:r>
        <w:rPr>
          <w:rStyle w:val="15"/>
          <w:rFonts w:hint="eastAsia"/>
          <w:bCs/>
          <w:sz w:val="28"/>
          <w:szCs w:val="28"/>
        </w:rPr>
        <w:t>．阶段性目标</w:t>
      </w:r>
      <w:r>
        <w:rPr>
          <w:sz w:val="28"/>
          <w:szCs w:val="28"/>
        </w:rPr>
        <w:tab/>
      </w:r>
      <w:r>
        <w:rPr>
          <w:sz w:val="28"/>
          <w:szCs w:val="28"/>
        </w:rPr>
        <w:fldChar w:fldCharType="begin"/>
      </w:r>
      <w:r>
        <w:rPr>
          <w:sz w:val="28"/>
          <w:szCs w:val="28"/>
        </w:rPr>
        <w:instrText xml:space="preserve"> PAGEREF _Toc49241468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"_Toc49241469" </w:instrText>
      </w:r>
      <w:r>
        <w:fldChar w:fldCharType="separate"/>
      </w:r>
      <w:r>
        <w:rPr>
          <w:rStyle w:val="15"/>
          <w:rFonts w:hint="eastAsia" w:ascii="黑体" w:hAnsi="黑体" w:eastAsia="黑体"/>
          <w:bCs/>
          <w:sz w:val="28"/>
          <w:szCs w:val="28"/>
        </w:rPr>
        <w:t>二、绩效评价工作开展情况</w:t>
      </w:r>
      <w:r>
        <w:rPr>
          <w:sz w:val="28"/>
          <w:szCs w:val="28"/>
        </w:rPr>
        <w:tab/>
      </w:r>
      <w:r>
        <w:rPr>
          <w:sz w:val="28"/>
          <w:szCs w:val="28"/>
        </w:rPr>
        <w:fldChar w:fldCharType="begin"/>
      </w:r>
      <w:r>
        <w:rPr>
          <w:sz w:val="28"/>
          <w:szCs w:val="28"/>
        </w:rPr>
        <w:instrText xml:space="preserve"> PAGEREF _Toc49241469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"_Toc49241470" </w:instrText>
      </w:r>
      <w:r>
        <w:fldChar w:fldCharType="separate"/>
      </w:r>
      <w:r>
        <w:rPr>
          <w:rStyle w:val="15"/>
          <w:rFonts w:hint="eastAsia"/>
          <w:bCs/>
          <w:sz w:val="28"/>
          <w:szCs w:val="28"/>
        </w:rPr>
        <w:t>（一）绩效评价目的</w:t>
      </w:r>
      <w:r>
        <w:rPr>
          <w:sz w:val="28"/>
          <w:szCs w:val="28"/>
        </w:rPr>
        <w:tab/>
      </w:r>
      <w:r>
        <w:rPr>
          <w:sz w:val="28"/>
          <w:szCs w:val="28"/>
        </w:rPr>
        <w:fldChar w:fldCharType="begin"/>
      </w:r>
      <w:r>
        <w:rPr>
          <w:sz w:val="28"/>
          <w:szCs w:val="28"/>
        </w:rPr>
        <w:instrText xml:space="preserve"> PAGEREF _Toc49241470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"_Toc49241471" </w:instrText>
      </w:r>
      <w:r>
        <w:fldChar w:fldCharType="separate"/>
      </w:r>
      <w:r>
        <w:rPr>
          <w:rStyle w:val="15"/>
          <w:rFonts w:hint="eastAsia"/>
          <w:bCs/>
          <w:sz w:val="28"/>
          <w:szCs w:val="28"/>
        </w:rPr>
        <w:t>（二）绩效评价依据</w:t>
      </w:r>
      <w:r>
        <w:rPr>
          <w:sz w:val="28"/>
          <w:szCs w:val="28"/>
        </w:rPr>
        <w:tab/>
      </w:r>
      <w:r>
        <w:rPr>
          <w:sz w:val="28"/>
          <w:szCs w:val="28"/>
        </w:rPr>
        <w:fldChar w:fldCharType="begin"/>
      </w:r>
      <w:r>
        <w:rPr>
          <w:sz w:val="28"/>
          <w:szCs w:val="28"/>
        </w:rPr>
        <w:instrText xml:space="preserve"> PAGEREF _Toc49241471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"_Toc49241472" </w:instrText>
      </w:r>
      <w:r>
        <w:fldChar w:fldCharType="separate"/>
      </w:r>
      <w:r>
        <w:rPr>
          <w:rStyle w:val="15"/>
          <w:rFonts w:hint="eastAsia"/>
          <w:bCs/>
          <w:sz w:val="28"/>
          <w:szCs w:val="28"/>
        </w:rPr>
        <w:t>（三）绩效评价评价主体</w:t>
      </w:r>
      <w:r>
        <w:rPr>
          <w:sz w:val="28"/>
          <w:szCs w:val="28"/>
        </w:rPr>
        <w:tab/>
      </w:r>
      <w:r>
        <w:rPr>
          <w:sz w:val="28"/>
          <w:szCs w:val="28"/>
        </w:rPr>
        <w:fldChar w:fldCharType="begin"/>
      </w:r>
      <w:r>
        <w:rPr>
          <w:sz w:val="28"/>
          <w:szCs w:val="28"/>
        </w:rPr>
        <w:instrText xml:space="preserve"> PAGEREF _Toc49241472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"_Toc49241473" </w:instrText>
      </w:r>
      <w:r>
        <w:fldChar w:fldCharType="separate"/>
      </w:r>
      <w:r>
        <w:rPr>
          <w:rStyle w:val="15"/>
          <w:rFonts w:hint="eastAsia"/>
          <w:bCs/>
          <w:sz w:val="28"/>
          <w:szCs w:val="28"/>
        </w:rPr>
        <w:t>（四）绩效评价原则</w:t>
      </w:r>
      <w:r>
        <w:rPr>
          <w:sz w:val="28"/>
          <w:szCs w:val="28"/>
        </w:rPr>
        <w:tab/>
      </w:r>
      <w:r>
        <w:rPr>
          <w:sz w:val="28"/>
          <w:szCs w:val="28"/>
        </w:rPr>
        <w:fldChar w:fldCharType="begin"/>
      </w:r>
      <w:r>
        <w:rPr>
          <w:sz w:val="28"/>
          <w:szCs w:val="28"/>
        </w:rPr>
        <w:instrText xml:space="preserve"> PAGEREF _Toc49241473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"_Toc49241474" </w:instrText>
      </w:r>
      <w:r>
        <w:fldChar w:fldCharType="separate"/>
      </w:r>
      <w:r>
        <w:rPr>
          <w:rStyle w:val="15"/>
          <w:rFonts w:hint="eastAsia"/>
          <w:bCs/>
          <w:sz w:val="28"/>
          <w:szCs w:val="28"/>
        </w:rPr>
        <w:t>（五）评价方法</w:t>
      </w:r>
      <w:r>
        <w:rPr>
          <w:sz w:val="28"/>
          <w:szCs w:val="28"/>
        </w:rPr>
        <w:tab/>
      </w:r>
      <w:r>
        <w:rPr>
          <w:sz w:val="28"/>
          <w:szCs w:val="28"/>
        </w:rPr>
        <w:fldChar w:fldCharType="begin"/>
      </w:r>
      <w:r>
        <w:rPr>
          <w:sz w:val="28"/>
          <w:szCs w:val="28"/>
        </w:rPr>
        <w:instrText xml:space="preserve"> PAGEREF _Toc49241474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"_Toc49241475" </w:instrText>
      </w:r>
      <w:r>
        <w:fldChar w:fldCharType="separate"/>
      </w:r>
      <w:r>
        <w:rPr>
          <w:rStyle w:val="15"/>
          <w:rFonts w:hint="eastAsia"/>
          <w:bCs/>
          <w:sz w:val="28"/>
          <w:szCs w:val="28"/>
        </w:rPr>
        <w:t>（六）评价指标</w:t>
      </w:r>
      <w:r>
        <w:rPr>
          <w:sz w:val="28"/>
          <w:szCs w:val="28"/>
        </w:rPr>
        <w:tab/>
      </w:r>
      <w:r>
        <w:rPr>
          <w:sz w:val="28"/>
          <w:szCs w:val="28"/>
        </w:rPr>
        <w:fldChar w:fldCharType="begin"/>
      </w:r>
      <w:r>
        <w:rPr>
          <w:sz w:val="28"/>
          <w:szCs w:val="28"/>
        </w:rPr>
        <w:instrText xml:space="preserve"> PAGEREF _Toc49241475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"_Toc49241476" </w:instrText>
      </w:r>
      <w:r>
        <w:fldChar w:fldCharType="separate"/>
      </w:r>
      <w:r>
        <w:rPr>
          <w:rStyle w:val="15"/>
          <w:bCs/>
          <w:sz w:val="28"/>
          <w:szCs w:val="28"/>
        </w:rPr>
        <w:t>1</w:t>
      </w:r>
      <w:r>
        <w:rPr>
          <w:rStyle w:val="15"/>
          <w:rFonts w:hint="eastAsia"/>
          <w:bCs/>
          <w:sz w:val="28"/>
          <w:szCs w:val="28"/>
        </w:rPr>
        <w:t>．整体框架</w:t>
      </w:r>
      <w:r>
        <w:rPr>
          <w:sz w:val="28"/>
          <w:szCs w:val="28"/>
        </w:rPr>
        <w:tab/>
      </w:r>
      <w:r>
        <w:rPr>
          <w:sz w:val="28"/>
          <w:szCs w:val="28"/>
        </w:rPr>
        <w:fldChar w:fldCharType="begin"/>
      </w:r>
      <w:r>
        <w:rPr>
          <w:sz w:val="28"/>
          <w:szCs w:val="28"/>
        </w:rPr>
        <w:instrText xml:space="preserve"> PAGEREF _Toc49241476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"_Toc49241477" </w:instrText>
      </w:r>
      <w:r>
        <w:fldChar w:fldCharType="separate"/>
      </w:r>
      <w:r>
        <w:rPr>
          <w:rStyle w:val="15"/>
          <w:bCs/>
          <w:sz w:val="28"/>
          <w:szCs w:val="28"/>
        </w:rPr>
        <w:t>2</w:t>
      </w:r>
      <w:r>
        <w:rPr>
          <w:rStyle w:val="15"/>
          <w:rFonts w:hint="eastAsia"/>
          <w:bCs/>
          <w:sz w:val="28"/>
          <w:szCs w:val="28"/>
        </w:rPr>
        <w:t>．记分原则</w:t>
      </w:r>
      <w:r>
        <w:rPr>
          <w:sz w:val="28"/>
          <w:szCs w:val="28"/>
        </w:rPr>
        <w:tab/>
      </w:r>
      <w:r>
        <w:rPr>
          <w:sz w:val="28"/>
          <w:szCs w:val="28"/>
        </w:rPr>
        <w:fldChar w:fldCharType="begin"/>
      </w:r>
      <w:r>
        <w:rPr>
          <w:sz w:val="28"/>
          <w:szCs w:val="28"/>
        </w:rPr>
        <w:instrText xml:space="preserve"> PAGEREF _Toc49241477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"_Toc49241478" </w:instrText>
      </w:r>
      <w:r>
        <w:fldChar w:fldCharType="separate"/>
      </w:r>
      <w:r>
        <w:rPr>
          <w:rStyle w:val="15"/>
          <w:bCs/>
          <w:sz w:val="28"/>
          <w:szCs w:val="28"/>
        </w:rPr>
        <w:t>3</w:t>
      </w:r>
      <w:r>
        <w:rPr>
          <w:rStyle w:val="15"/>
          <w:rFonts w:hint="eastAsia"/>
          <w:bCs/>
          <w:sz w:val="28"/>
          <w:szCs w:val="28"/>
        </w:rPr>
        <w:t>．结果判定</w:t>
      </w:r>
      <w:r>
        <w:rPr>
          <w:sz w:val="28"/>
          <w:szCs w:val="28"/>
        </w:rPr>
        <w:tab/>
      </w:r>
      <w:r>
        <w:rPr>
          <w:sz w:val="28"/>
          <w:szCs w:val="28"/>
        </w:rPr>
        <w:fldChar w:fldCharType="begin"/>
      </w:r>
      <w:r>
        <w:rPr>
          <w:sz w:val="28"/>
          <w:szCs w:val="28"/>
        </w:rPr>
        <w:instrText xml:space="preserve"> PAGEREF _Toc49241478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"_Toc49241479" </w:instrText>
      </w:r>
      <w:r>
        <w:fldChar w:fldCharType="separate"/>
      </w:r>
      <w:r>
        <w:rPr>
          <w:rStyle w:val="15"/>
          <w:rFonts w:hint="eastAsia"/>
          <w:bCs/>
          <w:sz w:val="28"/>
          <w:szCs w:val="28"/>
        </w:rPr>
        <w:t>（七）评价过程</w:t>
      </w:r>
      <w:r>
        <w:rPr>
          <w:sz w:val="28"/>
          <w:szCs w:val="28"/>
        </w:rPr>
        <w:tab/>
      </w:r>
      <w:r>
        <w:rPr>
          <w:sz w:val="28"/>
          <w:szCs w:val="28"/>
        </w:rPr>
        <w:fldChar w:fldCharType="begin"/>
      </w:r>
      <w:r>
        <w:rPr>
          <w:sz w:val="28"/>
          <w:szCs w:val="28"/>
        </w:rPr>
        <w:instrText xml:space="preserve"> PAGEREF _Toc49241479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"_Toc49241480" </w:instrText>
      </w:r>
      <w:r>
        <w:fldChar w:fldCharType="separate"/>
      </w:r>
      <w:r>
        <w:rPr>
          <w:rStyle w:val="15"/>
          <w:rFonts w:hint="eastAsia" w:ascii="黑体" w:hAnsi="黑体" w:eastAsia="黑体"/>
          <w:bCs/>
          <w:sz w:val="28"/>
          <w:szCs w:val="28"/>
        </w:rPr>
        <w:t>三、综合评价情况及评价结论</w:t>
      </w:r>
      <w:r>
        <w:rPr>
          <w:sz w:val="28"/>
          <w:szCs w:val="28"/>
        </w:rPr>
        <w:tab/>
      </w:r>
      <w:r>
        <w:rPr>
          <w:sz w:val="28"/>
          <w:szCs w:val="28"/>
        </w:rPr>
        <w:fldChar w:fldCharType="begin"/>
      </w:r>
      <w:r>
        <w:rPr>
          <w:sz w:val="28"/>
          <w:szCs w:val="28"/>
        </w:rPr>
        <w:instrText xml:space="preserve"> PAGEREF _Toc49241480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"_Toc49241481" </w:instrText>
      </w:r>
      <w:r>
        <w:fldChar w:fldCharType="separate"/>
      </w:r>
      <w:r>
        <w:rPr>
          <w:rStyle w:val="15"/>
          <w:rFonts w:hint="eastAsia" w:ascii="黑体" w:hAnsi="黑体" w:eastAsia="黑体"/>
          <w:bCs/>
          <w:sz w:val="28"/>
          <w:szCs w:val="28"/>
        </w:rPr>
        <w:t>四、绩效评价指标分析</w:t>
      </w:r>
      <w:r>
        <w:rPr>
          <w:sz w:val="28"/>
          <w:szCs w:val="28"/>
        </w:rPr>
        <w:tab/>
      </w:r>
      <w:r>
        <w:rPr>
          <w:sz w:val="28"/>
          <w:szCs w:val="28"/>
        </w:rPr>
        <w:fldChar w:fldCharType="begin"/>
      </w:r>
      <w:r>
        <w:rPr>
          <w:sz w:val="28"/>
          <w:szCs w:val="28"/>
        </w:rPr>
        <w:instrText xml:space="preserve"> PAGEREF _Toc49241481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"_Toc49241482" </w:instrText>
      </w:r>
      <w:r>
        <w:fldChar w:fldCharType="separate"/>
      </w:r>
      <w:r>
        <w:rPr>
          <w:rStyle w:val="15"/>
          <w:rFonts w:hint="eastAsia"/>
          <w:bCs/>
          <w:sz w:val="28"/>
          <w:szCs w:val="28"/>
        </w:rPr>
        <w:t>（一）项目决策情况</w:t>
      </w:r>
      <w:r>
        <w:rPr>
          <w:sz w:val="28"/>
          <w:szCs w:val="28"/>
        </w:rPr>
        <w:tab/>
      </w:r>
      <w:r>
        <w:rPr>
          <w:sz w:val="28"/>
          <w:szCs w:val="28"/>
        </w:rPr>
        <w:fldChar w:fldCharType="begin"/>
      </w:r>
      <w:r>
        <w:rPr>
          <w:sz w:val="28"/>
          <w:szCs w:val="28"/>
        </w:rPr>
        <w:instrText xml:space="preserve"> PAGEREF _Toc49241482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"_Toc49241483" </w:instrText>
      </w:r>
      <w:r>
        <w:fldChar w:fldCharType="separate"/>
      </w:r>
      <w:r>
        <w:rPr>
          <w:rStyle w:val="15"/>
          <w:bCs/>
          <w:sz w:val="28"/>
          <w:szCs w:val="28"/>
        </w:rPr>
        <w:t>1</w:t>
      </w:r>
      <w:r>
        <w:rPr>
          <w:rStyle w:val="15"/>
          <w:rFonts w:hint="eastAsia"/>
          <w:bCs/>
          <w:sz w:val="28"/>
          <w:szCs w:val="28"/>
        </w:rPr>
        <w:t>．项目立项</w:t>
      </w:r>
      <w:r>
        <w:rPr>
          <w:sz w:val="28"/>
          <w:szCs w:val="28"/>
        </w:rPr>
        <w:tab/>
      </w:r>
      <w:r>
        <w:rPr>
          <w:sz w:val="28"/>
          <w:szCs w:val="28"/>
        </w:rPr>
        <w:fldChar w:fldCharType="begin"/>
      </w:r>
      <w:r>
        <w:rPr>
          <w:sz w:val="28"/>
          <w:szCs w:val="28"/>
        </w:rPr>
        <w:instrText xml:space="preserve"> PAGEREF _Toc49241483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"_Toc49241484" </w:instrText>
      </w:r>
      <w:r>
        <w:fldChar w:fldCharType="separate"/>
      </w:r>
      <w:r>
        <w:rPr>
          <w:rStyle w:val="15"/>
          <w:sz w:val="28"/>
          <w:szCs w:val="28"/>
        </w:rPr>
        <w:t>2</w:t>
      </w:r>
      <w:r>
        <w:rPr>
          <w:rStyle w:val="15"/>
          <w:rFonts w:hint="eastAsia"/>
          <w:sz w:val="28"/>
          <w:szCs w:val="28"/>
        </w:rPr>
        <w:t>．绩效目标</w:t>
      </w:r>
      <w:r>
        <w:rPr>
          <w:sz w:val="28"/>
          <w:szCs w:val="28"/>
        </w:rPr>
        <w:tab/>
      </w:r>
      <w:r>
        <w:rPr>
          <w:sz w:val="28"/>
          <w:szCs w:val="28"/>
        </w:rPr>
        <w:fldChar w:fldCharType="begin"/>
      </w:r>
      <w:r>
        <w:rPr>
          <w:sz w:val="28"/>
          <w:szCs w:val="28"/>
        </w:rPr>
        <w:instrText xml:space="preserve"> PAGEREF _Toc49241484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"_Toc49241485" </w:instrText>
      </w:r>
      <w:r>
        <w:fldChar w:fldCharType="separate"/>
      </w:r>
      <w:r>
        <w:rPr>
          <w:rStyle w:val="15"/>
          <w:sz w:val="28"/>
          <w:szCs w:val="28"/>
        </w:rPr>
        <w:t>3</w:t>
      </w:r>
      <w:r>
        <w:rPr>
          <w:rStyle w:val="15"/>
          <w:rFonts w:hint="eastAsia"/>
          <w:sz w:val="28"/>
          <w:szCs w:val="28"/>
        </w:rPr>
        <w:t>．资金投入</w:t>
      </w:r>
      <w:r>
        <w:rPr>
          <w:sz w:val="28"/>
          <w:szCs w:val="28"/>
        </w:rPr>
        <w:tab/>
      </w:r>
      <w:r>
        <w:rPr>
          <w:sz w:val="28"/>
          <w:szCs w:val="28"/>
        </w:rPr>
        <w:fldChar w:fldCharType="begin"/>
      </w:r>
      <w:r>
        <w:rPr>
          <w:sz w:val="28"/>
          <w:szCs w:val="28"/>
        </w:rPr>
        <w:instrText xml:space="preserve"> PAGEREF _Toc49241485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"_Toc49241486" </w:instrText>
      </w:r>
      <w:r>
        <w:fldChar w:fldCharType="separate"/>
      </w:r>
      <w:r>
        <w:rPr>
          <w:rStyle w:val="15"/>
          <w:rFonts w:hint="eastAsia"/>
          <w:bCs/>
          <w:sz w:val="28"/>
          <w:szCs w:val="28"/>
        </w:rPr>
        <w:t>（二）项目过程情况</w:t>
      </w:r>
      <w:r>
        <w:rPr>
          <w:sz w:val="28"/>
          <w:szCs w:val="28"/>
        </w:rPr>
        <w:tab/>
      </w:r>
      <w:r>
        <w:rPr>
          <w:sz w:val="28"/>
          <w:szCs w:val="28"/>
        </w:rPr>
        <w:fldChar w:fldCharType="begin"/>
      </w:r>
      <w:r>
        <w:rPr>
          <w:sz w:val="28"/>
          <w:szCs w:val="28"/>
        </w:rPr>
        <w:instrText xml:space="preserve"> PAGEREF _Toc49241486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"_Toc49241487" </w:instrText>
      </w:r>
      <w:r>
        <w:fldChar w:fldCharType="separate"/>
      </w:r>
      <w:r>
        <w:rPr>
          <w:rStyle w:val="15"/>
          <w:sz w:val="28"/>
          <w:szCs w:val="28"/>
        </w:rPr>
        <w:t>1</w:t>
      </w:r>
      <w:r>
        <w:rPr>
          <w:rStyle w:val="15"/>
          <w:rFonts w:hint="eastAsia"/>
          <w:sz w:val="28"/>
          <w:szCs w:val="28"/>
        </w:rPr>
        <w:t>．资金管理</w:t>
      </w:r>
      <w:r>
        <w:rPr>
          <w:sz w:val="28"/>
          <w:szCs w:val="28"/>
        </w:rPr>
        <w:tab/>
      </w:r>
      <w:r>
        <w:rPr>
          <w:sz w:val="28"/>
          <w:szCs w:val="28"/>
        </w:rPr>
        <w:fldChar w:fldCharType="begin"/>
      </w:r>
      <w:r>
        <w:rPr>
          <w:sz w:val="28"/>
          <w:szCs w:val="28"/>
        </w:rPr>
        <w:instrText xml:space="preserve"> PAGEREF _Toc49241487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"_Toc49241488" </w:instrText>
      </w:r>
      <w:r>
        <w:fldChar w:fldCharType="separate"/>
      </w:r>
      <w:r>
        <w:rPr>
          <w:rStyle w:val="15"/>
          <w:sz w:val="28"/>
          <w:szCs w:val="28"/>
        </w:rPr>
        <w:t>2</w:t>
      </w:r>
      <w:r>
        <w:rPr>
          <w:rStyle w:val="15"/>
          <w:rFonts w:hint="eastAsia"/>
          <w:sz w:val="28"/>
          <w:szCs w:val="28"/>
        </w:rPr>
        <w:t>．组织实施</w:t>
      </w:r>
      <w:r>
        <w:rPr>
          <w:sz w:val="28"/>
          <w:szCs w:val="28"/>
        </w:rPr>
        <w:tab/>
      </w:r>
      <w:r>
        <w:rPr>
          <w:sz w:val="28"/>
          <w:szCs w:val="28"/>
        </w:rPr>
        <w:fldChar w:fldCharType="begin"/>
      </w:r>
      <w:r>
        <w:rPr>
          <w:sz w:val="28"/>
          <w:szCs w:val="28"/>
        </w:rPr>
        <w:instrText xml:space="preserve"> PAGEREF _Toc49241488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"_Toc49241489" </w:instrText>
      </w:r>
      <w:r>
        <w:fldChar w:fldCharType="separate"/>
      </w:r>
      <w:r>
        <w:rPr>
          <w:rStyle w:val="15"/>
          <w:rFonts w:hint="eastAsia"/>
          <w:bCs/>
          <w:sz w:val="28"/>
          <w:szCs w:val="28"/>
        </w:rPr>
        <w:t>（三）项目产出情况</w:t>
      </w:r>
      <w:r>
        <w:rPr>
          <w:sz w:val="28"/>
          <w:szCs w:val="28"/>
        </w:rPr>
        <w:tab/>
      </w:r>
      <w:r>
        <w:rPr>
          <w:sz w:val="28"/>
          <w:szCs w:val="28"/>
        </w:rPr>
        <w:fldChar w:fldCharType="begin"/>
      </w:r>
      <w:r>
        <w:rPr>
          <w:sz w:val="28"/>
          <w:szCs w:val="28"/>
        </w:rPr>
        <w:instrText xml:space="preserve"> PAGEREF _Toc49241489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"_Toc49241490" </w:instrText>
      </w:r>
      <w:r>
        <w:fldChar w:fldCharType="separate"/>
      </w:r>
      <w:r>
        <w:rPr>
          <w:rStyle w:val="15"/>
          <w:rFonts w:hint="eastAsia"/>
          <w:bCs/>
          <w:sz w:val="28"/>
          <w:szCs w:val="28"/>
        </w:rPr>
        <w:t>（四）项目效益情况</w:t>
      </w:r>
      <w:r>
        <w:rPr>
          <w:sz w:val="28"/>
          <w:szCs w:val="28"/>
        </w:rPr>
        <w:tab/>
      </w:r>
      <w:r>
        <w:rPr>
          <w:sz w:val="28"/>
          <w:szCs w:val="28"/>
        </w:rPr>
        <w:fldChar w:fldCharType="begin"/>
      </w:r>
      <w:r>
        <w:rPr>
          <w:sz w:val="28"/>
          <w:szCs w:val="28"/>
        </w:rPr>
        <w:instrText xml:space="preserve"> PAGEREF _Toc49241490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"_Toc49241491" </w:instrText>
      </w:r>
      <w:r>
        <w:fldChar w:fldCharType="separate"/>
      </w:r>
      <w:r>
        <w:rPr>
          <w:rStyle w:val="15"/>
          <w:bCs/>
          <w:sz w:val="28"/>
          <w:szCs w:val="28"/>
        </w:rPr>
        <w:t>1</w:t>
      </w:r>
      <w:r>
        <w:rPr>
          <w:rStyle w:val="15"/>
          <w:rFonts w:hint="eastAsia"/>
          <w:bCs/>
          <w:sz w:val="28"/>
          <w:szCs w:val="28"/>
        </w:rPr>
        <w:t>．项目效益：</w:t>
      </w:r>
      <w:r>
        <w:rPr>
          <w:sz w:val="28"/>
          <w:szCs w:val="28"/>
        </w:rPr>
        <w:tab/>
      </w:r>
      <w:r>
        <w:rPr>
          <w:sz w:val="28"/>
          <w:szCs w:val="28"/>
        </w:rPr>
        <w:fldChar w:fldCharType="begin"/>
      </w:r>
      <w:r>
        <w:rPr>
          <w:sz w:val="28"/>
          <w:szCs w:val="28"/>
        </w:rPr>
        <w:instrText xml:space="preserve"> PAGEREF _Toc49241491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4"/>
        <w:tabs>
          <w:tab w:val="right" w:leader="dot" w:pos="8302"/>
        </w:tabs>
        <w:ind w:left="1200"/>
        <w:rPr>
          <w:rFonts w:asciiTheme="minorHAnsi" w:hAnsiTheme="minorHAnsi" w:eastAsiaTheme="minorEastAsia" w:cstheme="minorBidi"/>
          <w:sz w:val="28"/>
          <w:szCs w:val="28"/>
        </w:rPr>
      </w:pPr>
      <w:r>
        <w:fldChar w:fldCharType="begin"/>
      </w:r>
      <w:r>
        <w:instrText xml:space="preserve"> HYPERLINK \l "_Toc49241492" </w:instrText>
      </w:r>
      <w:r>
        <w:fldChar w:fldCharType="separate"/>
      </w:r>
      <w:r>
        <w:rPr>
          <w:rStyle w:val="15"/>
          <w:sz w:val="28"/>
          <w:szCs w:val="28"/>
        </w:rPr>
        <w:t>2</w:t>
      </w:r>
      <w:r>
        <w:rPr>
          <w:rStyle w:val="15"/>
          <w:rFonts w:hint="eastAsia"/>
          <w:sz w:val="28"/>
          <w:szCs w:val="28"/>
        </w:rPr>
        <w:t>．社会满意度</w:t>
      </w:r>
      <w:r>
        <w:rPr>
          <w:sz w:val="28"/>
          <w:szCs w:val="28"/>
        </w:rPr>
        <w:tab/>
      </w:r>
      <w:r>
        <w:rPr>
          <w:sz w:val="28"/>
          <w:szCs w:val="28"/>
        </w:rPr>
        <w:fldChar w:fldCharType="begin"/>
      </w:r>
      <w:r>
        <w:rPr>
          <w:sz w:val="28"/>
          <w:szCs w:val="28"/>
        </w:rPr>
        <w:instrText xml:space="preserve"> PAGEREF _Toc49241492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"_Toc49241493" </w:instrText>
      </w:r>
      <w:r>
        <w:fldChar w:fldCharType="separate"/>
      </w:r>
      <w:r>
        <w:rPr>
          <w:rStyle w:val="15"/>
          <w:rFonts w:hint="eastAsia" w:ascii="黑体" w:hAnsi="黑体" w:eastAsia="黑体"/>
          <w:bCs/>
          <w:sz w:val="28"/>
          <w:szCs w:val="28"/>
        </w:rPr>
        <w:t>五、存在的问题</w:t>
      </w:r>
      <w:r>
        <w:rPr>
          <w:sz w:val="28"/>
          <w:szCs w:val="28"/>
        </w:rPr>
        <w:tab/>
      </w:r>
      <w:r>
        <w:rPr>
          <w:sz w:val="28"/>
          <w:szCs w:val="28"/>
        </w:rPr>
        <w:fldChar w:fldCharType="begin"/>
      </w:r>
      <w:r>
        <w:rPr>
          <w:sz w:val="28"/>
          <w:szCs w:val="28"/>
        </w:rPr>
        <w:instrText xml:space="preserve"> PAGEREF _Toc49241493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"_Toc49241494" </w:instrText>
      </w:r>
      <w:r>
        <w:fldChar w:fldCharType="separate"/>
      </w:r>
      <w:r>
        <w:rPr>
          <w:rStyle w:val="15"/>
          <w:rFonts w:hint="eastAsia"/>
          <w:bCs/>
          <w:sz w:val="28"/>
          <w:szCs w:val="28"/>
        </w:rPr>
        <w:t>（一）部分效益指标没有制定可衡量的指标值</w:t>
      </w:r>
      <w:r>
        <w:rPr>
          <w:sz w:val="28"/>
          <w:szCs w:val="28"/>
        </w:rPr>
        <w:tab/>
      </w:r>
      <w:r>
        <w:rPr>
          <w:sz w:val="28"/>
          <w:szCs w:val="28"/>
        </w:rPr>
        <w:fldChar w:fldCharType="begin"/>
      </w:r>
      <w:r>
        <w:rPr>
          <w:sz w:val="28"/>
          <w:szCs w:val="28"/>
        </w:rPr>
        <w:instrText xml:space="preserve"> PAGEREF _Toc49241494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"_Toc49241495" </w:instrText>
      </w:r>
      <w:r>
        <w:fldChar w:fldCharType="separate"/>
      </w:r>
      <w:r>
        <w:rPr>
          <w:rStyle w:val="15"/>
          <w:rFonts w:hint="eastAsia"/>
          <w:bCs/>
          <w:sz w:val="28"/>
          <w:szCs w:val="28"/>
        </w:rPr>
        <w:t>（二）存在预算外支出内容</w:t>
      </w:r>
      <w:r>
        <w:rPr>
          <w:sz w:val="28"/>
          <w:szCs w:val="28"/>
        </w:rPr>
        <w:tab/>
      </w:r>
      <w:r>
        <w:rPr>
          <w:sz w:val="28"/>
          <w:szCs w:val="28"/>
        </w:rPr>
        <w:fldChar w:fldCharType="begin"/>
      </w:r>
      <w:r>
        <w:rPr>
          <w:sz w:val="28"/>
          <w:szCs w:val="28"/>
        </w:rPr>
        <w:instrText xml:space="preserve"> PAGEREF _Toc49241495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"_Toc49241496" </w:instrText>
      </w:r>
      <w:r>
        <w:fldChar w:fldCharType="separate"/>
      </w:r>
      <w:r>
        <w:rPr>
          <w:rStyle w:val="15"/>
          <w:rFonts w:hint="eastAsia"/>
          <w:bCs/>
          <w:sz w:val="28"/>
          <w:szCs w:val="28"/>
        </w:rPr>
        <w:t>（三）对项目效益资料的收集度不足</w:t>
      </w:r>
      <w:r>
        <w:rPr>
          <w:sz w:val="28"/>
          <w:szCs w:val="28"/>
        </w:rPr>
        <w:tab/>
      </w:r>
      <w:r>
        <w:rPr>
          <w:sz w:val="28"/>
          <w:szCs w:val="28"/>
        </w:rPr>
        <w:fldChar w:fldCharType="begin"/>
      </w:r>
      <w:r>
        <w:rPr>
          <w:sz w:val="28"/>
          <w:szCs w:val="28"/>
        </w:rPr>
        <w:instrText xml:space="preserve"> PAGEREF _Toc49241496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"_Toc49241497" </w:instrText>
      </w:r>
      <w:r>
        <w:fldChar w:fldCharType="separate"/>
      </w:r>
      <w:r>
        <w:rPr>
          <w:rStyle w:val="15"/>
          <w:rFonts w:hint="eastAsia" w:ascii="黑体" w:hAnsi="黑体" w:eastAsia="黑体"/>
          <w:bCs/>
          <w:sz w:val="28"/>
          <w:szCs w:val="28"/>
        </w:rPr>
        <w:t>六、相关建议</w:t>
      </w:r>
      <w:r>
        <w:rPr>
          <w:sz w:val="28"/>
          <w:szCs w:val="28"/>
        </w:rPr>
        <w:tab/>
      </w:r>
      <w:r>
        <w:rPr>
          <w:sz w:val="28"/>
          <w:szCs w:val="28"/>
        </w:rPr>
        <w:fldChar w:fldCharType="begin"/>
      </w:r>
      <w:r>
        <w:rPr>
          <w:sz w:val="28"/>
          <w:szCs w:val="28"/>
        </w:rPr>
        <w:instrText xml:space="preserve"> PAGEREF _Toc49241497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"_Toc49241498" </w:instrText>
      </w:r>
      <w:r>
        <w:fldChar w:fldCharType="separate"/>
      </w:r>
      <w:r>
        <w:rPr>
          <w:rStyle w:val="15"/>
          <w:rFonts w:hint="eastAsia"/>
          <w:bCs/>
          <w:sz w:val="28"/>
          <w:szCs w:val="28"/>
        </w:rPr>
        <w:t>（一）加强项目申报管理</w:t>
      </w:r>
      <w:r>
        <w:rPr>
          <w:sz w:val="28"/>
          <w:szCs w:val="28"/>
        </w:rPr>
        <w:tab/>
      </w:r>
      <w:r>
        <w:rPr>
          <w:sz w:val="28"/>
          <w:szCs w:val="28"/>
        </w:rPr>
        <w:fldChar w:fldCharType="begin"/>
      </w:r>
      <w:r>
        <w:rPr>
          <w:sz w:val="28"/>
          <w:szCs w:val="28"/>
        </w:rPr>
        <w:instrText xml:space="preserve"> PAGEREF _Toc49241498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"_Toc49241499" </w:instrText>
      </w:r>
      <w:r>
        <w:fldChar w:fldCharType="separate"/>
      </w:r>
      <w:r>
        <w:rPr>
          <w:rStyle w:val="15"/>
          <w:rFonts w:hint="eastAsia"/>
          <w:bCs/>
          <w:sz w:val="28"/>
          <w:szCs w:val="28"/>
        </w:rPr>
        <w:t>（二）加强财务支出控制</w:t>
      </w:r>
      <w:r>
        <w:rPr>
          <w:sz w:val="28"/>
          <w:szCs w:val="28"/>
        </w:rPr>
        <w:tab/>
      </w:r>
      <w:r>
        <w:rPr>
          <w:sz w:val="28"/>
          <w:szCs w:val="28"/>
        </w:rPr>
        <w:fldChar w:fldCharType="begin"/>
      </w:r>
      <w:r>
        <w:rPr>
          <w:sz w:val="28"/>
          <w:szCs w:val="28"/>
        </w:rPr>
        <w:instrText xml:space="preserve"> PAGEREF _Toc49241499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2"/>
        </w:tabs>
        <w:ind w:left="600"/>
        <w:rPr>
          <w:rFonts w:asciiTheme="minorHAnsi" w:hAnsiTheme="minorHAnsi" w:eastAsiaTheme="minorEastAsia" w:cstheme="minorBidi"/>
          <w:sz w:val="28"/>
          <w:szCs w:val="28"/>
        </w:rPr>
      </w:pPr>
      <w:r>
        <w:fldChar w:fldCharType="begin"/>
      </w:r>
      <w:r>
        <w:instrText xml:space="preserve"> HYPERLINK \l "_Toc49241500" </w:instrText>
      </w:r>
      <w:r>
        <w:fldChar w:fldCharType="separate"/>
      </w:r>
      <w:r>
        <w:rPr>
          <w:rStyle w:val="15"/>
          <w:rFonts w:hint="eastAsia"/>
          <w:bCs/>
          <w:sz w:val="28"/>
          <w:szCs w:val="28"/>
        </w:rPr>
        <w:t>（三）强化绩效管理意识，提高绩效管理水平</w:t>
      </w:r>
      <w:r>
        <w:rPr>
          <w:sz w:val="28"/>
          <w:szCs w:val="28"/>
        </w:rPr>
        <w:tab/>
      </w:r>
      <w:r>
        <w:rPr>
          <w:sz w:val="28"/>
          <w:szCs w:val="28"/>
        </w:rPr>
        <w:fldChar w:fldCharType="begin"/>
      </w:r>
      <w:r>
        <w:rPr>
          <w:sz w:val="28"/>
          <w:szCs w:val="28"/>
        </w:rPr>
        <w:instrText xml:space="preserve"> PAGEREF _Toc49241500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8"/>
          <w:szCs w:val="28"/>
        </w:rPr>
      </w:pPr>
      <w:r>
        <w:fldChar w:fldCharType="begin"/>
      </w:r>
      <w:r>
        <w:instrText xml:space="preserve"> HYPERLINK \l "_Toc49241501" </w:instrText>
      </w:r>
      <w:r>
        <w:fldChar w:fldCharType="separate"/>
      </w:r>
      <w:r>
        <w:rPr>
          <w:rStyle w:val="15"/>
          <w:rFonts w:hint="eastAsia"/>
          <w:b/>
          <w:sz w:val="28"/>
          <w:szCs w:val="28"/>
        </w:rPr>
        <w:t>七、其他说明</w:t>
      </w:r>
      <w:r>
        <w:rPr>
          <w:sz w:val="28"/>
          <w:szCs w:val="28"/>
        </w:rPr>
        <w:tab/>
      </w:r>
      <w:r>
        <w:rPr>
          <w:sz w:val="28"/>
          <w:szCs w:val="28"/>
        </w:rPr>
        <w:fldChar w:fldCharType="begin"/>
      </w:r>
      <w:r>
        <w:rPr>
          <w:sz w:val="28"/>
          <w:szCs w:val="28"/>
        </w:rPr>
        <w:instrText xml:space="preserve"> PAGEREF _Toc49241501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2"/>
        </w:tabs>
        <w:rPr>
          <w:rFonts w:asciiTheme="minorHAnsi" w:hAnsiTheme="minorHAnsi" w:eastAsiaTheme="minorEastAsia" w:cstheme="minorBidi"/>
          <w:sz w:val="21"/>
          <w:szCs w:val="22"/>
        </w:rPr>
      </w:pPr>
      <w:r>
        <w:fldChar w:fldCharType="begin"/>
      </w:r>
      <w:r>
        <w:instrText xml:space="preserve"> HYPERLINK \l "_Toc49241502" </w:instrText>
      </w:r>
      <w:r>
        <w:fldChar w:fldCharType="separate"/>
      </w:r>
      <w:r>
        <w:rPr>
          <w:rStyle w:val="15"/>
          <w:rFonts w:hint="eastAsia"/>
          <w:sz w:val="28"/>
          <w:szCs w:val="28"/>
        </w:rPr>
        <w:t>附件：</w:t>
      </w:r>
      <w:r>
        <w:rPr>
          <w:sz w:val="28"/>
          <w:szCs w:val="28"/>
        </w:rPr>
        <w:tab/>
      </w:r>
      <w:r>
        <w:rPr>
          <w:sz w:val="28"/>
          <w:szCs w:val="28"/>
        </w:rPr>
        <w:fldChar w:fldCharType="begin"/>
      </w:r>
      <w:r>
        <w:rPr>
          <w:sz w:val="28"/>
          <w:szCs w:val="28"/>
        </w:rPr>
        <w:instrText xml:space="preserve"> PAGEREF _Toc49241502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9"/>
        <w:snapToGrid w:val="0"/>
        <w:spacing w:before="156" w:beforeLines="50" w:line="360" w:lineRule="auto"/>
        <w:jc w:val="center"/>
        <w:rPr>
          <w:rFonts w:ascii="仿宋" w:hAnsi="仿宋" w:eastAsia="仿宋" w:cs="仿宋"/>
          <w:b/>
          <w:sz w:val="32"/>
          <w:szCs w:val="32"/>
        </w:rPr>
      </w:pPr>
      <w:r>
        <w:rPr>
          <w:rFonts w:hint="eastAsia" w:ascii="仿宋" w:hAnsi="仿宋" w:eastAsia="仿宋" w:cs="仿宋"/>
          <w:szCs w:val="32"/>
        </w:rPr>
        <w:fldChar w:fldCharType="end"/>
      </w:r>
    </w:p>
    <w:p>
      <w:pPr>
        <w:widowControl/>
        <w:jc w:val="left"/>
        <w:rPr>
          <w:rFonts w:ascii="黑体" w:hAnsi="黑体" w:eastAsia="黑体" w:cs="宋体"/>
          <w:b/>
          <w:sz w:val="36"/>
          <w:szCs w:val="36"/>
        </w:rPr>
      </w:pPr>
      <w:r>
        <mc:AlternateContent>
          <mc:Choice Requires="wps">
            <w:drawing>
              <wp:anchor distT="0" distB="0" distL="114300" distR="114300" simplePos="0" relativeHeight="251659264" behindDoc="0" locked="0" layoutInCell="1" allowOverlap="1">
                <wp:simplePos x="0" y="0"/>
                <wp:positionH relativeFrom="column">
                  <wp:posOffset>4476750</wp:posOffset>
                </wp:positionH>
                <wp:positionV relativeFrom="paragraph">
                  <wp:posOffset>-297180</wp:posOffset>
                </wp:positionV>
                <wp:extent cx="963930" cy="678180"/>
                <wp:effectExtent l="0" t="0" r="26670" b="2667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963930" cy="678180"/>
                        </a:xfrm>
                        <a:prstGeom prst="rect">
                          <a:avLst/>
                        </a:prstGeom>
                        <a:noFill/>
                        <a:ln w="9525">
                          <a:solidFill>
                            <a:srgbClr val="000000"/>
                          </a:solidFill>
                          <a:miter lim="800000"/>
                        </a:ln>
                      </wps:spPr>
                      <wps:txbx>
                        <w:txbxContent>
                          <w:p>
                            <w:pPr>
                              <w:jc w:val="distribute"/>
                              <w:rPr>
                                <w:rFonts w:ascii="Calibri"/>
                                <w:sz w:val="11"/>
                                <w:szCs w:val="11"/>
                              </w:rPr>
                            </w:pPr>
                            <w:r>
                              <w:rPr>
                                <w:rFonts w:hint="eastAsia" w:ascii="Calibri"/>
                                <w:sz w:val="11"/>
                                <w:szCs w:val="11"/>
                              </w:rPr>
                              <w:t>本报告防伪编码351022777857号，请登陆www.cqicpa.org.cn查询</w:t>
                            </w:r>
                          </w:p>
                        </w:txbxContent>
                      </wps:txbx>
                      <wps:bodyPr rot="0" vert="horz" wrap="square" lIns="54042" tIns="45720" rIns="54042" bIns="45720" anchor="t" anchorCtr="0" upright="1">
                        <a:noAutofit/>
                      </wps:bodyPr>
                    </wps:wsp>
                  </a:graphicData>
                </a:graphic>
              </wp:anchor>
            </w:drawing>
          </mc:Choice>
          <mc:Fallback>
            <w:pict>
              <v:shape id="_x0000_s1026" o:spid="_x0000_s1026" o:spt="202" type="#_x0000_t202" style="position:absolute;left:0pt;margin-left:352.5pt;margin-top:-23.4pt;height:53.4pt;width:75.9pt;z-index:251659264;mso-width-relative:page;mso-height-relative:page;" filled="f" stroked="t" coordsize="21600,21600"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U3HC7aAAAACgEAAA8AAAAAAAAAAQAgAAAAIgAA&#10;AGRycy9kb3ducmV2LnhtbFBLAQIUABQAAAAIAIdO4kCh8Pq4PwIAAF8EAAAOAAAAAAAAAAEAIAAA&#10;ACkBAABkcnMvZTJvRG9jLnhtbFBLBQYAAAAABgAGAFkBAADaBQAAAAA=&#10;">
                <v:fill on="f" focussize="0,0"/>
                <v:stroke color="#000000" miterlimit="8" joinstyle="miter"/>
                <v:imagedata o:title=""/>
                <o:lock v:ext="edit" aspectratio="f"/>
                <v:textbox inset="0.0591010498687664in,1.27mm,0.0591010498687664in,1.27mm">
                  <w:txbxContent>
                    <w:p>
                      <w:pPr>
                        <w:jc w:val="distribute"/>
                        <w:rPr>
                          <w:rFonts w:ascii="Calibri"/>
                          <w:sz w:val="11"/>
                          <w:szCs w:val="11"/>
                        </w:rPr>
                      </w:pPr>
                      <w:r>
                        <w:rPr>
                          <w:rFonts w:hint="eastAsia" w:ascii="Calibri"/>
                          <w:sz w:val="11"/>
                          <w:szCs w:val="11"/>
                        </w:rPr>
                        <w:t>本报告防伪编码351022777857号，请登陆www.cqicpa.org.cn查询</w:t>
                      </w:r>
                    </w:p>
                  </w:txbxContent>
                </v:textbox>
              </v:shape>
            </w:pict>
          </mc:Fallback>
        </mc:AlternateContent>
      </w: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pStyle w:val="19"/>
        <w:spacing w:line="360" w:lineRule="auto"/>
        <w:jc w:val="center"/>
        <w:rPr>
          <w:rFonts w:ascii="黑体" w:hAnsi="黑体" w:eastAsia="黑体" w:cs="宋体"/>
          <w:b/>
          <w:sz w:val="36"/>
          <w:szCs w:val="36"/>
        </w:rPr>
      </w:pPr>
      <w:r>
        <w:rPr>
          <w:rFonts w:hint="eastAsia" w:ascii="黑体" w:hAnsi="黑体" w:eastAsia="黑体" w:cs="宋体"/>
          <w:b/>
          <w:sz w:val="36"/>
          <w:szCs w:val="36"/>
        </w:rPr>
        <w:t>北碚区2019年度</w:t>
      </w:r>
      <w:r>
        <w:rPr>
          <w:rFonts w:ascii="黑体" w:hAnsi="黑体" w:eastAsia="黑体" w:cs="宋体"/>
          <w:b/>
          <w:sz w:val="36"/>
          <w:szCs w:val="36"/>
        </w:rPr>
        <w:t xml:space="preserve"> </w:t>
      </w:r>
    </w:p>
    <w:p>
      <w:pPr>
        <w:pStyle w:val="19"/>
        <w:widowControl w:val="0"/>
        <w:spacing w:line="360" w:lineRule="auto"/>
        <w:jc w:val="center"/>
        <w:rPr>
          <w:rFonts w:ascii="黑体" w:hAnsi="黑体" w:eastAsia="黑体" w:cs="宋体"/>
          <w:b/>
          <w:sz w:val="36"/>
          <w:szCs w:val="36"/>
        </w:rPr>
      </w:pPr>
      <w:r>
        <w:rPr>
          <w:rFonts w:hint="eastAsia" w:ascii="黑体" w:hAnsi="黑体" w:eastAsia="黑体" w:cs="宋体"/>
          <w:b/>
          <w:sz w:val="36"/>
          <w:szCs w:val="36"/>
        </w:rPr>
        <w:t>市政道路清扫保洁项目绩效评价报告</w:t>
      </w:r>
    </w:p>
    <w:p>
      <w:pPr>
        <w:pStyle w:val="19"/>
        <w:widowControl w:val="0"/>
        <w:spacing w:line="360" w:lineRule="auto"/>
        <w:jc w:val="center"/>
        <w:rPr>
          <w:rFonts w:ascii="楷体" w:hAnsi="楷体" w:eastAsia="楷体" w:cs="楷体"/>
          <w:b/>
          <w:sz w:val="28"/>
          <w:szCs w:val="28"/>
          <w:lang w:val="zh-CN"/>
        </w:rPr>
      </w:pPr>
      <w:r>
        <w:rPr>
          <w:rFonts w:hint="eastAsia" w:ascii="黑体" w:hAnsi="黑体" w:eastAsia="黑体" w:cs="楷体"/>
          <w:sz w:val="18"/>
          <w:szCs w:val="18"/>
        </w:rPr>
        <w:t>天健渝咨〔2020〕153 号</w:t>
      </w:r>
    </w:p>
    <w:p>
      <w:pPr>
        <w:snapToGrid w:val="0"/>
        <w:spacing w:line="360" w:lineRule="auto"/>
        <w:ind w:firstLine="723"/>
        <w:jc w:val="center"/>
        <w:rPr>
          <w:rFonts w:ascii="黑体" w:hAnsi="黑体" w:eastAsia="黑体" w:cs="宋体"/>
          <w:b/>
          <w:sz w:val="36"/>
          <w:szCs w:val="36"/>
        </w:rPr>
      </w:pPr>
    </w:p>
    <w:p>
      <w:pPr>
        <w:snapToGrid w:val="0"/>
        <w:spacing w:line="360" w:lineRule="auto"/>
        <w:jc w:val="left"/>
        <w:rPr>
          <w:sz w:val="28"/>
          <w:szCs w:val="28"/>
        </w:rPr>
      </w:pPr>
      <w:bookmarkStart w:id="0" w:name="_Toc752"/>
      <w:bookmarkStart w:id="1" w:name="_Toc944"/>
      <w:bookmarkStart w:id="2" w:name="_Toc494356991"/>
      <w:bookmarkStart w:id="3" w:name="_Toc494403805"/>
      <w:bookmarkStart w:id="4" w:name="_Toc20079"/>
      <w:r>
        <w:rPr>
          <w:rFonts w:hint="eastAsia"/>
          <w:sz w:val="28"/>
          <w:szCs w:val="28"/>
        </w:rPr>
        <w:t>重庆市北碚区财政局：</w:t>
      </w:r>
      <w:bookmarkEnd w:id="0"/>
      <w:bookmarkEnd w:id="1"/>
      <w:bookmarkEnd w:id="2"/>
      <w:bookmarkEnd w:id="3"/>
      <w:bookmarkEnd w:id="4"/>
    </w:p>
    <w:p>
      <w:pPr>
        <w:snapToGrid w:val="0"/>
        <w:spacing w:line="360" w:lineRule="auto"/>
        <w:ind w:firstLine="560" w:firstLineChars="200"/>
        <w:rPr>
          <w:sz w:val="28"/>
          <w:szCs w:val="28"/>
        </w:rPr>
      </w:pPr>
      <w:r>
        <w:rPr>
          <w:rFonts w:hint="eastAsia" w:ascii="仿宋" w:hAnsi="仿宋" w:eastAsia="仿宋" w:cs="仿宋"/>
          <w:sz w:val="28"/>
          <w:szCs w:val="28"/>
        </w:rPr>
        <w:t>我们接受贵单位委托，对</w:t>
      </w:r>
      <w:r>
        <w:rPr>
          <w:rFonts w:hint="eastAsia"/>
          <w:sz w:val="28"/>
          <w:szCs w:val="28"/>
        </w:rPr>
        <w:t>北碚区20</w:t>
      </w:r>
      <w:r>
        <w:rPr>
          <w:sz w:val="28"/>
          <w:szCs w:val="28"/>
        </w:rPr>
        <w:t>19</w:t>
      </w:r>
      <w:r>
        <w:rPr>
          <w:rFonts w:hint="eastAsia"/>
          <w:sz w:val="28"/>
          <w:szCs w:val="28"/>
        </w:rPr>
        <w:t>年度市政道路清扫保洁项目</w:t>
      </w:r>
      <w:r>
        <w:rPr>
          <w:rFonts w:hint="eastAsia" w:ascii="仿宋" w:hAnsi="仿宋" w:eastAsia="仿宋" w:cs="仿宋"/>
          <w:sz w:val="28"/>
          <w:szCs w:val="28"/>
        </w:rPr>
        <w:t>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采用了清理项目资料、实地踏勘、检查会计原始记录以及分析性程序等我们认为必要的方式。现将绩效评价情况报告如下：</w:t>
      </w:r>
    </w:p>
    <w:p>
      <w:pPr>
        <w:snapToGrid w:val="0"/>
        <w:spacing w:line="360" w:lineRule="auto"/>
        <w:ind w:firstLine="560" w:firstLineChars="200"/>
        <w:rPr>
          <w:sz w:val="28"/>
          <w:szCs w:val="28"/>
        </w:rPr>
      </w:pPr>
    </w:p>
    <w:p>
      <w:pPr>
        <w:snapToGrid w:val="0"/>
        <w:spacing w:line="360" w:lineRule="auto"/>
        <w:ind w:firstLine="560" w:firstLineChars="200"/>
        <w:outlineLvl w:val="0"/>
        <w:rPr>
          <w:rFonts w:ascii="黑体" w:hAnsi="黑体" w:eastAsia="黑体"/>
          <w:b/>
          <w:bCs/>
          <w:sz w:val="28"/>
          <w:szCs w:val="28"/>
        </w:rPr>
      </w:pPr>
      <w:bookmarkStart w:id="5" w:name="_Toc26714"/>
      <w:bookmarkStart w:id="6" w:name="_Toc49241460"/>
      <w:bookmarkStart w:id="7" w:name="_Toc25357"/>
      <w:r>
        <w:rPr>
          <w:rFonts w:hint="eastAsia" w:ascii="黑体" w:hAnsi="黑体" w:eastAsia="黑体"/>
          <w:b/>
          <w:bCs/>
          <w:sz w:val="28"/>
          <w:szCs w:val="28"/>
        </w:rPr>
        <w:t>一、基本情况</w:t>
      </w:r>
      <w:bookmarkEnd w:id="5"/>
      <w:bookmarkEnd w:id="6"/>
      <w:bookmarkEnd w:id="7"/>
    </w:p>
    <w:p>
      <w:pPr>
        <w:snapToGrid w:val="0"/>
        <w:spacing w:line="360" w:lineRule="auto"/>
        <w:ind w:firstLine="560" w:firstLineChars="200"/>
        <w:outlineLvl w:val="1"/>
        <w:rPr>
          <w:b/>
          <w:bCs/>
          <w:sz w:val="28"/>
          <w:szCs w:val="28"/>
        </w:rPr>
      </w:pPr>
      <w:bookmarkStart w:id="8" w:name="_Toc26089"/>
      <w:bookmarkStart w:id="9" w:name="_Toc25836"/>
      <w:bookmarkStart w:id="10" w:name="_Toc49241461"/>
      <w:r>
        <w:rPr>
          <w:rFonts w:hint="eastAsia"/>
          <w:b/>
          <w:bCs/>
          <w:sz w:val="28"/>
          <w:szCs w:val="28"/>
        </w:rPr>
        <w:t>（一）项目</w:t>
      </w:r>
      <w:bookmarkEnd w:id="8"/>
      <w:r>
        <w:rPr>
          <w:rFonts w:hint="eastAsia"/>
          <w:b/>
          <w:bCs/>
          <w:sz w:val="28"/>
          <w:szCs w:val="28"/>
        </w:rPr>
        <w:t>概况</w:t>
      </w:r>
      <w:bookmarkEnd w:id="9"/>
      <w:bookmarkEnd w:id="10"/>
    </w:p>
    <w:p>
      <w:pPr>
        <w:snapToGrid w:val="0"/>
        <w:spacing w:line="360" w:lineRule="auto"/>
        <w:ind w:firstLine="560" w:firstLineChars="200"/>
        <w:outlineLvl w:val="2"/>
        <w:rPr>
          <w:sz w:val="28"/>
          <w:szCs w:val="28"/>
        </w:rPr>
      </w:pPr>
      <w:bookmarkStart w:id="11" w:name="_Toc49241462"/>
      <w:r>
        <w:rPr>
          <w:rFonts w:hint="eastAsia"/>
          <w:bCs/>
          <w:sz w:val="28"/>
          <w:szCs w:val="28"/>
        </w:rPr>
        <w:t>1．项目背景</w:t>
      </w:r>
      <w:bookmarkEnd w:id="11"/>
      <w:r>
        <w:rPr>
          <w:rFonts w:hint="eastAsia"/>
          <w:sz w:val="28"/>
          <w:szCs w:val="28"/>
        </w:rPr>
        <w:t xml:space="preserve">          </w:t>
      </w:r>
    </w:p>
    <w:p>
      <w:pPr>
        <w:snapToGrid w:val="0"/>
        <w:spacing w:line="360" w:lineRule="auto"/>
        <w:ind w:firstLine="560" w:firstLineChars="200"/>
        <w:rPr>
          <w:sz w:val="28"/>
          <w:szCs w:val="28"/>
        </w:rPr>
      </w:pPr>
      <w:r>
        <w:rPr>
          <w:rFonts w:hint="eastAsia"/>
          <w:sz w:val="28"/>
          <w:szCs w:val="28"/>
        </w:rPr>
        <w:t>城市道路就是城市的</w:t>
      </w:r>
      <w:r>
        <w:rPr>
          <w:rFonts w:hint="cs"/>
          <w:sz w:val="28"/>
          <w:szCs w:val="28"/>
        </w:rPr>
        <w:t>“</w:t>
      </w:r>
      <w:r>
        <w:rPr>
          <w:rFonts w:hint="eastAsia"/>
          <w:sz w:val="28"/>
          <w:szCs w:val="28"/>
        </w:rPr>
        <w:t>脸</w:t>
      </w:r>
      <w:r>
        <w:rPr>
          <w:rFonts w:hint="cs"/>
          <w:sz w:val="28"/>
          <w:szCs w:val="28"/>
        </w:rPr>
        <w:t>”</w:t>
      </w:r>
      <w:r>
        <w:rPr>
          <w:rFonts w:hint="eastAsia"/>
          <w:sz w:val="28"/>
          <w:szCs w:val="28"/>
        </w:rPr>
        <w:t>，城市道路保洁是一个不容忽视的问题，为确保城市道路的干净整洁，根据2019年2月3日《重庆市北碚区财政局 关于2019年区级部门预算的批复》（北碚财预</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2号），按照北碚区第十八届人民代表大会第三次会议批准的2019年区级财政预算， 2019年2月13日，区城管局批复所属二级预算单位重庆市北碚区环境卫生管理处（以下简称区环卫处）2019年市政道路清扫保洁预算1,900.00万元。</w:t>
      </w:r>
    </w:p>
    <w:p>
      <w:pPr>
        <w:snapToGrid w:val="0"/>
        <w:spacing w:line="360" w:lineRule="auto"/>
        <w:ind w:firstLine="560" w:firstLineChars="200"/>
        <w:jc w:val="left"/>
        <w:outlineLvl w:val="2"/>
        <w:rPr>
          <w:bCs/>
          <w:sz w:val="28"/>
          <w:szCs w:val="28"/>
        </w:rPr>
      </w:pPr>
      <w:bookmarkStart w:id="12" w:name="_Toc3947"/>
      <w:bookmarkStart w:id="13" w:name="_Toc49241463"/>
      <w:r>
        <w:rPr>
          <w:rFonts w:hint="eastAsia"/>
          <w:bCs/>
          <w:sz w:val="28"/>
          <w:szCs w:val="28"/>
        </w:rPr>
        <w:t>2</w:t>
      </w:r>
      <w:bookmarkEnd w:id="12"/>
      <w:r>
        <w:rPr>
          <w:rFonts w:hint="eastAsia"/>
          <w:bCs/>
          <w:sz w:val="28"/>
          <w:szCs w:val="28"/>
        </w:rPr>
        <w:t>．项目内容</w:t>
      </w:r>
      <w:bookmarkEnd w:id="13"/>
      <w:r>
        <w:rPr>
          <w:rFonts w:hint="eastAsia"/>
          <w:bCs/>
          <w:sz w:val="28"/>
          <w:szCs w:val="28"/>
        </w:rPr>
        <w:t xml:space="preserve"> </w:t>
      </w:r>
    </w:p>
    <w:p>
      <w:pPr>
        <w:snapToGrid w:val="0"/>
        <w:spacing w:line="360" w:lineRule="auto"/>
        <w:ind w:firstLine="560" w:firstLineChars="200"/>
        <w:rPr>
          <w:sz w:val="28"/>
          <w:szCs w:val="28"/>
        </w:rPr>
      </w:pPr>
      <w:r>
        <w:rPr>
          <w:rFonts w:hint="eastAsia"/>
          <w:sz w:val="28"/>
          <w:szCs w:val="28"/>
        </w:rPr>
        <w:t>2019年经批准的预算1,900.00万元，主要计划用于人员道路清扫保洁相关的人员工资福利支出、保洁道具购买等。</w:t>
      </w:r>
    </w:p>
    <w:p>
      <w:pPr>
        <w:snapToGrid w:val="0"/>
        <w:spacing w:line="360" w:lineRule="auto"/>
        <w:ind w:firstLine="560" w:firstLineChars="200"/>
        <w:outlineLvl w:val="2"/>
        <w:rPr>
          <w:sz w:val="28"/>
          <w:szCs w:val="28"/>
        </w:rPr>
      </w:pPr>
      <w:bookmarkStart w:id="14" w:name="_Toc49241464"/>
      <w:r>
        <w:rPr>
          <w:rFonts w:hint="eastAsia"/>
          <w:sz w:val="28"/>
          <w:szCs w:val="28"/>
        </w:rPr>
        <w:t>3．项目实施情况</w:t>
      </w:r>
      <w:bookmarkEnd w:id="14"/>
    </w:p>
    <w:p>
      <w:pPr>
        <w:snapToGrid w:val="0"/>
        <w:spacing w:line="360" w:lineRule="auto"/>
        <w:ind w:firstLine="560" w:firstLineChars="200"/>
        <w:rPr>
          <w:sz w:val="28"/>
          <w:szCs w:val="28"/>
        </w:rPr>
      </w:pPr>
      <w:r>
        <w:rPr>
          <w:rFonts w:hint="eastAsia"/>
          <w:sz w:val="28"/>
          <w:szCs w:val="28"/>
        </w:rPr>
        <w:t>截至2019年12月底，区环卫处采取直管作业和服务外包作业模式相结合的方式，对辖区内需清扫保洁的道路分片区由专人负责管理，2019年路清扫保洁面积共计282.37万平方米。</w:t>
      </w:r>
    </w:p>
    <w:p>
      <w:pPr>
        <w:snapToGrid w:val="0"/>
        <w:spacing w:line="360" w:lineRule="auto"/>
        <w:ind w:firstLine="560" w:firstLineChars="200"/>
        <w:outlineLvl w:val="2"/>
        <w:rPr>
          <w:bCs/>
          <w:sz w:val="28"/>
          <w:szCs w:val="28"/>
        </w:rPr>
      </w:pPr>
      <w:bookmarkStart w:id="15" w:name="_Toc49241465"/>
      <w:r>
        <w:rPr>
          <w:rFonts w:hint="eastAsia"/>
          <w:bCs/>
          <w:sz w:val="28"/>
          <w:szCs w:val="28"/>
        </w:rPr>
        <w:t>4．资金投入及使用情况</w:t>
      </w:r>
      <w:bookmarkEnd w:id="15"/>
    </w:p>
    <w:p>
      <w:pPr>
        <w:snapToGrid w:val="0"/>
        <w:spacing w:line="360" w:lineRule="auto"/>
        <w:ind w:firstLine="560" w:firstLineChars="200"/>
        <w:rPr>
          <w:sz w:val="28"/>
          <w:szCs w:val="28"/>
        </w:rPr>
      </w:pPr>
      <w:r>
        <w:rPr>
          <w:rFonts w:hint="eastAsia"/>
          <w:sz w:val="28"/>
          <w:szCs w:val="28"/>
        </w:rPr>
        <w:t>该项目预算批复1,900.00万元，实际到位资金1,900.00万元，2019年全年用于工资福利支出、保洁工具购买等支出共计2,093.79万元。资金缺口来源于区环卫所日常经费资金。</w:t>
      </w:r>
    </w:p>
    <w:p>
      <w:pPr>
        <w:snapToGrid w:val="0"/>
        <w:spacing w:line="360" w:lineRule="auto"/>
        <w:ind w:firstLine="560" w:firstLineChars="200"/>
        <w:outlineLvl w:val="1"/>
        <w:rPr>
          <w:b/>
          <w:bCs/>
          <w:sz w:val="28"/>
          <w:szCs w:val="28"/>
        </w:rPr>
      </w:pPr>
      <w:bookmarkStart w:id="16" w:name="_Toc49241466"/>
      <w:bookmarkStart w:id="17" w:name="_Toc13551"/>
      <w:r>
        <w:rPr>
          <w:rFonts w:hint="eastAsia"/>
          <w:b/>
          <w:bCs/>
          <w:sz w:val="28"/>
          <w:szCs w:val="28"/>
        </w:rPr>
        <w:t>（二）项目绩效目标</w:t>
      </w:r>
      <w:bookmarkEnd w:id="16"/>
      <w:bookmarkEnd w:id="17"/>
    </w:p>
    <w:p>
      <w:pPr>
        <w:snapToGrid w:val="0"/>
        <w:spacing w:line="360" w:lineRule="auto"/>
        <w:ind w:firstLine="560" w:firstLineChars="200"/>
        <w:outlineLvl w:val="2"/>
        <w:rPr>
          <w:bCs/>
          <w:sz w:val="28"/>
          <w:szCs w:val="28"/>
        </w:rPr>
      </w:pPr>
      <w:bookmarkStart w:id="18" w:name="_Toc49241467"/>
      <w:r>
        <w:rPr>
          <w:rFonts w:hint="eastAsia"/>
          <w:bCs/>
          <w:sz w:val="28"/>
          <w:szCs w:val="28"/>
        </w:rPr>
        <w:t>1．总体目标</w:t>
      </w:r>
      <w:bookmarkEnd w:id="18"/>
    </w:p>
    <w:p>
      <w:pPr>
        <w:snapToGrid w:val="0"/>
        <w:spacing w:line="360" w:lineRule="auto"/>
        <w:ind w:firstLine="560" w:firstLineChars="200"/>
        <w:rPr>
          <w:bCs/>
          <w:sz w:val="28"/>
          <w:szCs w:val="28"/>
        </w:rPr>
      </w:pPr>
      <w:r>
        <w:rPr>
          <w:rFonts w:hint="eastAsia"/>
          <w:bCs/>
          <w:sz w:val="28"/>
          <w:szCs w:val="28"/>
        </w:rPr>
        <w:t>确保城区保洁面积达</w:t>
      </w:r>
      <w:r>
        <w:rPr>
          <w:rFonts w:hint="eastAsia"/>
          <w:sz w:val="28"/>
          <w:szCs w:val="28"/>
        </w:rPr>
        <w:t>282.37万平方米</w:t>
      </w:r>
      <w:r>
        <w:rPr>
          <w:rFonts w:hint="eastAsia"/>
          <w:bCs/>
          <w:sz w:val="28"/>
          <w:szCs w:val="28"/>
        </w:rPr>
        <w:t>，道路无明显垃圾，作业服务范围内的生活垃圾日产日清，降低扬尘污染，为居民提供良好的生活环境。</w:t>
      </w:r>
    </w:p>
    <w:p>
      <w:pPr>
        <w:snapToGrid w:val="0"/>
        <w:spacing w:line="360" w:lineRule="auto"/>
        <w:ind w:firstLine="560" w:firstLineChars="200"/>
        <w:outlineLvl w:val="2"/>
        <w:rPr>
          <w:bCs/>
          <w:sz w:val="28"/>
          <w:szCs w:val="28"/>
        </w:rPr>
      </w:pPr>
      <w:bookmarkStart w:id="19" w:name="_Toc49241468"/>
      <w:r>
        <w:rPr>
          <w:rFonts w:hint="eastAsia"/>
          <w:bCs/>
          <w:sz w:val="28"/>
          <w:szCs w:val="28"/>
        </w:rPr>
        <w:t>2．阶段性目标</w:t>
      </w:r>
      <w:bookmarkEnd w:id="19"/>
    </w:p>
    <w:p>
      <w:pPr>
        <w:snapToGrid w:val="0"/>
        <w:spacing w:line="360" w:lineRule="auto"/>
        <w:ind w:firstLine="560" w:firstLineChars="200"/>
        <w:rPr>
          <w:bCs/>
          <w:sz w:val="28"/>
          <w:szCs w:val="28"/>
        </w:rPr>
      </w:pPr>
      <w:bookmarkStart w:id="20" w:name="_Toc2761"/>
      <w:r>
        <w:rPr>
          <w:rFonts w:hint="eastAsia"/>
          <w:bCs/>
          <w:sz w:val="28"/>
          <w:szCs w:val="28"/>
        </w:rPr>
        <w:t>对保洁路段采用普扫遍、巡回保洁、普遍清扫、定时保洁的方式，确保路面干净，排水ロ干净，树穴、花坛、绿化带及周围干净。垃圾桶、果皮箱内外、周边干净，道路边角干净;在垃圾清运上监管环卫设施，确保垃圾桶的设施完好率且周边整齐，保证日常道路洒水降尘及街面冲洗力度，通过一系列的措施美化北碚区的城区环境。</w:t>
      </w:r>
    </w:p>
    <w:p>
      <w:pPr>
        <w:snapToGrid w:val="0"/>
        <w:spacing w:line="360" w:lineRule="auto"/>
        <w:ind w:firstLine="560" w:firstLineChars="200"/>
        <w:outlineLvl w:val="0"/>
        <w:rPr>
          <w:rFonts w:ascii="黑体" w:hAnsi="黑体" w:eastAsia="黑体"/>
          <w:b/>
          <w:bCs/>
          <w:sz w:val="28"/>
          <w:szCs w:val="28"/>
        </w:rPr>
      </w:pPr>
      <w:bookmarkStart w:id="21" w:name="_Toc25455"/>
      <w:bookmarkStart w:id="22" w:name="_Toc49241469"/>
      <w:r>
        <w:rPr>
          <w:rFonts w:hint="eastAsia" w:ascii="黑体" w:hAnsi="黑体" w:eastAsia="黑体"/>
          <w:b/>
          <w:bCs/>
          <w:sz w:val="28"/>
          <w:szCs w:val="28"/>
        </w:rPr>
        <w:t>二、绩效评价工作开展情况</w:t>
      </w:r>
      <w:bookmarkEnd w:id="20"/>
      <w:bookmarkEnd w:id="21"/>
      <w:bookmarkEnd w:id="22"/>
    </w:p>
    <w:p>
      <w:pPr>
        <w:snapToGrid w:val="0"/>
        <w:spacing w:line="360" w:lineRule="auto"/>
        <w:ind w:firstLine="560" w:firstLineChars="200"/>
        <w:outlineLvl w:val="1"/>
        <w:rPr>
          <w:b/>
          <w:bCs/>
          <w:sz w:val="28"/>
          <w:szCs w:val="28"/>
        </w:rPr>
      </w:pPr>
      <w:bookmarkStart w:id="23" w:name="_Toc25212"/>
      <w:bookmarkStart w:id="24" w:name="_Toc49241470"/>
      <w:bookmarkStart w:id="25" w:name="_Toc27977"/>
      <w:r>
        <w:rPr>
          <w:rFonts w:hint="eastAsia"/>
          <w:b/>
          <w:bCs/>
          <w:sz w:val="28"/>
          <w:szCs w:val="28"/>
        </w:rPr>
        <w:t>（一）绩效评价目的</w:t>
      </w:r>
      <w:bookmarkEnd w:id="23"/>
      <w:bookmarkEnd w:id="24"/>
      <w:bookmarkEnd w:id="25"/>
    </w:p>
    <w:p>
      <w:pPr>
        <w:snapToGrid w:val="0"/>
        <w:spacing w:line="360" w:lineRule="auto"/>
        <w:ind w:firstLine="560" w:firstLineChars="200"/>
        <w:rPr>
          <w:sz w:val="28"/>
          <w:szCs w:val="28"/>
        </w:rPr>
      </w:pPr>
      <w:r>
        <w:rPr>
          <w:rFonts w:hint="eastAsia"/>
          <w:sz w:val="28"/>
          <w:szCs w:val="28"/>
        </w:rPr>
        <w:t>一方面通过对项目决策、项目管理、项目产出、项目效益的综合评价，总结经验规律，查找问题不足，提高财政专项资金使用成效，把北碚区道路清扫保洁项目办成惠民项目和群众满意项目。另一方面，总结推广道路清扫保洁的基本经验，特色做法，创新举措，对项目可持续性发展做出科学预判，为全区道路清扫保洁工作的以后年度决策和实施提供借鉴。</w:t>
      </w:r>
    </w:p>
    <w:p>
      <w:pPr>
        <w:snapToGrid w:val="0"/>
        <w:spacing w:line="360" w:lineRule="auto"/>
        <w:ind w:firstLine="560" w:firstLineChars="200"/>
        <w:outlineLvl w:val="1"/>
        <w:rPr>
          <w:b/>
          <w:bCs/>
          <w:sz w:val="28"/>
          <w:szCs w:val="28"/>
        </w:rPr>
      </w:pPr>
      <w:bookmarkStart w:id="26" w:name="_Toc49241471"/>
      <w:bookmarkStart w:id="27" w:name="_Toc31964"/>
      <w:bookmarkStart w:id="28" w:name="_Toc16754"/>
      <w:r>
        <w:rPr>
          <w:rFonts w:hint="eastAsia"/>
          <w:b/>
          <w:bCs/>
          <w:sz w:val="28"/>
          <w:szCs w:val="28"/>
        </w:rPr>
        <w:t>（二）绩效评价依据</w:t>
      </w:r>
      <w:bookmarkEnd w:id="26"/>
      <w:bookmarkEnd w:id="27"/>
      <w:bookmarkEnd w:id="28"/>
    </w:p>
    <w:p>
      <w:pPr>
        <w:snapToGrid w:val="0"/>
        <w:spacing w:line="360" w:lineRule="auto"/>
        <w:ind w:firstLine="560" w:firstLineChars="200"/>
        <w:rPr>
          <w:sz w:val="28"/>
          <w:szCs w:val="28"/>
        </w:rPr>
      </w:pPr>
      <w:bookmarkStart w:id="29" w:name="_Toc4879"/>
      <w:bookmarkStart w:id="30" w:name="_Toc16170"/>
      <w:r>
        <w:rPr>
          <w:rFonts w:hint="eastAsia"/>
          <w:sz w:val="28"/>
          <w:szCs w:val="28"/>
        </w:rPr>
        <w:t>1．《中华人民共和国预算法》；</w:t>
      </w:r>
    </w:p>
    <w:p>
      <w:pPr>
        <w:snapToGrid w:val="0"/>
        <w:spacing w:line="360" w:lineRule="auto"/>
        <w:ind w:firstLine="560" w:firstLineChars="200"/>
        <w:rPr>
          <w:sz w:val="28"/>
          <w:szCs w:val="28"/>
        </w:rPr>
      </w:pPr>
      <w:r>
        <w:rPr>
          <w:rFonts w:hint="eastAsia"/>
          <w:sz w:val="28"/>
          <w:szCs w:val="28"/>
        </w:rPr>
        <w:t>2．《关于印发&lt;项目支出绩效评价管理办法&gt;的通知》（财预〔2020〕10 号）；</w:t>
      </w:r>
    </w:p>
    <w:p>
      <w:pPr>
        <w:snapToGrid w:val="0"/>
        <w:spacing w:line="360" w:lineRule="auto"/>
        <w:ind w:firstLine="560" w:firstLineChars="200"/>
        <w:rPr>
          <w:sz w:val="28"/>
          <w:szCs w:val="28"/>
        </w:rPr>
      </w:pPr>
      <w:r>
        <w:rPr>
          <w:rFonts w:hint="eastAsia"/>
          <w:sz w:val="28"/>
          <w:szCs w:val="28"/>
        </w:rPr>
        <w:t>3．《关于贯彻落实&lt;中共中央国务院 关于全面实施预算绩效管理的意见&gt;的通知》（财预〔2018〕167号）；</w:t>
      </w:r>
    </w:p>
    <w:p>
      <w:pPr>
        <w:snapToGrid w:val="0"/>
        <w:spacing w:line="360" w:lineRule="auto"/>
        <w:ind w:firstLine="560" w:firstLineChars="200"/>
        <w:rPr>
          <w:sz w:val="28"/>
          <w:szCs w:val="28"/>
        </w:rPr>
      </w:pPr>
      <w:r>
        <w:rPr>
          <w:rFonts w:hint="eastAsia"/>
          <w:sz w:val="28"/>
          <w:szCs w:val="28"/>
        </w:rPr>
        <w:t>4．《重庆市财政局关于推进区县预算绩效管理工作的通知》（渝财绩〔2020〕1号）；</w:t>
      </w:r>
    </w:p>
    <w:p>
      <w:pPr>
        <w:snapToGrid w:val="0"/>
        <w:spacing w:line="360" w:lineRule="auto"/>
        <w:ind w:firstLine="560" w:firstLineChars="200"/>
        <w:rPr>
          <w:sz w:val="28"/>
          <w:szCs w:val="28"/>
        </w:rPr>
      </w:pPr>
      <w:r>
        <w:rPr>
          <w:rFonts w:hint="eastAsia"/>
          <w:sz w:val="28"/>
          <w:szCs w:val="28"/>
        </w:rPr>
        <w:t>5．《中共重庆市委 重庆市人民政府 关于全面实施预算绩效管理的实施意见》（渝委发〔2019〕12号）；</w:t>
      </w:r>
    </w:p>
    <w:p>
      <w:pPr>
        <w:snapToGrid w:val="0"/>
        <w:spacing w:line="360" w:lineRule="auto"/>
        <w:ind w:firstLine="560" w:firstLineChars="200"/>
        <w:rPr>
          <w:sz w:val="28"/>
          <w:szCs w:val="28"/>
        </w:rPr>
      </w:pPr>
      <w:r>
        <w:rPr>
          <w:rFonts w:hint="eastAsia"/>
          <w:sz w:val="28"/>
          <w:szCs w:val="28"/>
        </w:rPr>
        <w:t>6．《重庆市北碚区财政局关于开展2019年度政策和项目资金绩效评价（财政重点评价）工作的通知》（北碚财〔2020〕232号）；</w:t>
      </w:r>
    </w:p>
    <w:p>
      <w:pPr>
        <w:snapToGrid w:val="0"/>
        <w:spacing w:line="360" w:lineRule="auto"/>
        <w:ind w:firstLine="560" w:firstLineChars="200"/>
        <w:rPr>
          <w:sz w:val="28"/>
          <w:szCs w:val="28"/>
        </w:rPr>
      </w:pPr>
      <w:r>
        <w:rPr>
          <w:rFonts w:hint="eastAsia"/>
          <w:sz w:val="28"/>
          <w:szCs w:val="28"/>
        </w:rPr>
        <w:t>7.</w:t>
      </w:r>
      <w:r>
        <w:rPr>
          <w:rFonts w:hint="eastAsia"/>
        </w:rPr>
        <w:t xml:space="preserve"> 《</w:t>
      </w:r>
      <w:r>
        <w:rPr>
          <w:rFonts w:hint="eastAsia"/>
          <w:sz w:val="28"/>
          <w:szCs w:val="28"/>
        </w:rPr>
        <w:t>重庆市北碚区财政局关于印发&lt;重庆市北碚区区级项目支出预算管理办法&gt;的通知》（北碚财〔2019〕267号）；</w:t>
      </w:r>
    </w:p>
    <w:p>
      <w:pPr>
        <w:snapToGrid w:val="0"/>
        <w:spacing w:line="360" w:lineRule="auto"/>
        <w:ind w:firstLine="560" w:firstLineChars="200"/>
        <w:rPr>
          <w:sz w:val="28"/>
          <w:szCs w:val="28"/>
        </w:rPr>
      </w:pPr>
      <w:r>
        <w:rPr>
          <w:rFonts w:hint="eastAsia"/>
          <w:sz w:val="28"/>
          <w:szCs w:val="28"/>
        </w:rPr>
        <w:t>8．重庆市北碚财政局与天健会计师事务所（特殊普通合伙）重庆分所签订的《绩效评价业务合同书》；</w:t>
      </w:r>
    </w:p>
    <w:p>
      <w:pPr>
        <w:snapToGrid w:val="0"/>
        <w:spacing w:line="360" w:lineRule="auto"/>
        <w:ind w:firstLine="560" w:firstLineChars="200"/>
        <w:rPr>
          <w:sz w:val="28"/>
          <w:szCs w:val="28"/>
        </w:rPr>
      </w:pPr>
      <w:r>
        <w:rPr>
          <w:rFonts w:hint="eastAsia"/>
          <w:sz w:val="28"/>
          <w:szCs w:val="28"/>
        </w:rPr>
        <w:t>9．本项目各相关单位提供的有关资料。</w:t>
      </w:r>
    </w:p>
    <w:p>
      <w:pPr>
        <w:snapToGrid w:val="0"/>
        <w:spacing w:line="360" w:lineRule="auto"/>
        <w:ind w:firstLine="560" w:firstLineChars="200"/>
        <w:outlineLvl w:val="1"/>
        <w:rPr>
          <w:b/>
          <w:bCs/>
          <w:sz w:val="28"/>
          <w:szCs w:val="28"/>
        </w:rPr>
      </w:pPr>
      <w:bookmarkStart w:id="31" w:name="_Toc49241472"/>
      <w:r>
        <w:rPr>
          <w:rFonts w:hint="eastAsia"/>
          <w:b/>
          <w:bCs/>
          <w:sz w:val="28"/>
          <w:szCs w:val="28"/>
        </w:rPr>
        <w:t>（三）绩效评价评价主体</w:t>
      </w:r>
      <w:bookmarkEnd w:id="29"/>
      <w:bookmarkEnd w:id="30"/>
      <w:bookmarkEnd w:id="31"/>
    </w:p>
    <w:p>
      <w:pPr>
        <w:snapToGrid w:val="0"/>
        <w:spacing w:line="360" w:lineRule="auto"/>
        <w:ind w:firstLine="560" w:firstLineChars="200"/>
        <w:rPr>
          <w:sz w:val="28"/>
          <w:szCs w:val="28"/>
        </w:rPr>
      </w:pPr>
      <w:r>
        <w:rPr>
          <w:rFonts w:hint="eastAsia"/>
          <w:sz w:val="28"/>
          <w:szCs w:val="28"/>
        </w:rPr>
        <w:t>本项目绩效评价工作由区财政局统一组织，天健会计师事务所（特殊普通合伙）重庆分所组成绩效评价工作组，具体负责评价工作的实施和管理，受评单位共同参与。</w:t>
      </w:r>
    </w:p>
    <w:p>
      <w:pPr>
        <w:snapToGrid w:val="0"/>
        <w:spacing w:line="360" w:lineRule="auto"/>
        <w:ind w:firstLine="560" w:firstLineChars="200"/>
        <w:outlineLvl w:val="1"/>
        <w:rPr>
          <w:b/>
          <w:bCs/>
          <w:sz w:val="28"/>
          <w:szCs w:val="28"/>
        </w:rPr>
      </w:pPr>
      <w:bookmarkStart w:id="32" w:name="_Toc12458"/>
      <w:bookmarkStart w:id="33" w:name="_Toc49241473"/>
      <w:bookmarkStart w:id="34" w:name="_Toc31711"/>
      <w:r>
        <w:rPr>
          <w:rFonts w:hint="eastAsia"/>
          <w:b/>
          <w:bCs/>
          <w:sz w:val="28"/>
          <w:szCs w:val="28"/>
        </w:rPr>
        <w:t>（四）绩效评价原则</w:t>
      </w:r>
      <w:bookmarkEnd w:id="32"/>
      <w:bookmarkEnd w:id="33"/>
      <w:bookmarkEnd w:id="34"/>
    </w:p>
    <w:p>
      <w:pPr>
        <w:snapToGrid w:val="0"/>
        <w:spacing w:line="360" w:lineRule="auto"/>
        <w:ind w:firstLine="560" w:firstLineChars="200"/>
        <w:rPr>
          <w:sz w:val="28"/>
          <w:szCs w:val="28"/>
        </w:rPr>
      </w:pPr>
      <w:r>
        <w:rPr>
          <w:rFonts w:hint="eastAsia"/>
          <w:sz w:val="28"/>
          <w:szCs w:val="28"/>
        </w:rPr>
        <w:t>评价工作组秉承科学规范、客观公正、定性定量、可操作性强、适度性高的原则。</w:t>
      </w:r>
    </w:p>
    <w:p>
      <w:pPr>
        <w:snapToGrid w:val="0"/>
        <w:spacing w:line="360" w:lineRule="auto"/>
        <w:ind w:firstLine="560" w:firstLineChars="200"/>
        <w:outlineLvl w:val="1"/>
        <w:rPr>
          <w:b/>
          <w:bCs/>
          <w:sz w:val="28"/>
          <w:szCs w:val="28"/>
        </w:rPr>
      </w:pPr>
      <w:bookmarkStart w:id="35" w:name="_Toc49241474"/>
      <w:bookmarkStart w:id="36" w:name="_Toc30419"/>
      <w:bookmarkStart w:id="37" w:name="_Toc18094"/>
      <w:r>
        <w:rPr>
          <w:rFonts w:hint="eastAsia"/>
          <w:b/>
          <w:bCs/>
          <w:sz w:val="28"/>
          <w:szCs w:val="28"/>
        </w:rPr>
        <w:t>（五）评价方法</w:t>
      </w:r>
      <w:bookmarkEnd w:id="35"/>
      <w:bookmarkEnd w:id="36"/>
      <w:bookmarkEnd w:id="37"/>
    </w:p>
    <w:p>
      <w:pPr>
        <w:snapToGrid w:val="0"/>
        <w:spacing w:line="360" w:lineRule="auto"/>
        <w:ind w:firstLine="560" w:firstLineChars="200"/>
        <w:rPr>
          <w:sz w:val="28"/>
          <w:szCs w:val="28"/>
        </w:rPr>
      </w:pPr>
      <w:r>
        <w:rPr>
          <w:rFonts w:hint="eastAsia"/>
          <w:sz w:val="28"/>
          <w:szCs w:val="28"/>
        </w:rPr>
        <w:t>1．文献研究法：对项目文件的资料进行研究分析，包括：项目管理文件、项目预算资金文件、项目实施过程中形成的资料等。</w:t>
      </w:r>
    </w:p>
    <w:p>
      <w:pPr>
        <w:snapToGrid w:val="0"/>
        <w:spacing w:line="360" w:lineRule="auto"/>
        <w:ind w:firstLine="560" w:firstLineChars="200"/>
        <w:rPr>
          <w:sz w:val="28"/>
          <w:szCs w:val="28"/>
        </w:rPr>
      </w:pPr>
      <w:r>
        <w:rPr>
          <w:rFonts w:hint="eastAsia"/>
          <w:sz w:val="28"/>
          <w:szCs w:val="28"/>
        </w:rPr>
        <w:t>2．比较分析法：把两个相互联系的指标数据加以比较分析，借以作出程度性判断，分绝对数比较和相对数比较。</w:t>
      </w:r>
    </w:p>
    <w:p>
      <w:pPr>
        <w:snapToGrid w:val="0"/>
        <w:spacing w:line="360" w:lineRule="auto"/>
        <w:ind w:firstLine="560" w:firstLineChars="200"/>
        <w:rPr>
          <w:sz w:val="28"/>
          <w:szCs w:val="28"/>
        </w:rPr>
      </w:pPr>
      <w:r>
        <w:rPr>
          <w:rFonts w:hint="eastAsia"/>
          <w:sz w:val="28"/>
          <w:szCs w:val="28"/>
        </w:rPr>
        <w:t>3．问卷调查法：在道路清扫保洁周边受益群众中，共计发放并收回有效问卷10份，围绕北碚区道路清扫保洁工作开展广泛调查，获取一手资料。</w:t>
      </w:r>
    </w:p>
    <w:p>
      <w:pPr>
        <w:snapToGrid w:val="0"/>
        <w:spacing w:line="360" w:lineRule="auto"/>
        <w:ind w:firstLine="560" w:firstLineChars="200"/>
        <w:rPr>
          <w:sz w:val="28"/>
          <w:szCs w:val="28"/>
        </w:rPr>
      </w:pPr>
      <w:r>
        <w:rPr>
          <w:rFonts w:hint="eastAsia"/>
          <w:sz w:val="28"/>
          <w:szCs w:val="28"/>
        </w:rPr>
        <w:t>4．访谈法：工作组对区环卫处财务人员、业务人员分别进行了访谈。根据被询问者的答复搜集客观的实事材料和评语。</w:t>
      </w:r>
    </w:p>
    <w:p>
      <w:pPr>
        <w:snapToGrid w:val="0"/>
        <w:spacing w:line="360" w:lineRule="auto"/>
        <w:ind w:firstLine="560" w:firstLineChars="200"/>
        <w:rPr>
          <w:sz w:val="28"/>
          <w:szCs w:val="28"/>
        </w:rPr>
      </w:pPr>
      <w:r>
        <w:rPr>
          <w:rFonts w:hint="eastAsia"/>
          <w:sz w:val="28"/>
          <w:szCs w:val="28"/>
        </w:rPr>
        <w:t>5．抽查法：工作组检查了道路清扫保洁的日常检查资料，对项目的相关财务凭证进行了核对查验。</w:t>
      </w:r>
    </w:p>
    <w:p>
      <w:pPr>
        <w:snapToGrid w:val="0"/>
        <w:spacing w:line="360" w:lineRule="auto"/>
        <w:ind w:firstLine="560" w:firstLineChars="200"/>
        <w:outlineLvl w:val="1"/>
        <w:rPr>
          <w:b/>
          <w:bCs/>
          <w:sz w:val="28"/>
          <w:szCs w:val="28"/>
        </w:rPr>
      </w:pPr>
      <w:bookmarkStart w:id="38" w:name="_Toc49241475"/>
      <w:bookmarkStart w:id="39" w:name="_Toc32488"/>
      <w:bookmarkStart w:id="40" w:name="_Toc1430"/>
      <w:r>
        <w:rPr>
          <w:rFonts w:hint="eastAsia"/>
          <w:b/>
          <w:bCs/>
          <w:sz w:val="28"/>
          <w:szCs w:val="28"/>
        </w:rPr>
        <w:t>（六）评价指标</w:t>
      </w:r>
      <w:bookmarkEnd w:id="38"/>
      <w:bookmarkEnd w:id="39"/>
      <w:bookmarkEnd w:id="40"/>
    </w:p>
    <w:p>
      <w:pPr>
        <w:snapToGrid w:val="0"/>
        <w:spacing w:line="360" w:lineRule="auto"/>
        <w:ind w:firstLine="560" w:firstLineChars="200"/>
        <w:outlineLvl w:val="2"/>
        <w:rPr>
          <w:bCs/>
          <w:sz w:val="28"/>
          <w:szCs w:val="28"/>
        </w:rPr>
      </w:pPr>
      <w:bookmarkStart w:id="41" w:name="_Toc49241476"/>
      <w:bookmarkStart w:id="42" w:name="_Toc7607"/>
      <w:r>
        <w:rPr>
          <w:rFonts w:hint="eastAsia"/>
          <w:bCs/>
          <w:sz w:val="28"/>
          <w:szCs w:val="28"/>
        </w:rPr>
        <w:t>1．整体框架</w:t>
      </w:r>
      <w:bookmarkEnd w:id="41"/>
      <w:bookmarkEnd w:id="42"/>
    </w:p>
    <w:p>
      <w:pPr>
        <w:snapToGrid w:val="0"/>
        <w:spacing w:line="360" w:lineRule="auto"/>
        <w:ind w:firstLine="560" w:firstLineChars="200"/>
        <w:rPr>
          <w:sz w:val="28"/>
          <w:szCs w:val="28"/>
        </w:rPr>
      </w:pPr>
      <w:r>
        <w:rPr>
          <w:rFonts w:hint="eastAsia"/>
          <w:sz w:val="28"/>
          <w:szCs w:val="28"/>
        </w:rPr>
        <w:t>评价工作组在前期调研、资料搜集、文献查阅基础上、拟定了绩效评价指标体系初稿，按照《关于印发&lt;项目支出绩效评价管理办法&gt;的通知》（财预〔2020〕10 号）制定了指标体系及评价标准。整个指标体系共设有项目决策（15分）、过程管理（20分）、项目产出（30分）、项目效益（35分）4个一级指标，10个二级指标，19个三级指标。详见附件《北碚区20</w:t>
      </w:r>
      <w:r>
        <w:rPr>
          <w:sz w:val="28"/>
          <w:szCs w:val="28"/>
        </w:rPr>
        <w:t>19</w:t>
      </w:r>
      <w:r>
        <w:rPr>
          <w:rFonts w:hint="eastAsia"/>
          <w:sz w:val="28"/>
          <w:szCs w:val="28"/>
        </w:rPr>
        <w:t>年度市政道路清扫保洁项目绩效评价指标体系评分表》。</w:t>
      </w:r>
    </w:p>
    <w:p>
      <w:pPr>
        <w:snapToGrid w:val="0"/>
        <w:spacing w:line="360" w:lineRule="auto"/>
        <w:ind w:firstLine="560" w:firstLineChars="200"/>
        <w:outlineLvl w:val="2"/>
        <w:rPr>
          <w:bCs/>
          <w:sz w:val="28"/>
          <w:szCs w:val="28"/>
        </w:rPr>
      </w:pPr>
      <w:bookmarkStart w:id="43" w:name="_Toc49241477"/>
      <w:bookmarkStart w:id="44" w:name="_Toc4023"/>
      <w:r>
        <w:rPr>
          <w:rFonts w:hint="eastAsia"/>
          <w:bCs/>
          <w:sz w:val="28"/>
          <w:szCs w:val="28"/>
        </w:rPr>
        <w:t>2．记分原则</w:t>
      </w:r>
      <w:bookmarkEnd w:id="43"/>
      <w:bookmarkEnd w:id="44"/>
    </w:p>
    <w:p>
      <w:pPr>
        <w:snapToGrid w:val="0"/>
        <w:spacing w:line="360" w:lineRule="auto"/>
        <w:ind w:firstLine="560" w:firstLineChars="20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项评价时不能依据准确的表达公式计算出得分。为此由工作组根据实际考察情况进行主观认知评分—如果是多位人员打分，则把人员对单项指标的评价结论经过转换汇总后除以总人数，得到这一项子指标的分数。</w:t>
      </w:r>
    </w:p>
    <w:p>
      <w:pPr>
        <w:snapToGrid w:val="0"/>
        <w:spacing w:line="360" w:lineRule="auto"/>
        <w:ind w:firstLine="560" w:firstLineChars="200"/>
        <w:outlineLvl w:val="2"/>
        <w:rPr>
          <w:bCs/>
          <w:sz w:val="28"/>
          <w:szCs w:val="28"/>
        </w:rPr>
      </w:pPr>
      <w:bookmarkStart w:id="45" w:name="_Toc8125"/>
      <w:bookmarkStart w:id="46" w:name="_Toc49241478"/>
      <w:r>
        <w:rPr>
          <w:rFonts w:hint="eastAsia"/>
          <w:bCs/>
          <w:sz w:val="28"/>
          <w:szCs w:val="28"/>
        </w:rPr>
        <w:t>3．结果判定</w:t>
      </w:r>
      <w:bookmarkEnd w:id="45"/>
      <w:bookmarkEnd w:id="46"/>
    </w:p>
    <w:tbl>
      <w:tblPr>
        <w:tblStyle w:val="13"/>
        <w:tblpPr w:leftFromText="180" w:rightFromText="180" w:vertAnchor="text" w:horzAnchor="margin" w:tblpY="168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4"/>
        <w:gridCol w:w="147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评价总分</w:t>
            </w:r>
          </w:p>
        </w:tc>
        <w:tc>
          <w:tcPr>
            <w:tcW w:w="1934" w:type="dxa"/>
            <w:vAlign w:val="center"/>
          </w:tcPr>
          <w:p>
            <w:pPr>
              <w:adjustRightInd w:val="0"/>
              <w:snapToGrid w:val="0"/>
              <w:jc w:val="center"/>
              <w:rPr>
                <w:sz w:val="24"/>
              </w:rPr>
            </w:pPr>
            <w:r>
              <w:rPr>
                <w:rFonts w:hint="eastAsia"/>
                <w:sz w:val="24"/>
              </w:rPr>
              <w:t>[100，90]</w:t>
            </w:r>
          </w:p>
        </w:tc>
        <w:tc>
          <w:tcPr>
            <w:tcW w:w="1474" w:type="dxa"/>
            <w:vAlign w:val="center"/>
          </w:tcPr>
          <w:p>
            <w:pPr>
              <w:adjustRightInd w:val="0"/>
              <w:snapToGrid w:val="0"/>
              <w:jc w:val="center"/>
              <w:rPr>
                <w:sz w:val="24"/>
              </w:rPr>
            </w:pPr>
            <w:r>
              <w:rPr>
                <w:rFonts w:hint="eastAsia"/>
                <w:b/>
                <w:bCs/>
                <w:sz w:val="24"/>
              </w:rPr>
              <w:t>（</w:t>
            </w:r>
            <w:r>
              <w:rPr>
                <w:rFonts w:hint="eastAsia"/>
                <w:sz w:val="24"/>
              </w:rPr>
              <w:t>90，80]</w:t>
            </w:r>
          </w:p>
        </w:tc>
        <w:tc>
          <w:tcPr>
            <w:tcW w:w="1705" w:type="dxa"/>
            <w:vAlign w:val="center"/>
          </w:tcPr>
          <w:p>
            <w:pPr>
              <w:adjustRightInd w:val="0"/>
              <w:snapToGrid w:val="0"/>
              <w:jc w:val="center"/>
              <w:rPr>
                <w:sz w:val="24"/>
              </w:rPr>
            </w:pPr>
            <w:r>
              <w:rPr>
                <w:rFonts w:hint="eastAsia"/>
                <w:b/>
                <w:bCs/>
                <w:sz w:val="24"/>
              </w:rPr>
              <w:t>（</w:t>
            </w:r>
            <w:r>
              <w:rPr>
                <w:rFonts w:hint="eastAsia"/>
                <w:sz w:val="24"/>
              </w:rPr>
              <w:t>80，60]</w:t>
            </w:r>
          </w:p>
        </w:tc>
        <w:tc>
          <w:tcPr>
            <w:tcW w:w="1705" w:type="dxa"/>
            <w:vAlign w:val="center"/>
          </w:tcPr>
          <w:p>
            <w:pPr>
              <w:adjustRightInd w:val="0"/>
              <w:snapToGrid w:val="0"/>
              <w:jc w:val="center"/>
              <w:rPr>
                <w:sz w:val="24"/>
              </w:rPr>
            </w:pPr>
            <w:r>
              <w:rPr>
                <w:rFonts w:hint="eastAsia"/>
                <w:b/>
                <w:bCs/>
                <w:sz w:val="24"/>
              </w:rPr>
              <w:t>（</w:t>
            </w:r>
            <w:r>
              <w:rPr>
                <w:rFonts w:hint="eastAsia"/>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评价等级</w:t>
            </w:r>
          </w:p>
        </w:tc>
        <w:tc>
          <w:tcPr>
            <w:tcW w:w="1934" w:type="dxa"/>
            <w:vAlign w:val="center"/>
          </w:tcPr>
          <w:p>
            <w:pPr>
              <w:adjustRightInd w:val="0"/>
              <w:snapToGrid w:val="0"/>
              <w:jc w:val="center"/>
              <w:rPr>
                <w:sz w:val="24"/>
              </w:rPr>
            </w:pPr>
            <w:r>
              <w:rPr>
                <w:rFonts w:hint="eastAsia"/>
                <w:sz w:val="24"/>
              </w:rPr>
              <w:t>优</w:t>
            </w:r>
          </w:p>
        </w:tc>
        <w:tc>
          <w:tcPr>
            <w:tcW w:w="1474" w:type="dxa"/>
            <w:vAlign w:val="center"/>
          </w:tcPr>
          <w:p>
            <w:pPr>
              <w:adjustRightInd w:val="0"/>
              <w:snapToGrid w:val="0"/>
              <w:jc w:val="center"/>
              <w:rPr>
                <w:sz w:val="24"/>
              </w:rPr>
            </w:pPr>
            <w:r>
              <w:rPr>
                <w:rFonts w:hint="eastAsia"/>
                <w:sz w:val="24"/>
              </w:rPr>
              <w:t>良</w:t>
            </w:r>
          </w:p>
        </w:tc>
        <w:tc>
          <w:tcPr>
            <w:tcW w:w="1705" w:type="dxa"/>
            <w:vAlign w:val="center"/>
          </w:tcPr>
          <w:p>
            <w:pPr>
              <w:adjustRightInd w:val="0"/>
              <w:snapToGrid w:val="0"/>
              <w:jc w:val="center"/>
              <w:rPr>
                <w:sz w:val="24"/>
              </w:rPr>
            </w:pPr>
            <w:r>
              <w:rPr>
                <w:rFonts w:hint="eastAsia"/>
                <w:sz w:val="24"/>
              </w:rPr>
              <w:t>中</w:t>
            </w:r>
          </w:p>
        </w:tc>
        <w:tc>
          <w:tcPr>
            <w:tcW w:w="1705" w:type="dxa"/>
            <w:vAlign w:val="center"/>
          </w:tcPr>
          <w:p>
            <w:pPr>
              <w:adjustRightInd w:val="0"/>
              <w:snapToGrid w:val="0"/>
              <w:jc w:val="center"/>
              <w:rPr>
                <w:sz w:val="24"/>
              </w:rPr>
            </w:pPr>
            <w:r>
              <w:rPr>
                <w:rFonts w:hint="eastAsia"/>
                <w:sz w:val="24"/>
              </w:rPr>
              <w:t>差</w:t>
            </w:r>
          </w:p>
        </w:tc>
      </w:tr>
    </w:tbl>
    <w:p>
      <w:pPr>
        <w:snapToGrid w:val="0"/>
        <w:spacing w:line="360" w:lineRule="auto"/>
        <w:ind w:firstLine="560" w:firstLineChars="200"/>
        <w:rPr>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每类指标及其子指标分值给出了具体计算明细，各子指标项得分汇总后可得项目最终绩效评价分数。根据总分的高低确定被评价项目最后所达到的等级，等级标准如下表所示：</w:t>
      </w:r>
    </w:p>
    <w:p>
      <w:pPr>
        <w:snapToGrid w:val="0"/>
        <w:spacing w:before="312" w:beforeLines="100" w:line="360" w:lineRule="auto"/>
        <w:ind w:firstLine="560" w:firstLineChars="200"/>
        <w:outlineLvl w:val="1"/>
        <w:rPr>
          <w:b/>
          <w:bCs/>
          <w:sz w:val="28"/>
          <w:szCs w:val="28"/>
        </w:rPr>
      </w:pPr>
      <w:bookmarkStart w:id="47" w:name="_Toc5962"/>
      <w:bookmarkStart w:id="48" w:name="_Toc49241479"/>
      <w:bookmarkStart w:id="49" w:name="_Toc15882"/>
      <w:r>
        <w:rPr>
          <w:rFonts w:hint="eastAsia"/>
          <w:b/>
          <w:bCs/>
          <w:sz w:val="28"/>
          <w:szCs w:val="28"/>
        </w:rPr>
        <w:t>（七）评价过程</w:t>
      </w:r>
      <w:bookmarkEnd w:id="47"/>
      <w:bookmarkEnd w:id="48"/>
      <w:bookmarkEnd w:id="49"/>
    </w:p>
    <w:p>
      <w:pPr>
        <w:snapToGrid w:val="0"/>
        <w:spacing w:line="360" w:lineRule="auto"/>
        <w:ind w:firstLine="560" w:firstLineChars="200"/>
        <w:rPr>
          <w:sz w:val="28"/>
          <w:szCs w:val="28"/>
        </w:rPr>
      </w:pPr>
      <w:r>
        <w:rPr>
          <w:rFonts w:hint="eastAsia"/>
          <w:b/>
          <w:bCs/>
          <w:sz w:val="28"/>
          <w:szCs w:val="28"/>
        </w:rPr>
        <w:t>前期准备</w:t>
      </w:r>
      <w:r>
        <w:rPr>
          <w:rFonts w:hint="eastAsia"/>
          <w:sz w:val="28"/>
          <w:szCs w:val="28"/>
        </w:rPr>
        <w:t>：2020年6月5日区财政局下发《重庆市北碚区财政局关于开展2019年度政策和项目资金绩效评价（财政重点评价）工作的通知》（北碚财〔2020〕232号）；2020年6月9日，区财政局组织成立工作组，并启动北碚区20</w:t>
      </w:r>
      <w:r>
        <w:rPr>
          <w:sz w:val="28"/>
          <w:szCs w:val="28"/>
        </w:rPr>
        <w:t>19</w:t>
      </w:r>
      <w:r>
        <w:rPr>
          <w:rFonts w:hint="eastAsia"/>
          <w:sz w:val="28"/>
          <w:szCs w:val="28"/>
        </w:rPr>
        <w:t>年度市政道路清扫保洁项目的绩效评价工作；2020年6月11日，工作组和环卫所负责人、财务人员在区城管局会议室召开项目进场会。</w:t>
      </w:r>
    </w:p>
    <w:p>
      <w:pPr>
        <w:snapToGrid w:val="0"/>
        <w:spacing w:line="360" w:lineRule="auto"/>
        <w:ind w:firstLine="560" w:firstLineChars="200"/>
        <w:rPr>
          <w:sz w:val="28"/>
          <w:szCs w:val="28"/>
        </w:rPr>
      </w:pPr>
      <w:r>
        <w:rPr>
          <w:rFonts w:hint="eastAsia"/>
          <w:b/>
          <w:bCs/>
          <w:sz w:val="28"/>
          <w:szCs w:val="28"/>
        </w:rPr>
        <w:t>组织实施</w:t>
      </w:r>
      <w:r>
        <w:rPr>
          <w:rFonts w:hint="eastAsia"/>
          <w:sz w:val="28"/>
          <w:szCs w:val="28"/>
        </w:rPr>
        <w:t>：2020年6月11日至6月14日，工作组在区环卫处收集项目相关资料；2020年6月15日至6月3</w:t>
      </w:r>
      <w:r>
        <w:rPr>
          <w:rFonts w:hint="eastAsia"/>
          <w:sz w:val="28"/>
          <w:szCs w:val="28"/>
          <w:lang w:val="en-US" w:eastAsia="zh-CN"/>
        </w:rPr>
        <w:t>0</w:t>
      </w:r>
      <w:r>
        <w:rPr>
          <w:rFonts w:hint="eastAsia"/>
          <w:sz w:val="28"/>
          <w:szCs w:val="28"/>
        </w:rPr>
        <w:t>日，整理收集到的资料并进行分析，对项目进行流程再造，制定项目工作问卷，校正指标体系初稿。2020年7月1日至7月5日工作组对项目抽取的10名群众实施问卷调查。</w:t>
      </w:r>
    </w:p>
    <w:p>
      <w:pPr>
        <w:snapToGrid w:val="0"/>
        <w:spacing w:line="360" w:lineRule="auto"/>
        <w:ind w:firstLine="560" w:firstLineChars="200"/>
        <w:rPr>
          <w:sz w:val="28"/>
          <w:szCs w:val="28"/>
        </w:rPr>
      </w:pPr>
      <w:r>
        <w:rPr>
          <w:rFonts w:hint="eastAsia"/>
          <w:b/>
          <w:bCs/>
          <w:sz w:val="28"/>
          <w:szCs w:val="28"/>
        </w:rPr>
        <w:t>分析评价形成报告</w:t>
      </w:r>
      <w:r>
        <w:rPr>
          <w:rFonts w:hint="eastAsia"/>
          <w:sz w:val="28"/>
          <w:szCs w:val="28"/>
        </w:rPr>
        <w:t>：2020年7月5日至7月19日，工作组整理工作底稿，形成情况汇报记录；根据工作进度安排，工作组7月12日至7月19日形成绩效评价报告初稿，7月20日至7月23日送达相关部门征求意见，最终形成《北碚区20</w:t>
      </w:r>
      <w:r>
        <w:rPr>
          <w:sz w:val="28"/>
          <w:szCs w:val="28"/>
        </w:rPr>
        <w:t>19</w:t>
      </w:r>
      <w:r>
        <w:rPr>
          <w:rFonts w:hint="eastAsia"/>
          <w:sz w:val="28"/>
          <w:szCs w:val="28"/>
        </w:rPr>
        <w:t>年度市政道路清扫保洁项目绩效评价报告》。</w:t>
      </w:r>
    </w:p>
    <w:p>
      <w:pPr>
        <w:snapToGrid w:val="0"/>
        <w:spacing w:line="360" w:lineRule="auto"/>
        <w:ind w:firstLine="560" w:firstLineChars="200"/>
        <w:rPr>
          <w:sz w:val="28"/>
          <w:szCs w:val="28"/>
        </w:rPr>
      </w:pPr>
    </w:p>
    <w:p>
      <w:pPr>
        <w:snapToGrid w:val="0"/>
        <w:spacing w:line="360" w:lineRule="auto"/>
        <w:ind w:firstLine="560" w:firstLineChars="200"/>
        <w:outlineLvl w:val="0"/>
        <w:rPr>
          <w:rFonts w:ascii="黑体" w:hAnsi="黑体" w:eastAsia="黑体"/>
          <w:b/>
          <w:bCs/>
          <w:sz w:val="28"/>
          <w:szCs w:val="28"/>
        </w:rPr>
      </w:pPr>
      <w:bookmarkStart w:id="50" w:name="_Toc10740"/>
      <w:bookmarkStart w:id="51" w:name="_Toc49241480"/>
      <w:r>
        <w:rPr>
          <w:rFonts w:hint="eastAsia" w:ascii="黑体" w:hAnsi="黑体" w:eastAsia="黑体"/>
          <w:b/>
          <w:bCs/>
          <w:sz w:val="28"/>
          <w:szCs w:val="28"/>
        </w:rPr>
        <w:t>三、综合评价情况及评价结论</w:t>
      </w:r>
      <w:bookmarkEnd w:id="50"/>
      <w:bookmarkEnd w:id="51"/>
    </w:p>
    <w:p>
      <w:pPr>
        <w:snapToGrid w:val="0"/>
        <w:spacing w:line="360" w:lineRule="auto"/>
        <w:ind w:firstLine="560" w:firstLineChars="200"/>
        <w:rPr>
          <w:sz w:val="28"/>
          <w:szCs w:val="28"/>
        </w:rPr>
      </w:pPr>
      <w:r>
        <w:rPr>
          <w:rFonts w:hint="eastAsia"/>
          <w:sz w:val="28"/>
          <w:szCs w:val="28"/>
        </w:rPr>
        <w:t>该项目绩效评价总体得分为89.55分，评价等级为良。详见附件：《北碚区20</w:t>
      </w:r>
      <w:r>
        <w:rPr>
          <w:sz w:val="28"/>
          <w:szCs w:val="28"/>
        </w:rPr>
        <w:t>19</w:t>
      </w:r>
      <w:r>
        <w:rPr>
          <w:rFonts w:hint="eastAsia"/>
          <w:sz w:val="28"/>
          <w:szCs w:val="28"/>
        </w:rPr>
        <w:t>年度市政道路清扫保洁项目绩效评价指标体系评分表》。</w:t>
      </w:r>
    </w:p>
    <w:p>
      <w:pPr>
        <w:snapToGrid w:val="0"/>
        <w:spacing w:line="360" w:lineRule="auto"/>
        <w:ind w:firstLine="560" w:firstLineChars="200"/>
        <w:rPr>
          <w:sz w:val="28"/>
          <w:szCs w:val="28"/>
        </w:rPr>
      </w:pPr>
    </w:p>
    <w:p>
      <w:pPr>
        <w:snapToGrid w:val="0"/>
        <w:spacing w:line="360" w:lineRule="auto"/>
        <w:ind w:firstLine="560" w:firstLineChars="200"/>
        <w:outlineLvl w:val="0"/>
        <w:rPr>
          <w:rFonts w:ascii="黑体" w:hAnsi="黑体" w:eastAsia="黑体"/>
          <w:b/>
          <w:bCs/>
          <w:sz w:val="28"/>
          <w:szCs w:val="28"/>
        </w:rPr>
      </w:pPr>
      <w:bookmarkStart w:id="52" w:name="_Toc14004"/>
      <w:bookmarkStart w:id="53" w:name="_Toc49241481"/>
      <w:bookmarkStart w:id="54" w:name="_Toc21876"/>
      <w:r>
        <w:rPr>
          <w:rFonts w:hint="eastAsia" w:ascii="黑体" w:hAnsi="黑体" w:eastAsia="黑体"/>
          <w:b/>
          <w:bCs/>
          <w:sz w:val="28"/>
          <w:szCs w:val="28"/>
        </w:rPr>
        <w:t>四、</w:t>
      </w:r>
      <w:bookmarkEnd w:id="52"/>
      <w:r>
        <w:rPr>
          <w:rFonts w:hint="eastAsia" w:ascii="黑体" w:hAnsi="黑体" w:eastAsia="黑体"/>
          <w:b/>
          <w:bCs/>
          <w:sz w:val="28"/>
          <w:szCs w:val="28"/>
        </w:rPr>
        <w:t>绩效评价指标分析</w:t>
      </w:r>
      <w:bookmarkEnd w:id="53"/>
      <w:bookmarkEnd w:id="54"/>
    </w:p>
    <w:p>
      <w:pPr>
        <w:snapToGrid w:val="0"/>
        <w:spacing w:line="360" w:lineRule="auto"/>
        <w:ind w:firstLine="560" w:firstLineChars="200"/>
        <w:outlineLvl w:val="1"/>
        <w:rPr>
          <w:b/>
          <w:bCs/>
          <w:sz w:val="28"/>
          <w:szCs w:val="28"/>
        </w:rPr>
      </w:pPr>
      <w:bookmarkStart w:id="55" w:name="_Toc22006"/>
      <w:bookmarkStart w:id="56" w:name="_Toc941"/>
      <w:bookmarkStart w:id="57" w:name="_Toc49241482"/>
      <w:r>
        <w:rPr>
          <w:rFonts w:hint="eastAsia"/>
          <w:b/>
          <w:bCs/>
          <w:sz w:val="28"/>
          <w:szCs w:val="28"/>
        </w:rPr>
        <w:t>（一）</w:t>
      </w:r>
      <w:bookmarkEnd w:id="55"/>
      <w:r>
        <w:rPr>
          <w:rFonts w:hint="eastAsia"/>
          <w:b/>
          <w:bCs/>
          <w:sz w:val="28"/>
          <w:szCs w:val="28"/>
        </w:rPr>
        <w:t>项目决策情况</w:t>
      </w:r>
      <w:bookmarkEnd w:id="56"/>
      <w:bookmarkEnd w:id="57"/>
    </w:p>
    <w:p>
      <w:pPr>
        <w:snapToGrid w:val="0"/>
        <w:spacing w:line="360" w:lineRule="auto"/>
        <w:ind w:firstLine="560" w:firstLineChars="200"/>
        <w:outlineLvl w:val="2"/>
        <w:rPr>
          <w:bCs/>
          <w:sz w:val="28"/>
          <w:szCs w:val="28"/>
        </w:rPr>
      </w:pPr>
      <w:bookmarkStart w:id="58" w:name="_Toc49241483"/>
      <w:r>
        <w:rPr>
          <w:rFonts w:hint="eastAsia"/>
          <w:bCs/>
          <w:sz w:val="28"/>
          <w:szCs w:val="28"/>
        </w:rPr>
        <w:t>1．项目立项</w:t>
      </w:r>
      <w:bookmarkEnd w:id="58"/>
    </w:p>
    <w:p>
      <w:pPr>
        <w:snapToGrid w:val="0"/>
        <w:spacing w:line="360" w:lineRule="auto"/>
        <w:ind w:firstLine="560" w:firstLineChars="200"/>
        <w:rPr>
          <w:bCs/>
          <w:sz w:val="28"/>
          <w:szCs w:val="28"/>
        </w:rPr>
      </w:pPr>
      <w:r>
        <w:rPr>
          <w:rFonts w:hint="eastAsia"/>
          <w:bCs/>
          <w:sz w:val="28"/>
          <w:szCs w:val="28"/>
        </w:rPr>
        <w:t>该项目立项符合《中共重庆市北碚区委关于制定北碚区国民经济和社会发展第十三个五年规划的建议》中“建成环境更加优美、交通更加便捷的生态宜居城区”规划目标；属于《重庆市北碚区环境卫生管理处基本情况汇报》要求的职责范围内，是区住建委依法管理人民防空工程履职所需；根据《国务院关于推进中央与地方财政事权和支出责任划分改革的指导意见》（国发〔2016〕49号），该项目属于北碚区基本公共服务，财务支出责任与财政事权相匹配，同时项目的申报、批复符合程序及要求。</w:t>
      </w:r>
    </w:p>
    <w:p>
      <w:pPr>
        <w:snapToGrid w:val="0"/>
        <w:spacing w:line="360" w:lineRule="auto"/>
        <w:ind w:firstLine="560" w:firstLineChars="200"/>
        <w:rPr>
          <w:b/>
          <w:bCs/>
          <w:sz w:val="28"/>
          <w:szCs w:val="28"/>
        </w:rPr>
      </w:pPr>
      <w:r>
        <w:rPr>
          <w:rFonts w:hint="eastAsia"/>
          <w:b/>
          <w:bCs/>
          <w:sz w:val="28"/>
          <w:szCs w:val="28"/>
        </w:rPr>
        <w:t>项目立项依据较为充分，立项程序基本规范。</w:t>
      </w:r>
    </w:p>
    <w:p>
      <w:pPr>
        <w:snapToGrid w:val="0"/>
        <w:spacing w:line="360" w:lineRule="auto"/>
        <w:ind w:firstLine="560" w:firstLineChars="200"/>
        <w:outlineLvl w:val="2"/>
        <w:rPr>
          <w:sz w:val="28"/>
          <w:szCs w:val="28"/>
        </w:rPr>
      </w:pPr>
      <w:bookmarkStart w:id="59" w:name="_Toc49241484"/>
      <w:r>
        <w:rPr>
          <w:rFonts w:hint="eastAsia"/>
          <w:sz w:val="28"/>
          <w:szCs w:val="28"/>
        </w:rPr>
        <w:t>2．绩效目标</w:t>
      </w:r>
      <w:bookmarkEnd w:id="59"/>
    </w:p>
    <w:p>
      <w:pPr>
        <w:snapToGrid w:val="0"/>
        <w:spacing w:line="360" w:lineRule="auto"/>
        <w:ind w:firstLine="560" w:firstLineChars="200"/>
        <w:rPr>
          <w:sz w:val="28"/>
          <w:szCs w:val="28"/>
        </w:rPr>
      </w:pPr>
      <w:r>
        <w:rPr>
          <w:rFonts w:hint="eastAsia"/>
          <w:sz w:val="28"/>
          <w:szCs w:val="28"/>
        </w:rPr>
        <w:t>该项目共设置绩效指标8个，其中数量指标1个，质量指标1个，时效指标1个，成本指标1个，经济效益指标1个，社会效益指标1个，环境效益指标1个，可持续影响指标1个；该项目绩效目标与实际工作内容具有相关性，预期产出效益和效果是否符合正常的业绩水平。但绩效目标未细化分解为具体的绩效指标，无法通过清晰、可衡量的指标值予以体现。</w:t>
      </w:r>
    </w:p>
    <w:p>
      <w:pPr>
        <w:snapToGrid w:val="0"/>
        <w:spacing w:line="360" w:lineRule="auto"/>
        <w:ind w:firstLine="560" w:firstLineChars="200"/>
        <w:rPr>
          <w:b/>
          <w:bCs/>
          <w:sz w:val="28"/>
          <w:szCs w:val="28"/>
        </w:rPr>
      </w:pPr>
      <w:r>
        <w:rPr>
          <w:rFonts w:hint="eastAsia"/>
          <w:b/>
          <w:bCs/>
          <w:sz w:val="28"/>
          <w:szCs w:val="28"/>
        </w:rPr>
        <w:t>绩效目标设置较为合理，绩效指标还需进一步明确。</w:t>
      </w:r>
    </w:p>
    <w:p>
      <w:pPr>
        <w:snapToGrid w:val="0"/>
        <w:spacing w:line="360" w:lineRule="auto"/>
        <w:ind w:firstLine="560" w:firstLineChars="200"/>
        <w:outlineLvl w:val="2"/>
        <w:rPr>
          <w:sz w:val="28"/>
          <w:szCs w:val="28"/>
        </w:rPr>
      </w:pPr>
      <w:bookmarkStart w:id="60" w:name="_Toc49241485"/>
      <w:r>
        <w:rPr>
          <w:rFonts w:hint="eastAsia"/>
          <w:sz w:val="28"/>
          <w:szCs w:val="28"/>
        </w:rPr>
        <w:t>3．资金投入</w:t>
      </w:r>
      <w:bookmarkEnd w:id="60"/>
    </w:p>
    <w:p>
      <w:pPr>
        <w:snapToGrid w:val="0"/>
        <w:spacing w:line="360" w:lineRule="auto"/>
        <w:ind w:firstLine="560" w:firstLineChars="200"/>
        <w:rPr>
          <w:sz w:val="28"/>
          <w:szCs w:val="28"/>
        </w:rPr>
      </w:pPr>
      <w:r>
        <w:rPr>
          <w:rFonts w:hint="eastAsia"/>
          <w:sz w:val="28"/>
          <w:szCs w:val="28"/>
        </w:rPr>
        <w:t>该项目预算编制经过论证，预算内容和实际内容基本匹配，测算依据较为充分。</w:t>
      </w:r>
    </w:p>
    <w:p>
      <w:pPr>
        <w:snapToGrid w:val="0"/>
        <w:spacing w:line="360" w:lineRule="auto"/>
        <w:ind w:firstLine="560" w:firstLineChars="200"/>
        <w:rPr>
          <w:b/>
          <w:sz w:val="28"/>
          <w:szCs w:val="28"/>
        </w:rPr>
      </w:pPr>
      <w:r>
        <w:rPr>
          <w:rFonts w:hint="eastAsia"/>
          <w:b/>
          <w:sz w:val="28"/>
          <w:szCs w:val="28"/>
        </w:rPr>
        <w:t>预算编制须进一步规范，资金分配基本合理。</w:t>
      </w:r>
    </w:p>
    <w:p>
      <w:pPr>
        <w:snapToGrid w:val="0"/>
        <w:spacing w:line="360" w:lineRule="auto"/>
        <w:ind w:firstLine="560" w:firstLineChars="200"/>
        <w:outlineLvl w:val="1"/>
        <w:rPr>
          <w:b/>
          <w:bCs/>
          <w:sz w:val="28"/>
          <w:szCs w:val="28"/>
        </w:rPr>
      </w:pPr>
      <w:bookmarkStart w:id="61" w:name="_Toc49241486"/>
      <w:bookmarkStart w:id="62" w:name="_Toc5446"/>
      <w:r>
        <w:rPr>
          <w:rFonts w:hint="eastAsia"/>
          <w:b/>
          <w:bCs/>
          <w:sz w:val="28"/>
          <w:szCs w:val="28"/>
        </w:rPr>
        <w:t>（二）项目过程情况</w:t>
      </w:r>
      <w:bookmarkEnd w:id="61"/>
      <w:bookmarkEnd w:id="62"/>
    </w:p>
    <w:p>
      <w:pPr>
        <w:snapToGrid w:val="0"/>
        <w:spacing w:line="360" w:lineRule="auto"/>
        <w:ind w:firstLine="560" w:firstLineChars="200"/>
        <w:outlineLvl w:val="2"/>
        <w:rPr>
          <w:sz w:val="28"/>
          <w:szCs w:val="28"/>
        </w:rPr>
      </w:pPr>
      <w:bookmarkStart w:id="63" w:name="_Toc49241487"/>
      <w:r>
        <w:rPr>
          <w:rFonts w:hint="eastAsia"/>
          <w:sz w:val="28"/>
          <w:szCs w:val="28"/>
        </w:rPr>
        <w:t>1．资金管理</w:t>
      </w:r>
      <w:bookmarkEnd w:id="63"/>
    </w:p>
    <w:p>
      <w:pPr>
        <w:snapToGrid w:val="0"/>
        <w:spacing w:line="360" w:lineRule="auto"/>
        <w:ind w:firstLine="560" w:firstLineChars="200"/>
        <w:rPr>
          <w:sz w:val="28"/>
          <w:szCs w:val="28"/>
        </w:rPr>
      </w:pPr>
      <w:r>
        <w:rPr>
          <w:rFonts w:hint="eastAsia"/>
          <w:sz w:val="28"/>
          <w:szCs w:val="28"/>
        </w:rPr>
        <w:t>通过查证财务凭证、指标下达情况,收到区财政局拨付的市政道路清扫保洁1,900.00万元，实际支出2,093.79万元，资金的拨付有完整的审批程序和手续，支出内容存在项目预算批复外的内容。</w:t>
      </w:r>
    </w:p>
    <w:p>
      <w:pPr>
        <w:snapToGrid w:val="0"/>
        <w:spacing w:line="360" w:lineRule="auto"/>
        <w:ind w:firstLine="560" w:firstLineChars="200"/>
        <w:rPr>
          <w:sz w:val="28"/>
          <w:szCs w:val="28"/>
        </w:rPr>
      </w:pPr>
      <w:r>
        <w:rPr>
          <w:rFonts w:hint="eastAsia"/>
          <w:b/>
          <w:sz w:val="28"/>
          <w:szCs w:val="28"/>
        </w:rPr>
        <w:t>资金到位率100.00%，预算执行率</w:t>
      </w:r>
      <w:r>
        <w:rPr>
          <w:rFonts w:hint="eastAsia"/>
          <w:b/>
          <w:bCs/>
          <w:sz w:val="28"/>
          <w:szCs w:val="28"/>
        </w:rPr>
        <w:t>100.00%</w:t>
      </w:r>
      <w:r>
        <w:rPr>
          <w:rFonts w:hint="eastAsia"/>
          <w:b/>
          <w:sz w:val="28"/>
          <w:szCs w:val="28"/>
        </w:rPr>
        <w:t>，资金支出须加强控制。</w:t>
      </w:r>
    </w:p>
    <w:p>
      <w:pPr>
        <w:snapToGrid w:val="0"/>
        <w:spacing w:line="360" w:lineRule="auto"/>
        <w:ind w:firstLine="560" w:firstLineChars="200"/>
        <w:outlineLvl w:val="2"/>
        <w:rPr>
          <w:sz w:val="28"/>
          <w:szCs w:val="28"/>
        </w:rPr>
      </w:pPr>
      <w:bookmarkStart w:id="64" w:name="_Toc49241488"/>
      <w:r>
        <w:rPr>
          <w:rFonts w:hint="eastAsia"/>
          <w:sz w:val="28"/>
          <w:szCs w:val="28"/>
        </w:rPr>
        <w:t>2．组织实施</w:t>
      </w:r>
      <w:bookmarkEnd w:id="64"/>
    </w:p>
    <w:p>
      <w:pPr>
        <w:snapToGrid w:val="0"/>
        <w:spacing w:line="360" w:lineRule="auto"/>
        <w:ind w:firstLine="560" w:firstLineChars="200"/>
        <w:rPr>
          <w:sz w:val="28"/>
          <w:szCs w:val="28"/>
        </w:rPr>
      </w:pPr>
      <w:r>
        <w:rPr>
          <w:rFonts w:hint="eastAsia"/>
          <w:sz w:val="28"/>
          <w:szCs w:val="28"/>
        </w:rPr>
        <w:t>根据国家有关法律法规，为进一步强化相关区环卫处管理工作，保障市政道路清扫保洁工作顺利进行，制定《合同管理制度》、《片长考核管理办法》；为进一步加强行政事业单位财务管理，健全财务制度，杜绝违纪违法行为，区环卫处制定《预算管理制度》、《财务审批管理办法》。</w:t>
      </w:r>
    </w:p>
    <w:p>
      <w:pPr>
        <w:snapToGrid w:val="0"/>
        <w:spacing w:line="360" w:lineRule="auto"/>
        <w:ind w:firstLine="560" w:firstLineChars="200"/>
        <w:rPr>
          <w:sz w:val="28"/>
          <w:szCs w:val="28"/>
        </w:rPr>
      </w:pPr>
      <w:r>
        <w:rPr>
          <w:rFonts w:hint="eastAsia"/>
          <w:b/>
          <w:sz w:val="28"/>
          <w:szCs w:val="28"/>
        </w:rPr>
        <w:t>管理制度基本健全，须进一步加强制度执行。</w:t>
      </w:r>
    </w:p>
    <w:p>
      <w:pPr>
        <w:snapToGrid w:val="0"/>
        <w:spacing w:line="360" w:lineRule="auto"/>
        <w:ind w:firstLine="560" w:firstLineChars="200"/>
        <w:outlineLvl w:val="1"/>
        <w:rPr>
          <w:b/>
          <w:bCs/>
          <w:sz w:val="28"/>
          <w:szCs w:val="28"/>
        </w:rPr>
      </w:pPr>
      <w:bookmarkStart w:id="65" w:name="_Toc16476"/>
      <w:bookmarkStart w:id="66" w:name="_Toc49241489"/>
      <w:r>
        <w:rPr>
          <w:rFonts w:hint="eastAsia"/>
          <w:b/>
          <w:bCs/>
          <w:sz w:val="28"/>
          <w:szCs w:val="28"/>
        </w:rPr>
        <w:t>（三）项目产出情况</w:t>
      </w:r>
      <w:bookmarkEnd w:id="65"/>
      <w:bookmarkEnd w:id="66"/>
    </w:p>
    <w:p>
      <w:pPr>
        <w:snapToGrid w:val="0"/>
        <w:spacing w:line="360" w:lineRule="auto"/>
        <w:ind w:firstLine="560" w:firstLineChars="200"/>
        <w:rPr>
          <w:sz w:val="28"/>
          <w:szCs w:val="28"/>
        </w:rPr>
      </w:pPr>
      <w:r>
        <w:rPr>
          <w:rFonts w:hint="eastAsia"/>
          <w:sz w:val="28"/>
          <w:szCs w:val="28"/>
        </w:rPr>
        <w:t>区环卫处将计划清扫区域分片区下达给5个小组，环卫工人对所属区域进行滚动式清扫，每日安排有专人定时检查，并定期为清扫保洁情况进行考核打分。通过档案查证，现场人员询问，2019年全年完成保洁面积</w:t>
      </w:r>
      <w:r>
        <w:rPr>
          <w:sz w:val="28"/>
          <w:szCs w:val="28"/>
        </w:rPr>
        <w:t>282.37</w:t>
      </w:r>
      <w:r>
        <w:rPr>
          <w:rFonts w:hint="eastAsia"/>
          <w:sz w:val="28"/>
          <w:szCs w:val="28"/>
        </w:rPr>
        <w:t>万平方米，与计划面积相符，存在个别地段考核不过关。</w:t>
      </w:r>
    </w:p>
    <w:p>
      <w:pPr>
        <w:snapToGrid w:val="0"/>
        <w:spacing w:line="360" w:lineRule="auto"/>
        <w:ind w:firstLine="560" w:firstLineChars="200"/>
        <w:rPr>
          <w:b/>
          <w:sz w:val="28"/>
          <w:szCs w:val="28"/>
        </w:rPr>
      </w:pPr>
      <w:bookmarkStart w:id="67" w:name="_Toc16747"/>
      <w:r>
        <w:rPr>
          <w:rFonts w:hint="eastAsia"/>
          <w:b/>
          <w:sz w:val="28"/>
          <w:szCs w:val="28"/>
        </w:rPr>
        <w:t>项目完成率</w:t>
      </w:r>
      <w:r>
        <w:rPr>
          <w:b/>
          <w:sz w:val="28"/>
          <w:szCs w:val="28"/>
        </w:rPr>
        <w:t>100.00%</w:t>
      </w:r>
      <w:r>
        <w:rPr>
          <w:rFonts w:hint="eastAsia"/>
          <w:b/>
          <w:sz w:val="28"/>
          <w:szCs w:val="28"/>
        </w:rPr>
        <w:t>，质量达标率97</w:t>
      </w:r>
      <w:r>
        <w:rPr>
          <w:b/>
          <w:sz w:val="28"/>
          <w:szCs w:val="28"/>
        </w:rPr>
        <w:t>.00%</w:t>
      </w:r>
      <w:r>
        <w:rPr>
          <w:rFonts w:hint="eastAsia"/>
          <w:b/>
          <w:sz w:val="28"/>
          <w:szCs w:val="28"/>
        </w:rPr>
        <w:t>。</w:t>
      </w:r>
    </w:p>
    <w:p>
      <w:pPr>
        <w:snapToGrid w:val="0"/>
        <w:spacing w:line="360" w:lineRule="auto"/>
        <w:ind w:firstLine="560" w:firstLineChars="200"/>
        <w:outlineLvl w:val="1"/>
        <w:rPr>
          <w:b/>
          <w:bCs/>
          <w:sz w:val="28"/>
          <w:szCs w:val="28"/>
        </w:rPr>
      </w:pPr>
      <w:bookmarkStart w:id="68" w:name="_Toc49241490"/>
      <w:r>
        <w:rPr>
          <w:rFonts w:hint="eastAsia"/>
          <w:b/>
          <w:bCs/>
          <w:sz w:val="28"/>
          <w:szCs w:val="28"/>
        </w:rPr>
        <w:t>（四）项目效益情况</w:t>
      </w:r>
      <w:bookmarkEnd w:id="67"/>
      <w:bookmarkEnd w:id="68"/>
    </w:p>
    <w:p>
      <w:pPr>
        <w:snapToGrid w:val="0"/>
        <w:spacing w:line="360" w:lineRule="auto"/>
        <w:ind w:firstLine="560" w:firstLineChars="200"/>
        <w:outlineLvl w:val="2"/>
        <w:rPr>
          <w:bCs/>
          <w:sz w:val="28"/>
          <w:szCs w:val="28"/>
        </w:rPr>
      </w:pPr>
      <w:bookmarkStart w:id="69" w:name="_Toc49241491"/>
      <w:r>
        <w:rPr>
          <w:rFonts w:hint="eastAsia"/>
          <w:bCs/>
          <w:sz w:val="28"/>
          <w:szCs w:val="28"/>
        </w:rPr>
        <w:t>1．项目效益</w:t>
      </w:r>
      <w:bookmarkEnd w:id="69"/>
    </w:p>
    <w:p>
      <w:pPr>
        <w:snapToGrid w:val="0"/>
        <w:spacing w:line="360" w:lineRule="auto"/>
        <w:ind w:firstLine="560" w:firstLineChars="200"/>
        <w:rPr>
          <w:sz w:val="28"/>
          <w:szCs w:val="28"/>
        </w:rPr>
      </w:pPr>
      <w:r>
        <w:rPr>
          <w:rFonts w:hint="eastAsia"/>
          <w:sz w:val="28"/>
          <w:szCs w:val="28"/>
        </w:rPr>
        <w:t>市政道路清扫保洁项目需要大量的环卫工人，为社会提供了大量的工作岗位，带动了就业；垃圾及时装运使周边环境更加整洁干净，降低了扬尘，维护了生态多样性，提升了城市形象，使周边群众的生活水平有了较大的提升。同时在城市发展的道路上，道路清扫保洁是个动态管理过程，需要工作人员</w:t>
      </w:r>
      <w:r>
        <w:rPr>
          <w:rFonts w:hint="eastAsia"/>
          <w:sz w:val="28"/>
          <w:szCs w:val="28"/>
          <w:lang w:eastAsia="zh-CN"/>
        </w:rPr>
        <w:t>长</w:t>
      </w:r>
      <w:r>
        <w:rPr>
          <w:rFonts w:hint="eastAsia"/>
          <w:sz w:val="28"/>
          <w:szCs w:val="28"/>
        </w:rPr>
        <w:t>年累月持续的进行维护，才能保证城市环境干净卫生。</w:t>
      </w:r>
    </w:p>
    <w:p>
      <w:pPr>
        <w:adjustRightInd w:val="0"/>
        <w:snapToGrid w:val="0"/>
        <w:spacing w:line="360" w:lineRule="auto"/>
        <w:ind w:firstLine="560" w:firstLineChars="200"/>
        <w:rPr>
          <w:b/>
          <w:bCs/>
          <w:sz w:val="28"/>
          <w:szCs w:val="28"/>
        </w:rPr>
      </w:pPr>
      <w:r>
        <w:rPr>
          <w:rFonts w:hint="eastAsia"/>
          <w:b/>
          <w:sz w:val="28"/>
          <w:szCs w:val="28"/>
        </w:rPr>
        <w:t>项目效益发挥较好，社会、生态效益显著。</w:t>
      </w:r>
    </w:p>
    <w:p>
      <w:pPr>
        <w:adjustRightInd w:val="0"/>
        <w:snapToGrid w:val="0"/>
        <w:spacing w:line="360" w:lineRule="auto"/>
        <w:ind w:firstLine="560" w:firstLineChars="200"/>
        <w:outlineLvl w:val="2"/>
        <w:rPr>
          <w:sz w:val="28"/>
          <w:szCs w:val="28"/>
        </w:rPr>
      </w:pPr>
      <w:bookmarkStart w:id="70" w:name="_Toc45996862"/>
      <w:bookmarkStart w:id="71" w:name="_Toc49241492"/>
      <w:r>
        <w:rPr>
          <w:rFonts w:hint="eastAsia"/>
          <w:sz w:val="28"/>
          <w:szCs w:val="28"/>
        </w:rPr>
        <w:t>2．社会满意度</w:t>
      </w:r>
      <w:bookmarkEnd w:id="70"/>
      <w:bookmarkEnd w:id="71"/>
    </w:p>
    <w:p>
      <w:pPr>
        <w:adjustRightInd w:val="0"/>
        <w:snapToGrid w:val="0"/>
        <w:spacing w:line="360" w:lineRule="auto"/>
        <w:ind w:firstLine="560" w:firstLineChars="200"/>
        <w:rPr>
          <w:sz w:val="28"/>
          <w:szCs w:val="28"/>
        </w:rPr>
      </w:pPr>
      <w:r>
        <w:rPr>
          <w:rFonts w:hint="eastAsia"/>
          <w:sz w:val="28"/>
          <w:szCs w:val="28"/>
        </w:rPr>
        <w:t>对周边道路清洁度的满意度:</w:t>
      </w:r>
    </w:p>
    <w:p>
      <w:pPr>
        <w:snapToGrid w:val="0"/>
        <w:spacing w:line="360" w:lineRule="auto"/>
        <w:ind w:firstLine="560" w:firstLineChars="200"/>
        <w:rPr>
          <w:sz w:val="28"/>
          <w:szCs w:val="28"/>
        </w:rPr>
      </w:pPr>
      <w:r>
        <w:rPr>
          <w:rFonts w:hint="eastAsia"/>
          <w:sz w:val="28"/>
          <w:szCs w:val="28"/>
        </w:rPr>
        <w:t>调查发现，80.00%的调查者对于周边道路清洁度持认可态度。其中，50.00%的人觉得道路非常干净，30.00%的人觉得道路干净， 20.00%的人认为个别角落需要进一步加强。见下表：</w:t>
      </w:r>
    </w:p>
    <w:tbl>
      <w:tblPr>
        <w:tblStyle w:val="13"/>
        <w:tblW w:w="901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非常干净</w:t>
            </w:r>
          </w:p>
        </w:tc>
        <w:tc>
          <w:tcPr>
            <w:tcW w:w="1290" w:type="dxa"/>
            <w:vAlign w:val="center"/>
          </w:tcPr>
          <w:p>
            <w:pPr>
              <w:snapToGrid w:val="0"/>
              <w:spacing w:line="360" w:lineRule="auto"/>
              <w:jc w:val="center"/>
              <w:rPr>
                <w:sz w:val="21"/>
                <w:szCs w:val="21"/>
              </w:rPr>
            </w:pPr>
            <w:r>
              <w:rPr>
                <w:rFonts w:hint="eastAsia"/>
                <w:sz w:val="21"/>
                <w:szCs w:val="21"/>
              </w:rPr>
              <w:t>干净</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需提高</w:t>
            </w:r>
          </w:p>
        </w:tc>
        <w:tc>
          <w:tcPr>
            <w:tcW w:w="1664" w:type="dxa"/>
            <w:vAlign w:val="center"/>
          </w:tcPr>
          <w:p>
            <w:pPr>
              <w:snapToGrid w:val="0"/>
              <w:spacing w:line="360" w:lineRule="auto"/>
              <w:jc w:val="center"/>
              <w:rPr>
                <w:sz w:val="21"/>
                <w:szCs w:val="21"/>
              </w:rPr>
            </w:pPr>
            <w:r>
              <w:rPr>
                <w:rFonts w:hint="eastAsia"/>
                <w:sz w:val="21"/>
                <w:szCs w:val="21"/>
              </w:rPr>
              <w:t>非常需要提高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5" w:type="dxa"/>
            <w:vAlign w:val="center"/>
          </w:tcPr>
          <w:p>
            <w:pPr>
              <w:snapToGrid w:val="0"/>
              <w:spacing w:line="360" w:lineRule="auto"/>
              <w:jc w:val="center"/>
              <w:rPr>
                <w:sz w:val="21"/>
                <w:szCs w:val="21"/>
              </w:rPr>
            </w:pPr>
            <w:r>
              <w:rPr>
                <w:rFonts w:hint="eastAsia"/>
                <w:sz w:val="21"/>
                <w:szCs w:val="21"/>
              </w:rPr>
              <w:t>对周边道路清洁度的满意度</w:t>
            </w:r>
          </w:p>
        </w:tc>
        <w:tc>
          <w:tcPr>
            <w:tcW w:w="1289" w:type="dxa"/>
            <w:vAlign w:val="center"/>
          </w:tcPr>
          <w:p>
            <w:pPr>
              <w:snapToGrid w:val="0"/>
              <w:spacing w:line="360" w:lineRule="auto"/>
              <w:jc w:val="center"/>
              <w:rPr>
                <w:sz w:val="21"/>
                <w:szCs w:val="21"/>
              </w:rPr>
            </w:pPr>
            <w:r>
              <w:rPr>
                <w:rFonts w:hint="eastAsia"/>
                <w:sz w:val="21"/>
                <w:szCs w:val="21"/>
              </w:rPr>
              <w:t>50.00%</w:t>
            </w:r>
          </w:p>
        </w:tc>
        <w:tc>
          <w:tcPr>
            <w:tcW w:w="1290" w:type="dxa"/>
            <w:vAlign w:val="center"/>
          </w:tcPr>
          <w:p>
            <w:pPr>
              <w:snapToGrid w:val="0"/>
              <w:spacing w:line="360" w:lineRule="auto"/>
              <w:jc w:val="center"/>
              <w:rPr>
                <w:sz w:val="21"/>
                <w:szCs w:val="21"/>
              </w:rPr>
            </w:pPr>
            <w:r>
              <w:rPr>
                <w:rFonts w:hint="eastAsia"/>
                <w:sz w:val="21"/>
                <w:szCs w:val="21"/>
              </w:rPr>
              <w:t>30.00%</w:t>
            </w:r>
          </w:p>
        </w:tc>
        <w:tc>
          <w:tcPr>
            <w:tcW w:w="1289" w:type="dxa"/>
            <w:vAlign w:val="center"/>
          </w:tcPr>
          <w:p>
            <w:pPr>
              <w:snapToGrid w:val="0"/>
              <w:spacing w:line="360" w:lineRule="auto"/>
              <w:jc w:val="center"/>
              <w:rPr>
                <w:sz w:val="21"/>
                <w:szCs w:val="21"/>
              </w:rPr>
            </w:pP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20.00%</w:t>
            </w:r>
          </w:p>
        </w:tc>
        <w:tc>
          <w:tcPr>
            <w:tcW w:w="1664" w:type="dxa"/>
            <w:vAlign w:val="center"/>
          </w:tcPr>
          <w:p>
            <w:pPr>
              <w:snapToGrid w:val="0"/>
              <w:spacing w:line="360" w:lineRule="auto"/>
              <w:jc w:val="center"/>
              <w:rPr>
                <w:sz w:val="21"/>
                <w:szCs w:val="21"/>
              </w:rPr>
            </w:pPr>
            <w:r>
              <w:rPr>
                <w:rFonts w:hint="eastAsia"/>
                <w:sz w:val="21"/>
                <w:szCs w:val="21"/>
              </w:rPr>
              <w:t>0.00%</w:t>
            </w:r>
          </w:p>
        </w:tc>
      </w:tr>
    </w:tbl>
    <w:p>
      <w:pPr>
        <w:adjustRightInd w:val="0"/>
        <w:snapToGrid w:val="0"/>
        <w:spacing w:before="156" w:beforeLines="50" w:line="360" w:lineRule="auto"/>
        <w:ind w:firstLine="560" w:firstLineChars="200"/>
        <w:rPr>
          <w:b/>
          <w:bCs/>
          <w:sz w:val="28"/>
          <w:szCs w:val="28"/>
        </w:rPr>
      </w:pPr>
      <w:r>
        <w:rPr>
          <w:rFonts w:hint="eastAsia"/>
          <w:b/>
          <w:bCs/>
          <w:sz w:val="28"/>
          <w:szCs w:val="28"/>
        </w:rPr>
        <w:t>社会公众对项目实施效果的满意程度较高。</w:t>
      </w:r>
    </w:p>
    <w:p>
      <w:pPr>
        <w:adjustRightInd w:val="0"/>
        <w:snapToGrid w:val="0"/>
        <w:spacing w:before="156" w:beforeLines="50" w:line="360" w:lineRule="auto"/>
        <w:ind w:firstLine="560" w:firstLineChars="200"/>
        <w:rPr>
          <w:b/>
          <w:bCs/>
          <w:sz w:val="28"/>
          <w:szCs w:val="28"/>
        </w:rPr>
      </w:pPr>
    </w:p>
    <w:p>
      <w:pPr>
        <w:snapToGrid w:val="0"/>
        <w:spacing w:line="360" w:lineRule="auto"/>
        <w:ind w:firstLine="560" w:firstLineChars="200"/>
        <w:outlineLvl w:val="0"/>
        <w:rPr>
          <w:rFonts w:ascii="黑体" w:hAnsi="黑体" w:eastAsia="黑体"/>
          <w:b/>
          <w:bCs/>
          <w:sz w:val="28"/>
          <w:szCs w:val="28"/>
        </w:rPr>
      </w:pPr>
      <w:bookmarkStart w:id="72" w:name="_Toc30886"/>
      <w:bookmarkStart w:id="73" w:name="_Toc49241493"/>
      <w:bookmarkStart w:id="74" w:name="_Toc4475"/>
      <w:r>
        <w:rPr>
          <w:rFonts w:hint="eastAsia" w:ascii="黑体" w:hAnsi="黑体" w:eastAsia="黑体"/>
          <w:b/>
          <w:bCs/>
          <w:sz w:val="28"/>
          <w:szCs w:val="28"/>
        </w:rPr>
        <w:t>五、存在的问题</w:t>
      </w:r>
      <w:bookmarkEnd w:id="72"/>
      <w:bookmarkEnd w:id="73"/>
      <w:bookmarkEnd w:id="74"/>
    </w:p>
    <w:p>
      <w:pPr>
        <w:adjustRightInd w:val="0"/>
        <w:snapToGrid w:val="0"/>
        <w:spacing w:line="360" w:lineRule="auto"/>
        <w:ind w:firstLine="560" w:firstLineChars="200"/>
        <w:outlineLvl w:val="1"/>
        <w:rPr>
          <w:b/>
          <w:bCs/>
          <w:sz w:val="28"/>
          <w:szCs w:val="28"/>
        </w:rPr>
      </w:pPr>
      <w:bookmarkStart w:id="75" w:name="_Toc49241494"/>
      <w:bookmarkStart w:id="76" w:name="_Toc22786"/>
      <w:r>
        <w:rPr>
          <w:rFonts w:hint="eastAsia"/>
          <w:b/>
          <w:bCs/>
          <w:sz w:val="28"/>
          <w:szCs w:val="28"/>
        </w:rPr>
        <w:t>（一）部分效益指标没有制定可衡量的指标值</w:t>
      </w:r>
      <w:bookmarkEnd w:id="75"/>
      <w:bookmarkEnd w:id="76"/>
    </w:p>
    <w:p>
      <w:pPr>
        <w:adjustRightInd w:val="0"/>
        <w:snapToGrid w:val="0"/>
        <w:spacing w:line="360" w:lineRule="auto"/>
        <w:ind w:firstLine="560" w:firstLineChars="200"/>
        <w:rPr>
          <w:bCs/>
          <w:sz w:val="28"/>
          <w:szCs w:val="28"/>
        </w:rPr>
      </w:pPr>
      <w:r>
        <w:rPr>
          <w:rFonts w:hint="eastAsia"/>
          <w:bCs/>
          <w:sz w:val="28"/>
          <w:szCs w:val="28"/>
        </w:rPr>
        <w:t>通过核查区环卫处2019年项目申报的绩效目标，存在绩效目标没有制定可衡量的指标值的情况。如数量指标申报为满足市居民日常生活和工作的基本要求，同时服务对象满意指标没有明确。以上内容不符合《重庆市北碚区财政局关于印发</w:t>
      </w:r>
      <w:r>
        <w:rPr>
          <w:bCs/>
          <w:sz w:val="28"/>
          <w:szCs w:val="28"/>
        </w:rPr>
        <w:t>&lt;</w:t>
      </w:r>
      <w:r>
        <w:rPr>
          <w:rFonts w:hint="eastAsia"/>
          <w:bCs/>
          <w:sz w:val="28"/>
          <w:szCs w:val="28"/>
        </w:rPr>
        <w:t>重庆市北碚区区级项目支出预算管理办法</w:t>
      </w:r>
      <w:r>
        <w:rPr>
          <w:bCs/>
          <w:sz w:val="28"/>
          <w:szCs w:val="28"/>
        </w:rPr>
        <w:t>&gt;</w:t>
      </w:r>
      <w:r>
        <w:rPr>
          <w:rFonts w:hint="eastAsia"/>
          <w:bCs/>
          <w:sz w:val="28"/>
          <w:szCs w:val="28"/>
        </w:rPr>
        <w:t>的通知》（北碚财〔</w:t>
      </w:r>
      <w:r>
        <w:rPr>
          <w:bCs/>
          <w:sz w:val="28"/>
          <w:szCs w:val="28"/>
        </w:rPr>
        <w:t>2019</w:t>
      </w:r>
      <w:r>
        <w:rPr>
          <w:rFonts w:hint="eastAsia"/>
          <w:bCs/>
          <w:sz w:val="28"/>
          <w:szCs w:val="28"/>
        </w:rPr>
        <w:t>〕</w:t>
      </w:r>
      <w:r>
        <w:rPr>
          <w:bCs/>
          <w:sz w:val="28"/>
          <w:szCs w:val="28"/>
        </w:rPr>
        <w:t>267</w:t>
      </w:r>
      <w:r>
        <w:rPr>
          <w:rFonts w:hint="eastAsia"/>
          <w:bCs/>
          <w:sz w:val="28"/>
          <w:szCs w:val="28"/>
        </w:rPr>
        <w:t>号）第十条</w:t>
      </w:r>
      <w:r>
        <w:rPr>
          <w:bCs/>
          <w:sz w:val="28"/>
          <w:szCs w:val="28"/>
        </w:rPr>
        <w:t xml:space="preserve"> “</w:t>
      </w:r>
      <w:r>
        <w:rPr>
          <w:rFonts w:hint="eastAsia"/>
          <w:bCs/>
          <w:sz w:val="28"/>
          <w:szCs w:val="28"/>
        </w:rPr>
        <w:t>二级项目要与对应的一级项目相匹配，有充分的立项依据、具体的支出内容、明确合理的绩效目标</w:t>
      </w:r>
      <w:r>
        <w:rPr>
          <w:rFonts w:hint="cs"/>
          <w:bCs/>
          <w:sz w:val="28"/>
          <w:szCs w:val="28"/>
        </w:rPr>
        <w:t>”</w:t>
      </w:r>
      <w:r>
        <w:rPr>
          <w:rFonts w:hint="eastAsia"/>
          <w:bCs/>
          <w:sz w:val="28"/>
          <w:szCs w:val="28"/>
        </w:rPr>
        <w:t>之规定，第十一条</w:t>
      </w:r>
      <w:r>
        <w:rPr>
          <w:bCs/>
          <w:sz w:val="28"/>
          <w:szCs w:val="28"/>
        </w:rPr>
        <w:t xml:space="preserve"> “</w:t>
      </w:r>
      <w:r>
        <w:rPr>
          <w:rFonts w:hint="eastAsia"/>
          <w:bCs/>
          <w:sz w:val="28"/>
          <w:szCs w:val="28"/>
        </w:rPr>
        <w:t>申报的项目应当同时具备以下条件：绩效目标明确、组织实施计划和项目支出预算科学合理，并经过充分的研究论证，具有实施条件的项目</w:t>
      </w:r>
      <w:r>
        <w:rPr>
          <w:rFonts w:hint="cs"/>
          <w:bCs/>
          <w:sz w:val="28"/>
          <w:szCs w:val="28"/>
        </w:rPr>
        <w:t>”</w:t>
      </w:r>
      <w:r>
        <w:rPr>
          <w:rFonts w:hint="eastAsia"/>
          <w:bCs/>
          <w:sz w:val="28"/>
          <w:szCs w:val="28"/>
        </w:rPr>
        <w:t>之规定。</w:t>
      </w:r>
    </w:p>
    <w:p>
      <w:pPr>
        <w:adjustRightInd w:val="0"/>
        <w:snapToGrid w:val="0"/>
        <w:spacing w:line="360" w:lineRule="auto"/>
        <w:ind w:firstLine="560" w:firstLineChars="200"/>
        <w:outlineLvl w:val="1"/>
        <w:rPr>
          <w:b/>
          <w:bCs/>
          <w:sz w:val="28"/>
          <w:szCs w:val="28"/>
        </w:rPr>
      </w:pPr>
      <w:bookmarkStart w:id="77" w:name="_Toc46058733"/>
      <w:bookmarkStart w:id="78" w:name="_Toc49241495"/>
      <w:r>
        <w:rPr>
          <w:rFonts w:hint="eastAsia"/>
          <w:b/>
          <w:bCs/>
          <w:sz w:val="28"/>
          <w:szCs w:val="28"/>
        </w:rPr>
        <w:t>（二）存在预算外支出内容</w:t>
      </w:r>
      <w:bookmarkEnd w:id="77"/>
      <w:bookmarkEnd w:id="78"/>
    </w:p>
    <w:p>
      <w:pPr>
        <w:snapToGrid w:val="0"/>
        <w:spacing w:line="360" w:lineRule="auto"/>
        <w:ind w:firstLine="638" w:firstLineChars="228"/>
        <w:rPr>
          <w:bCs/>
          <w:sz w:val="28"/>
          <w:szCs w:val="28"/>
        </w:rPr>
      </w:pPr>
      <w:r>
        <w:rPr>
          <w:rFonts w:hint="eastAsia"/>
          <w:bCs/>
          <w:sz w:val="28"/>
          <w:szCs w:val="28"/>
        </w:rPr>
        <w:t>通过核查该项目财务资料，</w:t>
      </w:r>
      <w:r>
        <w:rPr>
          <w:bCs/>
          <w:sz w:val="28"/>
          <w:szCs w:val="28"/>
        </w:rPr>
        <w:t xml:space="preserve"> 2019</w:t>
      </w:r>
      <w:r>
        <w:rPr>
          <w:rFonts w:hint="eastAsia"/>
          <w:bCs/>
          <w:sz w:val="28"/>
          <w:szCs w:val="28"/>
        </w:rPr>
        <w:t>年</w:t>
      </w:r>
      <w:r>
        <w:rPr>
          <w:bCs/>
          <w:sz w:val="28"/>
          <w:szCs w:val="28"/>
        </w:rPr>
        <w:t>8</w:t>
      </w:r>
      <w:r>
        <w:rPr>
          <w:rFonts w:hint="eastAsia"/>
          <w:bCs/>
          <w:sz w:val="28"/>
          <w:szCs w:val="28"/>
        </w:rPr>
        <w:t>月</w:t>
      </w:r>
      <w:r>
        <w:rPr>
          <w:bCs/>
          <w:sz w:val="28"/>
          <w:szCs w:val="28"/>
        </w:rPr>
        <w:t>26</w:t>
      </w:r>
      <w:r>
        <w:rPr>
          <w:rFonts w:hint="eastAsia"/>
          <w:bCs/>
          <w:sz w:val="28"/>
          <w:szCs w:val="28"/>
        </w:rPr>
        <w:t>号记账凭证区环卫处支付实习生工资</w:t>
      </w:r>
      <w:r>
        <w:rPr>
          <w:bCs/>
          <w:sz w:val="28"/>
          <w:szCs w:val="28"/>
        </w:rPr>
        <w:t>0.10</w:t>
      </w:r>
      <w:r>
        <w:rPr>
          <w:rFonts w:hint="eastAsia"/>
          <w:bCs/>
          <w:sz w:val="28"/>
          <w:szCs w:val="28"/>
        </w:rPr>
        <w:t>万元，属于该项目预算外支出。不符合《重庆市北碚区区级项目支出预算管理办法》（北碚财〔</w:t>
      </w:r>
      <w:r>
        <w:rPr>
          <w:bCs/>
          <w:sz w:val="28"/>
          <w:szCs w:val="28"/>
        </w:rPr>
        <w:t>2019</w:t>
      </w:r>
      <w:r>
        <w:rPr>
          <w:rFonts w:hint="eastAsia"/>
          <w:bCs/>
          <w:sz w:val="28"/>
          <w:szCs w:val="28"/>
        </w:rPr>
        <w:t>〕</w:t>
      </w:r>
      <w:r>
        <w:rPr>
          <w:bCs/>
          <w:sz w:val="28"/>
          <w:szCs w:val="28"/>
        </w:rPr>
        <w:t>267</w:t>
      </w:r>
      <w:r>
        <w:rPr>
          <w:rFonts w:hint="eastAsia"/>
          <w:bCs/>
          <w:sz w:val="28"/>
          <w:szCs w:val="28"/>
        </w:rPr>
        <w:t>号）第十九</w:t>
      </w:r>
      <w:r>
        <w:rPr>
          <w:rFonts w:hint="cs"/>
          <w:bCs/>
          <w:sz w:val="28"/>
          <w:szCs w:val="28"/>
        </w:rPr>
        <w:t xml:space="preserve"> “</w:t>
      </w:r>
      <w:r>
        <w:rPr>
          <w:rFonts w:hint="eastAsia"/>
          <w:bCs/>
          <w:sz w:val="28"/>
          <w:szCs w:val="28"/>
        </w:rPr>
        <w:t>区级部门要按照批复的项目支出预算组织项目的实施，并督促项目单位严格执行项目计划和项目支出预算</w:t>
      </w:r>
      <w:r>
        <w:rPr>
          <w:rFonts w:hint="cs"/>
          <w:bCs/>
          <w:sz w:val="28"/>
          <w:szCs w:val="28"/>
        </w:rPr>
        <w:t>”</w:t>
      </w:r>
      <w:r>
        <w:rPr>
          <w:rFonts w:hint="eastAsia"/>
          <w:bCs/>
          <w:sz w:val="28"/>
          <w:szCs w:val="28"/>
        </w:rPr>
        <w:t>之规定。</w:t>
      </w:r>
    </w:p>
    <w:p>
      <w:pPr>
        <w:adjustRightInd w:val="0"/>
        <w:snapToGrid w:val="0"/>
        <w:spacing w:line="360" w:lineRule="auto"/>
        <w:ind w:firstLine="560" w:firstLineChars="200"/>
        <w:outlineLvl w:val="1"/>
        <w:rPr>
          <w:b/>
          <w:bCs/>
          <w:sz w:val="28"/>
          <w:szCs w:val="28"/>
        </w:rPr>
      </w:pPr>
      <w:bookmarkStart w:id="79" w:name="_Toc1785"/>
      <w:bookmarkStart w:id="80" w:name="_Toc49241496"/>
      <w:r>
        <w:rPr>
          <w:rFonts w:hint="eastAsia"/>
          <w:b/>
          <w:bCs/>
          <w:sz w:val="28"/>
          <w:szCs w:val="28"/>
        </w:rPr>
        <w:t>（三）对项目效益资料的收集度不足</w:t>
      </w:r>
      <w:bookmarkEnd w:id="79"/>
      <w:bookmarkEnd w:id="80"/>
    </w:p>
    <w:p>
      <w:pPr>
        <w:adjustRightInd w:val="0"/>
        <w:snapToGrid w:val="0"/>
        <w:spacing w:line="360" w:lineRule="auto"/>
        <w:ind w:firstLine="560" w:firstLineChars="200"/>
        <w:rPr>
          <w:bCs/>
          <w:sz w:val="28"/>
          <w:szCs w:val="28"/>
        </w:rPr>
      </w:pPr>
      <w:r>
        <w:rPr>
          <w:rFonts w:hint="eastAsia"/>
          <w:bCs/>
          <w:sz w:val="28"/>
          <w:szCs w:val="28"/>
        </w:rPr>
        <w:t>通过核查该项目档案，该项目对社会产生了良好的影响，改善了周边环境，提高了居民的生活质量，产生了较好的效益，但项目单位对项目相关效益资料的归集度不足，无法全面、客观的反映出该项目的效益情况。</w:t>
      </w:r>
    </w:p>
    <w:p>
      <w:pPr>
        <w:snapToGrid w:val="0"/>
        <w:spacing w:line="360" w:lineRule="auto"/>
        <w:ind w:firstLine="638" w:firstLineChars="228"/>
        <w:rPr>
          <w:b/>
          <w:bCs/>
          <w:sz w:val="28"/>
          <w:szCs w:val="28"/>
        </w:rPr>
      </w:pPr>
    </w:p>
    <w:p>
      <w:pPr>
        <w:pStyle w:val="24"/>
        <w:snapToGrid w:val="0"/>
        <w:spacing w:line="360" w:lineRule="auto"/>
        <w:ind w:left="562" w:firstLine="0" w:firstLineChars="0"/>
        <w:outlineLvl w:val="0"/>
        <w:rPr>
          <w:rFonts w:ascii="黑体" w:hAnsi="黑体" w:eastAsia="黑体"/>
          <w:b/>
          <w:bCs/>
          <w:sz w:val="28"/>
          <w:szCs w:val="28"/>
        </w:rPr>
      </w:pPr>
      <w:bookmarkStart w:id="81" w:name="_Toc11363"/>
      <w:bookmarkStart w:id="82" w:name="_Toc7780"/>
      <w:bookmarkStart w:id="83" w:name="_Toc49241497"/>
      <w:r>
        <w:rPr>
          <w:rFonts w:hint="eastAsia" w:ascii="黑体" w:hAnsi="黑体" w:eastAsia="黑体"/>
          <w:b/>
          <w:bCs/>
          <w:sz w:val="28"/>
          <w:szCs w:val="28"/>
        </w:rPr>
        <w:t>六、相关建议</w:t>
      </w:r>
      <w:bookmarkEnd w:id="81"/>
      <w:bookmarkEnd w:id="82"/>
      <w:bookmarkEnd w:id="83"/>
    </w:p>
    <w:p>
      <w:pPr>
        <w:tabs>
          <w:tab w:val="left" w:pos="1800"/>
        </w:tabs>
        <w:adjustRightInd w:val="0"/>
        <w:snapToGrid w:val="0"/>
        <w:spacing w:line="360" w:lineRule="auto"/>
        <w:ind w:left="601"/>
        <w:outlineLvl w:val="1"/>
        <w:rPr>
          <w:b/>
          <w:bCs/>
          <w:sz w:val="28"/>
          <w:szCs w:val="28"/>
        </w:rPr>
      </w:pPr>
      <w:bookmarkStart w:id="84" w:name="_Toc49241498"/>
      <w:bookmarkStart w:id="85" w:name="_Toc14180"/>
      <w:bookmarkStart w:id="86" w:name="_Toc25189"/>
      <w:r>
        <w:rPr>
          <w:rFonts w:hint="eastAsia"/>
          <w:b/>
          <w:bCs/>
          <w:sz w:val="28"/>
          <w:szCs w:val="28"/>
        </w:rPr>
        <w:t>（一）加强项目申报管理</w:t>
      </w:r>
      <w:bookmarkEnd w:id="84"/>
      <w:bookmarkEnd w:id="85"/>
    </w:p>
    <w:p>
      <w:pPr>
        <w:tabs>
          <w:tab w:val="left" w:pos="1800"/>
        </w:tabs>
        <w:adjustRightInd w:val="0"/>
        <w:snapToGrid w:val="0"/>
        <w:spacing w:line="360" w:lineRule="auto"/>
        <w:ind w:firstLine="560" w:firstLineChars="200"/>
        <w:rPr>
          <w:bCs/>
          <w:sz w:val="28"/>
          <w:szCs w:val="28"/>
        </w:rPr>
      </w:pPr>
      <w:r>
        <w:rPr>
          <w:rFonts w:hint="eastAsia"/>
          <w:bCs/>
          <w:sz w:val="28"/>
          <w:szCs w:val="28"/>
        </w:rPr>
        <w:t>绩效目标作为考核预算单位预算绩效管理工作的重要方式，区城管局和所属单位区环卫处申报当年预算时，应按照区财政局规定，填写项目申报书、绩效目标表并附相关材料。应当按照区财政局规定的时间报送项目申报材料，并对项目申报材料内容的真实性、准确性、完整性负责。区城管局应加强对相关预算单位申报的绩效目标规范性、有效性审核，避免出现资金使用无目标，切实提高财政资金使用效率。</w:t>
      </w:r>
    </w:p>
    <w:bookmarkEnd w:id="86"/>
    <w:p>
      <w:pPr>
        <w:adjustRightInd w:val="0"/>
        <w:snapToGrid w:val="0"/>
        <w:spacing w:line="360" w:lineRule="auto"/>
        <w:ind w:firstLine="560" w:firstLineChars="200"/>
        <w:outlineLvl w:val="1"/>
        <w:rPr>
          <w:b/>
          <w:bCs/>
          <w:sz w:val="28"/>
          <w:szCs w:val="28"/>
        </w:rPr>
      </w:pPr>
      <w:bookmarkStart w:id="87" w:name="_Toc49241499"/>
      <w:r>
        <w:rPr>
          <w:rFonts w:hint="eastAsia"/>
          <w:b/>
          <w:bCs/>
          <w:sz w:val="28"/>
          <w:szCs w:val="28"/>
        </w:rPr>
        <w:t>（二）加强财务支出控制</w:t>
      </w:r>
      <w:bookmarkEnd w:id="87"/>
    </w:p>
    <w:p>
      <w:pPr>
        <w:adjustRightInd w:val="0"/>
        <w:snapToGrid w:val="0"/>
        <w:spacing w:line="360" w:lineRule="auto"/>
        <w:ind w:firstLine="560" w:firstLineChars="200"/>
        <w:rPr>
          <w:rFonts w:ascii="方正仿宋_GBK"/>
          <w:color w:val="000000" w:themeColor="text1"/>
          <w:szCs w:val="32"/>
          <w14:textFill>
            <w14:solidFill>
              <w14:schemeClr w14:val="tx1"/>
            </w14:solidFill>
          </w14:textFill>
        </w:rPr>
      </w:pPr>
      <w:r>
        <w:rPr>
          <w:rFonts w:hint="eastAsia"/>
          <w:bCs/>
          <w:sz w:val="28"/>
          <w:szCs w:val="28"/>
        </w:rPr>
        <w:t>区环卫处制定的《财务审批管理办法》是在处理业务活动时相互联系、相互制约的一种管理体系，是保障单位正常财务运转所采取的一系列必要的管理措施，应加强对内部控制制度的重视，针对制度执行情况定期开展必要的内部审计检查，并建立相关考核机制。</w:t>
      </w:r>
    </w:p>
    <w:p>
      <w:pPr>
        <w:tabs>
          <w:tab w:val="left" w:pos="1800"/>
        </w:tabs>
        <w:adjustRightInd w:val="0"/>
        <w:snapToGrid w:val="0"/>
        <w:spacing w:line="360" w:lineRule="auto"/>
        <w:ind w:firstLine="560" w:firstLineChars="200"/>
        <w:outlineLvl w:val="1"/>
        <w:rPr>
          <w:b/>
          <w:bCs/>
          <w:sz w:val="28"/>
          <w:szCs w:val="28"/>
        </w:rPr>
      </w:pPr>
      <w:bookmarkStart w:id="88" w:name="_Toc49241500"/>
      <w:bookmarkStart w:id="89" w:name="_Toc20116"/>
      <w:r>
        <w:rPr>
          <w:rFonts w:hint="eastAsia"/>
          <w:b/>
          <w:bCs/>
          <w:sz w:val="28"/>
          <w:szCs w:val="28"/>
        </w:rPr>
        <w:t>（三）强化绩效管理意识，提高绩效管理水平</w:t>
      </w:r>
      <w:bookmarkEnd w:id="88"/>
      <w:bookmarkEnd w:id="89"/>
    </w:p>
    <w:p>
      <w:pPr>
        <w:tabs>
          <w:tab w:val="left" w:pos="1800"/>
        </w:tabs>
        <w:adjustRightInd w:val="0"/>
        <w:snapToGrid w:val="0"/>
        <w:spacing w:line="360" w:lineRule="auto"/>
        <w:ind w:firstLine="560" w:firstLineChars="200"/>
        <w:rPr>
          <w:sz w:val="28"/>
          <w:szCs w:val="28"/>
        </w:rPr>
      </w:pPr>
      <w:r>
        <w:rPr>
          <w:rFonts w:hint="eastAsia"/>
          <w:sz w:val="28"/>
          <w:szCs w:val="28"/>
        </w:rPr>
        <w:t>区环卫处应进一步强化绩效管理意识，通过受益对象满意度调查等方式收集绩效信息，及时分析绩效管理过程中存在的问题并提出解决措施，逐步提升项目绩效管理的精细化水平。</w:t>
      </w:r>
    </w:p>
    <w:p>
      <w:pPr>
        <w:tabs>
          <w:tab w:val="left" w:pos="1800"/>
        </w:tabs>
        <w:adjustRightInd w:val="0"/>
        <w:snapToGrid w:val="0"/>
        <w:spacing w:line="360" w:lineRule="auto"/>
        <w:rPr>
          <w:sz w:val="28"/>
          <w:szCs w:val="28"/>
        </w:rPr>
      </w:pPr>
    </w:p>
    <w:p>
      <w:pPr>
        <w:tabs>
          <w:tab w:val="left" w:pos="1800"/>
        </w:tabs>
        <w:ind w:firstLine="560" w:firstLineChars="200"/>
        <w:outlineLvl w:val="0"/>
        <w:rPr>
          <w:b/>
          <w:sz w:val="28"/>
          <w:szCs w:val="28"/>
        </w:rPr>
      </w:pPr>
      <w:bookmarkStart w:id="90" w:name="_Toc49241501"/>
      <w:bookmarkStart w:id="91" w:name="_Toc46058739"/>
      <w:r>
        <w:rPr>
          <w:rFonts w:hint="eastAsia"/>
          <w:b/>
          <w:sz w:val="28"/>
          <w:szCs w:val="28"/>
        </w:rPr>
        <w:t>七、其他说明</w:t>
      </w:r>
      <w:bookmarkEnd w:id="90"/>
      <w:bookmarkEnd w:id="91"/>
    </w:p>
    <w:p>
      <w:pPr>
        <w:snapToGrid w:val="0"/>
        <w:spacing w:line="360" w:lineRule="auto"/>
        <w:ind w:firstLine="600" w:firstLineChars="200"/>
        <w:rPr>
          <w:sz w:val="28"/>
          <w:szCs w:val="28"/>
        </w:rPr>
      </w:pPr>
      <w:r>
        <w:rPr>
          <w:rFonts w:hint="eastAsia"/>
        </w:rPr>
        <w:t>该项目由区城管局做主管单位，区环卫处负责具体实施。区环卫处前身是由区政府卫生科管理的清洁队，于</w:t>
      </w:r>
      <w:r>
        <w:t>1951</w:t>
      </w:r>
      <w:r>
        <w:rPr>
          <w:rFonts w:hint="eastAsia"/>
        </w:rPr>
        <w:t>年成立。</w:t>
      </w:r>
      <w:r>
        <w:t>1980</w:t>
      </w:r>
      <w:r>
        <w:rPr>
          <w:rFonts w:hint="eastAsia"/>
        </w:rPr>
        <w:t>年</w:t>
      </w:r>
      <w:r>
        <w:t>4</w:t>
      </w:r>
      <w:r>
        <w:rPr>
          <w:rFonts w:hint="eastAsia"/>
        </w:rPr>
        <w:t>月</w:t>
      </w:r>
      <w:r>
        <w:t>29</w:t>
      </w:r>
      <w:r>
        <w:rPr>
          <w:rFonts w:hint="eastAsia"/>
        </w:rPr>
        <w:t>日更名为</w:t>
      </w:r>
      <w:r>
        <w:rPr>
          <w:rFonts w:hint="cs"/>
        </w:rPr>
        <w:t>“</w:t>
      </w:r>
      <w:r>
        <w:rPr>
          <w:rFonts w:hint="eastAsia"/>
        </w:rPr>
        <w:t>重庆市北碚区环境卫生管理所</w:t>
      </w:r>
      <w:r>
        <w:rPr>
          <w:rFonts w:hint="cs"/>
        </w:rPr>
        <w:t>”</w:t>
      </w:r>
      <w:r>
        <w:rPr>
          <w:rFonts w:hint="eastAsia"/>
        </w:rPr>
        <w:t>，</w:t>
      </w:r>
      <w:r>
        <w:t>1990</w:t>
      </w:r>
      <w:r>
        <w:rPr>
          <w:rFonts w:hint="eastAsia"/>
        </w:rPr>
        <w:t>年年初办公地点迁至现办公地点（北碚区月亮田奔月路</w:t>
      </w:r>
      <w:r>
        <w:t>85</w:t>
      </w:r>
      <w:r>
        <w:rPr>
          <w:rFonts w:hint="eastAsia"/>
        </w:rPr>
        <w:t>号）。</w:t>
      </w:r>
      <w:r>
        <w:t>2003</w:t>
      </w:r>
      <w:r>
        <w:rPr>
          <w:rFonts w:hint="eastAsia"/>
        </w:rPr>
        <w:t>年</w:t>
      </w:r>
      <w:r>
        <w:t>9</w:t>
      </w:r>
      <w:r>
        <w:rPr>
          <w:rFonts w:hint="eastAsia"/>
        </w:rPr>
        <w:t>月</w:t>
      </w:r>
      <w:r>
        <w:t>1</w:t>
      </w:r>
      <w:r>
        <w:rPr>
          <w:rFonts w:hint="eastAsia"/>
        </w:rPr>
        <w:t>日，区环卫处更名为</w:t>
      </w:r>
      <w:r>
        <w:rPr>
          <w:rFonts w:hint="cs"/>
        </w:rPr>
        <w:t>“</w:t>
      </w:r>
      <w:r>
        <w:rPr>
          <w:rFonts w:hint="eastAsia"/>
        </w:rPr>
        <w:t>重庆市北碚区环境卫生管理处</w:t>
      </w:r>
      <w:r>
        <w:rPr>
          <w:rFonts w:hint="cs"/>
        </w:rPr>
        <w:t>”</w:t>
      </w:r>
      <w:r>
        <w:rPr>
          <w:rFonts w:hint="eastAsia"/>
        </w:rPr>
        <w:t>，主要负责城市道路的清扫保洁；公共厕所建设和日常管理；城市生活垃圾处置费的征收、已封闭垃圾处置场的管理等。</w:t>
      </w:r>
    </w:p>
    <w:p>
      <w:pPr>
        <w:tabs>
          <w:tab w:val="left" w:pos="1800"/>
        </w:tabs>
        <w:adjustRightInd w:val="0"/>
        <w:snapToGrid w:val="0"/>
        <w:spacing w:line="360" w:lineRule="auto"/>
        <w:rPr>
          <w:sz w:val="28"/>
          <w:szCs w:val="28"/>
        </w:rPr>
      </w:pPr>
    </w:p>
    <w:p>
      <w:pPr>
        <w:tabs>
          <w:tab w:val="left" w:pos="1800"/>
        </w:tabs>
        <w:ind w:firstLine="560" w:firstLineChars="200"/>
        <w:outlineLvl w:val="0"/>
        <w:rPr>
          <w:b/>
          <w:sz w:val="28"/>
          <w:szCs w:val="28"/>
        </w:rPr>
      </w:pPr>
      <w:bookmarkStart w:id="92" w:name="_Toc49241502"/>
      <w:bookmarkStart w:id="93" w:name="_Toc22098"/>
      <w:r>
        <w:rPr>
          <w:rFonts w:hint="eastAsia"/>
          <w:b/>
          <w:sz w:val="28"/>
          <w:szCs w:val="28"/>
        </w:rPr>
        <w:t>附件：</w:t>
      </w:r>
      <w:bookmarkEnd w:id="92"/>
      <w:bookmarkEnd w:id="93"/>
    </w:p>
    <w:p>
      <w:pPr>
        <w:tabs>
          <w:tab w:val="left" w:pos="1800"/>
        </w:tabs>
        <w:ind w:firstLine="560" w:firstLineChars="200"/>
        <w:rPr>
          <w:sz w:val="28"/>
          <w:szCs w:val="28"/>
        </w:rPr>
      </w:pPr>
      <w:bookmarkStart w:id="94" w:name="_Hlk46243478"/>
      <w:r>
        <w:rPr>
          <w:rFonts w:hint="eastAsia"/>
          <w:sz w:val="28"/>
          <w:szCs w:val="28"/>
        </w:rPr>
        <w:t>北碚区20</w:t>
      </w:r>
      <w:r>
        <w:rPr>
          <w:sz w:val="28"/>
          <w:szCs w:val="28"/>
        </w:rPr>
        <w:t>19</w:t>
      </w:r>
      <w:r>
        <w:rPr>
          <w:rFonts w:hint="eastAsia"/>
          <w:sz w:val="28"/>
          <w:szCs w:val="28"/>
        </w:rPr>
        <w:t>年度市政道路清扫保洁项目绩效评价指标体系评分表</w:t>
      </w:r>
    </w:p>
    <w:bookmarkEnd w:id="94"/>
    <w:p>
      <w:pPr>
        <w:tabs>
          <w:tab w:val="left" w:pos="1800"/>
        </w:tabs>
        <w:ind w:firstLine="560" w:firstLineChars="200"/>
        <w:rPr>
          <w:sz w:val="28"/>
          <w:szCs w:val="28"/>
        </w:rPr>
      </w:pPr>
    </w:p>
    <w:p>
      <w:pPr>
        <w:tabs>
          <w:tab w:val="left" w:pos="1800"/>
        </w:tabs>
        <w:ind w:firstLine="560" w:firstLineChars="200"/>
        <w:rPr>
          <w:sz w:val="28"/>
          <w:szCs w:val="28"/>
        </w:rPr>
      </w:pPr>
    </w:p>
    <w:p>
      <w:pPr>
        <w:tabs>
          <w:tab w:val="left" w:pos="1800"/>
        </w:tabs>
        <w:ind w:firstLine="560" w:firstLineChars="200"/>
        <w:rPr>
          <w:sz w:val="28"/>
          <w:szCs w:val="28"/>
        </w:rPr>
      </w:pPr>
    </w:p>
    <w:p>
      <w:pPr>
        <w:tabs>
          <w:tab w:val="left" w:pos="1800"/>
        </w:tabs>
        <w:ind w:firstLine="560" w:firstLineChars="200"/>
        <w:rPr>
          <w:sz w:val="28"/>
          <w:szCs w:val="28"/>
        </w:rPr>
      </w:pPr>
    </w:p>
    <w:p>
      <w:pPr>
        <w:ind w:right="-192" w:rightChars="-64"/>
      </w:pPr>
      <w:bookmarkStart w:id="95" w:name="_Hlk46242592"/>
      <w:r>
        <w:rPr>
          <w:rFonts w:hint="eastAsia"/>
        </w:rPr>
        <w:t>天健会计师事务所（特殊普通合伙）重庆分所  中国注册会计师：</w:t>
      </w:r>
    </w:p>
    <w:p/>
    <w:p>
      <w:pPr>
        <w:ind w:right="-192" w:rightChars="-64"/>
      </w:pPr>
      <w:r>
        <w:rPr>
          <w:rFonts w:hint="eastAsia"/>
        </w:rPr>
        <w:t xml:space="preserve">             中国</w:t>
      </w:r>
      <w:r>
        <w:rPr>
          <w:rFonts w:hint="cs"/>
        </w:rPr>
        <w:t>•</w:t>
      </w:r>
      <w:r>
        <w:rPr>
          <w:rFonts w:hint="eastAsia"/>
        </w:rPr>
        <w:t xml:space="preserve">重庆   </w:t>
      </w:r>
      <w:r>
        <w:tab/>
      </w:r>
      <w:r>
        <w:rPr>
          <w:rFonts w:hint="eastAsia"/>
        </w:rPr>
        <w:t xml:space="preserve">    </w:t>
      </w:r>
      <w:r>
        <w:t xml:space="preserve">          </w:t>
      </w:r>
      <w:r>
        <w:rPr>
          <w:rFonts w:hint="eastAsia"/>
        </w:rPr>
        <w:t xml:space="preserve">        中国注册会计师：</w:t>
      </w:r>
    </w:p>
    <w:p>
      <w:pPr>
        <w:ind w:firstLine="600" w:firstLineChars="200"/>
      </w:pPr>
      <w:r>
        <w:tab/>
      </w:r>
      <w:r>
        <w:tab/>
      </w:r>
    </w:p>
    <w:p>
      <w:pPr>
        <w:jc w:val="right"/>
      </w:pPr>
      <w:r>
        <w:rPr>
          <w:rFonts w:hint="eastAsia"/>
        </w:rPr>
        <w:t>二〇二零年七月二十日</w:t>
      </w:r>
    </w:p>
    <w:bookmarkEnd w:id="95"/>
    <w:p>
      <w:pPr>
        <w:tabs>
          <w:tab w:val="left" w:pos="1800"/>
        </w:tabs>
        <w:ind w:firstLine="560" w:firstLineChars="200"/>
        <w:rPr>
          <w:sz w:val="28"/>
          <w:szCs w:val="28"/>
        </w:rPr>
      </w:pPr>
    </w:p>
    <w:p>
      <w:pPr>
        <w:rPr>
          <w:sz w:val="28"/>
          <w:szCs w:val="28"/>
        </w:rPr>
        <w:sectPr>
          <w:pgSz w:w="11906" w:h="16838"/>
          <w:pgMar w:top="1440" w:right="1797" w:bottom="1440" w:left="1797" w:header="851" w:footer="992" w:gutter="0"/>
          <w:cols w:space="425" w:num="1"/>
          <w:docGrid w:type="linesAndChars" w:linePitch="312" w:charSpace="0"/>
        </w:sectPr>
      </w:pPr>
    </w:p>
    <w:p>
      <w:pPr>
        <w:tabs>
          <w:tab w:val="left" w:pos="1800"/>
        </w:tabs>
        <w:rPr>
          <w:sz w:val="28"/>
          <w:szCs w:val="28"/>
        </w:rPr>
      </w:pPr>
      <w:r>
        <w:rPr>
          <w:rFonts w:hint="eastAsia"/>
          <w:sz w:val="28"/>
          <w:szCs w:val="28"/>
        </w:rPr>
        <w:t>附件：北碚区20</w:t>
      </w:r>
      <w:r>
        <w:rPr>
          <w:sz w:val="28"/>
          <w:szCs w:val="28"/>
        </w:rPr>
        <w:t>19</w:t>
      </w:r>
      <w:r>
        <w:rPr>
          <w:rFonts w:hint="eastAsia"/>
          <w:sz w:val="28"/>
          <w:szCs w:val="28"/>
        </w:rPr>
        <w:t>年度市政道路清扫保洁项目绩效评价指标体系评分表</w:t>
      </w:r>
    </w:p>
    <w:tbl>
      <w:tblPr>
        <w:tblStyle w:val="12"/>
        <w:tblW w:w="1497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431"/>
        <w:gridCol w:w="499"/>
        <w:gridCol w:w="392"/>
        <w:gridCol w:w="575"/>
        <w:gridCol w:w="459"/>
        <w:gridCol w:w="3593"/>
        <w:gridCol w:w="1151"/>
        <w:gridCol w:w="2359"/>
        <w:gridCol w:w="2298"/>
        <w:gridCol w:w="78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blHeader/>
        </w:trPr>
        <w:tc>
          <w:tcPr>
            <w:tcW w:w="554"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一级指标</w:t>
            </w:r>
          </w:p>
        </w:tc>
        <w:tc>
          <w:tcPr>
            <w:tcW w:w="43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分值</w:t>
            </w:r>
          </w:p>
        </w:tc>
        <w:tc>
          <w:tcPr>
            <w:tcW w:w="49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二级指标</w:t>
            </w:r>
          </w:p>
        </w:tc>
        <w:tc>
          <w:tcPr>
            <w:tcW w:w="392"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分值</w:t>
            </w:r>
          </w:p>
        </w:tc>
        <w:tc>
          <w:tcPr>
            <w:tcW w:w="575"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三级指标</w:t>
            </w:r>
          </w:p>
        </w:tc>
        <w:tc>
          <w:tcPr>
            <w:tcW w:w="4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分值</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四级指标</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分值</w:t>
            </w:r>
          </w:p>
        </w:tc>
        <w:tc>
          <w:tcPr>
            <w:tcW w:w="23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指标说明</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计分方式</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b/>
                <w:color w:val="000000"/>
                <w:sz w:val="21"/>
                <w:szCs w:val="21"/>
              </w:rPr>
            </w:pPr>
            <w:r>
              <w:rPr>
                <w:rFonts w:hint="eastAsia" w:ascii="仿宋" w:hAnsi="仿宋" w:eastAsia="仿宋" w:cs="宋体"/>
                <w:b/>
                <w:color w:val="000000"/>
                <w:kern w:val="0"/>
                <w:sz w:val="21"/>
                <w:szCs w:val="21"/>
                <w:lang w:bidi="ar"/>
              </w:rPr>
              <w:t>得分</w:t>
            </w:r>
          </w:p>
        </w:tc>
        <w:tc>
          <w:tcPr>
            <w:tcW w:w="1884"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决策　</w:t>
            </w:r>
          </w:p>
        </w:tc>
        <w:tc>
          <w:tcPr>
            <w:tcW w:w="43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15</w:t>
            </w: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项目立项　</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立项依据充分性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①项目立项是否符合国家法律法规、国民经济发展规划和相关政策；</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项目立项是否符合法律法规、相关政策、发展规划以及部门职责，用以反映和考核项目立项依据情况。</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符合得0.5分；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②项目立项是否符合行业发展规划和政策要求；</w:t>
            </w: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③项目立项是否与部门职责范围相符，属于部门履职所需；</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相符得0.5分；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④项目是否属于公共财政支持范围，是否符合中央、地方事权支出责任划分原则；</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符合得0.5分；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⑤项目是否与相关部门同类项目或部门内部相关项目重复。</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不重复得0.5分；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立项程序规范性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①项目是否按照规定的程序申请设立；</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项目申请、设立过程是否符合相关要求，用以反映和考核项目立项的规范情况。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按照程序1分；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②审批文件、材料是否符合相关要求；</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符合要求1分；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③事前是否已经过必要的可行性研究、专家论证、风险评估、绩效评估、集体决策。</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有必要的决策1分；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sz w:val="21"/>
                <w:szCs w:val="21"/>
              </w:rPr>
              <w:t>缺少</w:t>
            </w:r>
            <w:r>
              <w:rPr>
                <w:rFonts w:hint="eastAsia" w:ascii="仿宋" w:hAnsi="仿宋" w:eastAsia="仿宋" w:cs="宋体"/>
                <w:color w:val="000000"/>
                <w:kern w:val="0"/>
                <w:sz w:val="21"/>
                <w:szCs w:val="21"/>
                <w:lang w:bidi="ar"/>
              </w:rPr>
              <w:t>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绩效目标　</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绩效目标合理性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①项目是否有绩效目标；</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项目所设定的绩效目标是否依据充分，是否符合客观实际，用以反映和考核项目绩效目标与项目实施的相符情况。（如未设定预算绩效目标，也可考核其他工作任务目标）</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有绩效目标0.5分；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②项目绩效目标与实际工作内容是否具有相关性；</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具有相关性0.5分；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③项目预期产出效益和效果是否符合正常的业绩水平；</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符合正常水平0.5分；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④是否与预算确定的项目投资额或资金量相匹配。</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0.50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相匹配0.5分；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0.50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绩效指标明确性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①是否将项目绩效目标细化分解为具体的绩效指标；</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依据绩效目标设定的绩效指标是否清晰、细化、可衡量等，用以反映和考核项目绩效目标的明细化情况。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细化、具体1分；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kern w:val="0"/>
                <w:sz w:val="21"/>
                <w:szCs w:val="21"/>
              </w:rPr>
              <w:t>该项目设置的项目指标没有细化分解为具体的绩效指标。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②是否通过清晰、可衡量的指标值予以体现；</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有可衡量指标值1分；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kern w:val="0"/>
                <w:sz w:val="21"/>
                <w:szCs w:val="21"/>
              </w:rPr>
              <w:t>该项目设置的项目指标没有设置科学衡量的指标值。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③是否与项目目标任务数或计划数相对应。</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相对应1分；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资金投入</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预算编制科学性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①预算编制是否经过科学论证；</w:t>
            </w:r>
          </w:p>
        </w:tc>
        <w:tc>
          <w:tcPr>
            <w:tcW w:w="1151"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项目预算编制是否经过科学论证、有明确标准，资金额度与年度目标是否相适应，用以反映和考核项目预算编制的科学性、合理性情况。</w:t>
            </w:r>
          </w:p>
        </w:tc>
        <w:tc>
          <w:tcPr>
            <w:tcW w:w="2298"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②预算内容与项目内容是否匹配；</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匹配1分；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③预算额度测算依据是否充分，是否按照标准编制；</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有依据、计算准确1分；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④预算确定的项目投资额或资金量是否与工作任务相匹配。</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相匹配1分；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资金分配合理性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①预算资金分配依据是否充分；</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项目预算资金分配是否有测算依据，与补助单位或地方实际是否相适应，用以反映和考核项目预算资金分配的科学性、合理性情况。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分配依据充分1分；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②资金分配额度是否合理，与项目单位或地方实际是否相适应。</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分配合理1分；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过程管理</w:t>
            </w:r>
          </w:p>
        </w:tc>
        <w:tc>
          <w:tcPr>
            <w:tcW w:w="43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w:t>
            </w: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资金管理</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资金到位率</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资金到位率=（实际到位资金/预算资金）×100%。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实际到位资金与预算资金的比率，用以反映和考核资金落实情况对项目实施的总体保障程度。</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资金到位率≤60%，得零分；60%&lt;资金到位率&lt;100%，得分=资金到位率*分值；资金到位率≥100%，满分；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2.00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预算执行率</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预算执行率=（实际支出资金/实际到位资金）×100%。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项目预算资金是否按照计划执行，用以反映或考核项目预算执行情况。</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预算执行率≤92%，得零分；92%&lt;预算执行率&lt;100%，得分=预算执行率*分值；预算执行率≥100%，满分；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3.00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资金使用合规性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①是否符合国家财经法规和财务管理制度以及有关专项资金管理办法的规定；</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项目资金使用是否符合相关的财务管理制度规定，用以反映和考核项目资金的规范运行情况。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出现1例不符合扣0.5分，两例及以上，得零分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②资金的拨付是否有完整的审批程序和手续；</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出现1例不完整扣0.5分，两例及以上，得零分；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③是否符合项目预算批复或合同规定的用途；</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出现不符合，得0分；符合得1分；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sz w:val="21"/>
                <w:szCs w:val="21"/>
              </w:rPr>
              <w:t>2019年8月26号记账凭证区环卫处支付实习生工资0.10万元，</w:t>
            </w:r>
            <w:r>
              <w:rPr>
                <w:rFonts w:hint="eastAsia" w:ascii="仿宋" w:hAnsi="仿宋" w:eastAsia="仿宋" w:cs="宋体"/>
                <w:color w:val="000000"/>
                <w:kern w:val="0"/>
                <w:sz w:val="21"/>
                <w:szCs w:val="21"/>
              </w:rPr>
              <w:t>属于预算外支出。</w:t>
            </w:r>
            <w:r>
              <w:rPr>
                <w:rFonts w:ascii="仿宋" w:hAnsi="仿宋" w:eastAsia="仿宋"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④是否存在截留、挤占、挪用、虚列支出等情况。</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出现1例不完整扣1分，两例以上，得零分；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2.00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组织实施</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管理制度健全性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①是否已制定或具有相应的财务和业务管理制度；</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项目实施单位的财务和业务管理制度是否健全，用以反映和考核财务和业务管理制度对项目顺利实施的保障情况。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制定财务制度1分，制定业务制度1分；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2.00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②财务和业务管理制度是否合法、合规、完整。</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出现不合法、不合规，得零分，出现不完整扣1分；扣完为止；</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3.00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制度执行有效性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①是否遵守相关法律法规和相关管理规定；</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项目实施是否符合相关管理规定，用以反映和考核相关管理制度的有效执行情况。</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出现1例不合规扣0.5分，直至扣完；</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2.00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②项目调整及支出调整手续是否完备；</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手续完备得1分；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③项目合同书、验收报告、技术鉴定等资料是否齐全并及时归档；</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档案齐全得1分；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④项目实施的人员条件、场地设备、信息支撑等是否落实到位。</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专人负责得0.5分，专业的设备支撑0.5分；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产出</w:t>
            </w:r>
          </w:p>
        </w:tc>
        <w:tc>
          <w:tcPr>
            <w:tcW w:w="43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w:t>
            </w: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产出数量</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20</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清扫数量完成率</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实际清扫率=（实际清扫面积/计划清扫面积）×100%。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项目实施的实际产出数与计划产出数的比率，用以反映和考核项目产出数量目标的实现程度。</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清扫面积≤90%，得零分；</w:t>
            </w:r>
            <w:r>
              <w:rPr>
                <w:rFonts w:hint="eastAsia" w:ascii="仿宋" w:hAnsi="仿宋" w:eastAsia="仿宋" w:cs="宋体"/>
                <w:color w:val="000000"/>
                <w:kern w:val="0"/>
                <w:sz w:val="21"/>
                <w:szCs w:val="21"/>
                <w:lang w:bidi="ar"/>
              </w:rPr>
              <w:br w:type="textWrapping"/>
            </w:r>
            <w:r>
              <w:rPr>
                <w:rFonts w:hint="eastAsia" w:ascii="仿宋" w:hAnsi="仿宋" w:eastAsia="仿宋" w:cs="宋体"/>
                <w:color w:val="000000"/>
                <w:kern w:val="0"/>
                <w:sz w:val="21"/>
                <w:szCs w:val="21"/>
                <w:lang w:bidi="ar"/>
              </w:rPr>
              <w:t>90%&lt;实际清扫率&lt;100%，得分=实际清扫率*分值；</w:t>
            </w:r>
            <w:r>
              <w:rPr>
                <w:rFonts w:hint="eastAsia" w:ascii="仿宋" w:hAnsi="仿宋" w:eastAsia="仿宋" w:cs="宋体"/>
                <w:color w:val="000000"/>
                <w:kern w:val="0"/>
                <w:sz w:val="21"/>
                <w:szCs w:val="21"/>
                <w:lang w:bidi="ar"/>
              </w:rPr>
              <w:br w:type="textWrapping"/>
            </w:r>
            <w:r>
              <w:rPr>
                <w:rFonts w:hint="eastAsia" w:ascii="仿宋" w:hAnsi="仿宋" w:eastAsia="仿宋" w:cs="宋体"/>
                <w:color w:val="000000"/>
                <w:kern w:val="0"/>
                <w:sz w:val="21"/>
                <w:szCs w:val="21"/>
                <w:lang w:bidi="ar"/>
              </w:rPr>
              <w:t>实际清扫率≥100%，满分</w:t>
            </w:r>
            <w:r>
              <w:rPr>
                <w:rFonts w:hint="eastAsia" w:ascii="仿宋" w:hAnsi="仿宋" w:eastAsia="仿宋" w:cs="宋体"/>
                <w:color w:val="000000"/>
                <w:kern w:val="0"/>
                <w:sz w:val="21"/>
                <w:szCs w:val="21"/>
                <w:lang w:bidi="ar"/>
              </w:rPr>
              <w:br w:type="textWrapping"/>
            </w:r>
            <w:r>
              <w:rPr>
                <w:rFonts w:hint="eastAsia" w:ascii="仿宋" w:hAnsi="仿宋" w:eastAsia="仿宋" w:cs="宋体"/>
                <w:color w:val="000000"/>
                <w:kern w:val="0"/>
                <w:sz w:val="21"/>
                <w:szCs w:val="21"/>
                <w:lang w:bidi="ar"/>
              </w:rPr>
              <w:t>（变化比率根据具体项目实际情况可调。）</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5.00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质量达标率</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15</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质量达标率=（例行检查得分/总分数）×100%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15.00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项目完成的质量达标产出数与实际产出数的比率，用以反映和考核项目产出质量目标的实现程度。</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质量达标率≤90%，得零分；</w:t>
            </w:r>
            <w:r>
              <w:rPr>
                <w:rFonts w:hint="eastAsia" w:ascii="仿宋" w:hAnsi="仿宋" w:eastAsia="仿宋" w:cs="宋体"/>
                <w:color w:val="000000"/>
                <w:kern w:val="0"/>
                <w:sz w:val="21"/>
                <w:szCs w:val="21"/>
                <w:lang w:bidi="ar"/>
              </w:rPr>
              <w:br w:type="textWrapping"/>
            </w:r>
            <w:r>
              <w:rPr>
                <w:rFonts w:hint="eastAsia" w:ascii="仿宋" w:hAnsi="仿宋" w:eastAsia="仿宋" w:cs="宋体"/>
                <w:color w:val="000000"/>
                <w:kern w:val="0"/>
                <w:sz w:val="21"/>
                <w:szCs w:val="21"/>
                <w:lang w:bidi="ar"/>
              </w:rPr>
              <w:t>90%&lt;质量达标率&lt;100%，得分=质量达标率*分值；</w:t>
            </w:r>
            <w:r>
              <w:rPr>
                <w:rFonts w:hint="eastAsia" w:ascii="仿宋" w:hAnsi="仿宋" w:eastAsia="仿宋" w:cs="宋体"/>
                <w:color w:val="000000"/>
                <w:kern w:val="0"/>
                <w:sz w:val="21"/>
                <w:szCs w:val="21"/>
                <w:lang w:bidi="ar"/>
              </w:rPr>
              <w:br w:type="textWrapping"/>
            </w:r>
            <w:r>
              <w:rPr>
                <w:rFonts w:hint="eastAsia" w:ascii="仿宋" w:hAnsi="仿宋" w:eastAsia="仿宋" w:cs="宋体"/>
                <w:color w:val="000000"/>
                <w:kern w:val="0"/>
                <w:sz w:val="21"/>
                <w:szCs w:val="21"/>
                <w:lang w:bidi="ar"/>
              </w:rPr>
              <w:t>质量达标率≥100%，满分；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14.55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r>
              <w:rPr>
                <w:rFonts w:hint="eastAsia" w:ascii="仿宋" w:hAnsi="仿宋" w:eastAsia="仿宋" w:cs="宋体"/>
                <w:color w:val="000000"/>
                <w:sz w:val="21"/>
                <w:szCs w:val="21"/>
              </w:rPr>
              <w:t>日常检查扣分，按比例计算扣分率为3%，质量达标率为97%。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产出时效</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完成及时性</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完成及时率=[（计划完成清扫数-实际完成清扫数）/计划完成清扫数]×100%。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项目实际完成时间与计划完成时间的比较，用以反映和考核项目产出时效目标的实现程度。</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完成及时率≤80%，得零分；80%&lt;完成及时率率&lt;100%，扣分=完成及时率*分值；完成及时率≥100%，满分；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5.00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产出成本</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成本节约率</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成本节约率=[（预算资金-实际支出）/预算资金]×100%。</w:t>
            </w:r>
          </w:p>
        </w:tc>
        <w:tc>
          <w:tcPr>
            <w:tcW w:w="115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完成项目计划工作目标的实际节约成本与计划成本的比率，用以反映和考核项目的成本节约程度。</w:t>
            </w:r>
          </w:p>
        </w:tc>
        <w:tc>
          <w:tcPr>
            <w:tcW w:w="2298"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成本节约率≤-10%，得零分；-10%&lt;成本节约率&lt;0%，扣分=成本节约率*分值；成本节约率≥0%，满分</w:t>
            </w:r>
          </w:p>
        </w:tc>
        <w:tc>
          <w:tcPr>
            <w:tcW w:w="780"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0.00 </w:t>
            </w:r>
          </w:p>
        </w:tc>
        <w:tc>
          <w:tcPr>
            <w:tcW w:w="1884" w:type="dxa"/>
            <w:vMerge w:val="restart"/>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sz w:val="21"/>
                <w:szCs w:val="21"/>
              </w:rPr>
              <w:t>预算资金190.00万元，实际支出209.38万元，成本节约率小于-10%.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884" w:type="dxa"/>
            <w:vMerge w:val="continue"/>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效益　</w:t>
            </w:r>
          </w:p>
        </w:tc>
        <w:tc>
          <w:tcPr>
            <w:tcW w:w="431"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35</w:t>
            </w:r>
          </w:p>
        </w:tc>
        <w:tc>
          <w:tcPr>
            <w:tcW w:w="49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项目效益　</w:t>
            </w:r>
          </w:p>
        </w:tc>
        <w:tc>
          <w:tcPr>
            <w:tcW w:w="392"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w:t>
            </w:r>
          </w:p>
        </w:tc>
        <w:tc>
          <w:tcPr>
            <w:tcW w:w="575"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社会效益</w:t>
            </w:r>
          </w:p>
        </w:tc>
        <w:tc>
          <w:tcPr>
            <w:tcW w:w="4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美化城市环境，提升城市形象</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3.00</w:t>
            </w:r>
          </w:p>
        </w:tc>
        <w:tc>
          <w:tcPr>
            <w:tcW w:w="2359" w:type="dxa"/>
            <w:vMerge w:val="restart"/>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项目实施所产生的社会效益。</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rPr>
              <w:t>美化环境，提升城市形象得3分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3.00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kern w:val="0"/>
                <w:sz w:val="21"/>
                <w:szCs w:val="21"/>
                <w:lang w:bidi="ar"/>
              </w:rPr>
              <w:t>无法具体衡量，但城市保洁对美化环境、提高人民生活水平、提高就业的作用是实际存在的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带动就业</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3.00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r>
              <w:rPr>
                <w:rFonts w:hint="eastAsia" w:ascii="仿宋" w:hAnsi="仿宋" w:eastAsia="仿宋" w:cs="宋体"/>
                <w:color w:val="000000"/>
                <w:sz w:val="21"/>
                <w:szCs w:val="21"/>
              </w:rPr>
              <w:t>带动就业得3分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3.00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kern w:val="0"/>
                <w:sz w:val="21"/>
                <w:szCs w:val="21"/>
                <w:lang w:bidi="ar"/>
              </w:rPr>
              <w:t>无法具体衡量，但城市保洁提高就业的作用是实际存在的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提高人民生活水平</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4.00</w:t>
            </w:r>
          </w:p>
        </w:tc>
        <w:tc>
          <w:tcPr>
            <w:tcW w:w="235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r>
              <w:rPr>
                <w:rFonts w:hint="eastAsia" w:ascii="仿宋" w:hAnsi="仿宋" w:eastAsia="仿宋" w:cs="宋体"/>
                <w:color w:val="000000"/>
                <w:sz w:val="21"/>
                <w:szCs w:val="21"/>
              </w:rPr>
              <w:t>提高人民生活水平得4分</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4.00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left"/>
              <w:rPr>
                <w:rFonts w:ascii="仿宋" w:hAnsi="仿宋" w:eastAsia="仿宋" w:cs="宋体"/>
                <w:color w:val="000000"/>
                <w:sz w:val="21"/>
                <w:szCs w:val="21"/>
              </w:rPr>
            </w:pPr>
            <w:r>
              <w:rPr>
                <w:rFonts w:hint="eastAsia" w:ascii="仿宋" w:hAnsi="仿宋" w:eastAsia="仿宋" w:cs="宋体"/>
                <w:color w:val="000000"/>
                <w:kern w:val="0"/>
                <w:sz w:val="21"/>
                <w:szCs w:val="21"/>
                <w:lang w:bidi="ar"/>
              </w:rPr>
              <w:t>无法具体衡量，但城市保洁对提高人民生活水平的作用是实际存在的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生态效益</w:t>
            </w:r>
          </w:p>
        </w:tc>
        <w:tc>
          <w:tcPr>
            <w:tcW w:w="4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项目实施对生态环境所带来的直接或间接影响情况</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10.00</w:t>
            </w:r>
          </w:p>
        </w:tc>
        <w:tc>
          <w:tcPr>
            <w:tcW w:w="23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项目实施所产生的生态效益。</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left"/>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保证了环境的干净整洁，保护了生态</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575"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可持续性影响</w:t>
            </w:r>
          </w:p>
        </w:tc>
        <w:tc>
          <w:tcPr>
            <w:tcW w:w="4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项目后续运行及成效发挥的可持续影响情况</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10.00</w:t>
            </w:r>
          </w:p>
        </w:tc>
        <w:tc>
          <w:tcPr>
            <w:tcW w:w="23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项目实施所产生的可持续性影响。</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市政道路清扫保洁作为城市清洁的主要方式，有其必要性，需要保洁人员</w:t>
            </w:r>
            <w:r>
              <w:rPr>
                <w:rFonts w:hint="eastAsia" w:ascii="仿宋" w:hAnsi="仿宋" w:eastAsia="仿宋" w:cs="宋体"/>
                <w:color w:val="000000"/>
                <w:kern w:val="0"/>
                <w:sz w:val="21"/>
                <w:szCs w:val="21"/>
                <w:lang w:eastAsia="zh-CN" w:bidi="ar"/>
              </w:rPr>
              <w:t>长</w:t>
            </w:r>
            <w:r>
              <w:rPr>
                <w:rFonts w:hint="eastAsia" w:ascii="仿宋" w:hAnsi="仿宋" w:eastAsia="仿宋" w:cs="宋体"/>
                <w:color w:val="000000"/>
                <w:kern w:val="0"/>
                <w:sz w:val="21"/>
                <w:szCs w:val="21"/>
                <w:lang w:bidi="ar"/>
              </w:rPr>
              <w:t>年累月持续的进行清洁，才能保证城市环境干净卫生。</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10.00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54"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31" w:type="dxa"/>
            <w:vMerge w:val="continue"/>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9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满意度</w:t>
            </w:r>
          </w:p>
        </w:tc>
        <w:tc>
          <w:tcPr>
            <w:tcW w:w="392"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575"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满意度</w:t>
            </w:r>
          </w:p>
        </w:tc>
        <w:tc>
          <w:tcPr>
            <w:tcW w:w="4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w:t>
            </w:r>
          </w:p>
        </w:tc>
        <w:tc>
          <w:tcPr>
            <w:tcW w:w="3593"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社会公众或服务对象对项目实施效果的满意程度。</w:t>
            </w:r>
          </w:p>
        </w:tc>
        <w:tc>
          <w:tcPr>
            <w:tcW w:w="1151"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5.00</w:t>
            </w:r>
          </w:p>
        </w:tc>
        <w:tc>
          <w:tcPr>
            <w:tcW w:w="2359"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社会公众或服务对象对项目实施效果的满意程度。</w:t>
            </w:r>
          </w:p>
        </w:tc>
        <w:tc>
          <w:tcPr>
            <w:tcW w:w="2298"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满意度≤60%，得零分；60%&lt;满意度&lt;100%；得分=满意</w:t>
            </w:r>
            <w:bookmarkStart w:id="96" w:name="_GoBack"/>
            <w:bookmarkEnd w:id="96"/>
            <w:r>
              <w:rPr>
                <w:rFonts w:hint="eastAsia" w:ascii="仿宋" w:hAnsi="仿宋" w:eastAsia="仿宋" w:cs="宋体"/>
                <w:color w:val="000000"/>
                <w:kern w:val="0"/>
                <w:sz w:val="21"/>
                <w:szCs w:val="21"/>
                <w:lang w:bidi="ar"/>
              </w:rPr>
              <w:t>度*分值；</w:t>
            </w:r>
          </w:p>
        </w:tc>
        <w:tc>
          <w:tcPr>
            <w:tcW w:w="780" w:type="dxa"/>
            <w:shd w:val="clear" w:color="auto" w:fill="auto"/>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 xml:space="preserve">4.00 </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54"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合计</w:t>
            </w:r>
          </w:p>
        </w:tc>
        <w:tc>
          <w:tcPr>
            <w:tcW w:w="431"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499"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392"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575"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459"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w:t>
            </w:r>
          </w:p>
        </w:tc>
        <w:tc>
          <w:tcPr>
            <w:tcW w:w="3593"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1151"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100.00</w:t>
            </w:r>
          </w:p>
        </w:tc>
        <w:tc>
          <w:tcPr>
            <w:tcW w:w="2359"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2298" w:type="dxa"/>
            <w:shd w:val="clear" w:color="auto" w:fill="auto"/>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c>
          <w:tcPr>
            <w:tcW w:w="780" w:type="dxa"/>
            <w:shd w:val="clear" w:color="auto" w:fill="auto"/>
            <w:noWrap/>
            <w:tcMar>
              <w:top w:w="12" w:type="dxa"/>
              <w:left w:w="12" w:type="dxa"/>
              <w:right w:w="12" w:type="dxa"/>
            </w:tcMar>
            <w:vAlign w:val="center"/>
          </w:tcPr>
          <w:p>
            <w:pPr>
              <w:widowControl/>
              <w:adjustRightInd w:val="0"/>
              <w:snapToGrid w:val="0"/>
              <w:spacing w:line="240" w:lineRule="atLeast"/>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89.55</w:t>
            </w:r>
          </w:p>
        </w:tc>
        <w:tc>
          <w:tcPr>
            <w:tcW w:w="1884" w:type="dxa"/>
            <w:shd w:val="clear" w:color="auto" w:fill="auto"/>
            <w:noWrap/>
            <w:tcMar>
              <w:top w:w="12" w:type="dxa"/>
              <w:left w:w="12" w:type="dxa"/>
              <w:right w:w="12" w:type="dxa"/>
            </w:tcMar>
            <w:vAlign w:val="center"/>
          </w:tcPr>
          <w:p>
            <w:pPr>
              <w:adjustRightInd w:val="0"/>
              <w:snapToGrid w:val="0"/>
              <w:spacing w:line="240" w:lineRule="atLeast"/>
              <w:jc w:val="center"/>
              <w:rPr>
                <w:rFonts w:ascii="仿宋" w:hAnsi="仿宋" w:eastAsia="仿宋" w:cs="宋体"/>
                <w:color w:val="000000"/>
                <w:sz w:val="21"/>
                <w:szCs w:val="21"/>
              </w:rPr>
            </w:pPr>
          </w:p>
        </w:tc>
      </w:tr>
    </w:tbl>
    <w:p>
      <w:pPr>
        <w:sectPr>
          <w:pgSz w:w="16838" w:h="11906" w:orient="landscape"/>
          <w:pgMar w:top="1797" w:right="1440" w:bottom="1797" w:left="1440" w:header="851" w:footer="992" w:gutter="0"/>
          <w:cols w:space="425" w:num="1"/>
          <w:docGrid w:type="linesAndChars" w:linePitch="312" w:charSpace="0"/>
        </w:sectPr>
      </w:pPr>
    </w:p>
    <w:p>
      <w: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4101465</wp:posOffset>
                </wp:positionV>
                <wp:extent cx="5737860" cy="723265"/>
                <wp:effectExtent l="5080" t="4445" r="17780" b="1905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37860" cy="723265"/>
                        </a:xfrm>
                        <a:prstGeom prst="rect">
                          <a:avLst/>
                        </a:prstGeom>
                        <a:solidFill>
                          <a:srgbClr val="FFFFFF"/>
                        </a:solidFill>
                        <a:ln w="9525">
                          <a:solidFill>
                            <a:srgbClr val="000000"/>
                          </a:solidFill>
                          <a:miter lim="800000"/>
                        </a:ln>
                      </wps:spPr>
                      <wps:txbx>
                        <w:txbxContent>
                          <w:p>
                            <w:pPr>
                              <w:rPr>
                                <w:color w:val="00B0F0"/>
                                <w:sz w:val="24"/>
                              </w:rPr>
                            </w:pPr>
                            <w:r>
                              <w:rPr>
                                <w:rFonts w:hint="eastAsia"/>
                                <w:color w:val="00B0F0"/>
                                <w:sz w:val="24"/>
                              </w:rPr>
                              <w:t>仅为</w:t>
                            </w:r>
                            <w:r>
                              <w:rPr>
                                <w:rFonts w:hint="eastAsia"/>
                                <w:sz w:val="24"/>
                                <w:u w:val="single"/>
                              </w:rPr>
                              <w:t>出具北碚区</w:t>
                            </w:r>
                            <w:r>
                              <w:rPr>
                                <w:sz w:val="24"/>
                                <w:u w:val="single"/>
                              </w:rPr>
                              <w:t>2019</w:t>
                            </w:r>
                            <w:r>
                              <w:rPr>
                                <w:rFonts w:hint="eastAsia"/>
                                <w:sz w:val="24"/>
                                <w:u w:val="single"/>
                              </w:rPr>
                              <w:t>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322.95pt;height:56.95pt;width:451.8pt;z-index:251661312;mso-width-relative:page;mso-height-relative:page;" fillcolor="#FFFFFF" filled="t" stroked="t" coordsize="21600,21600" o:gfxdata="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5F3uDaAAAACgEAAA8AAAAAAAAAAQAgAAAA&#10;IgAAAGRycy9kb3ducmV2LnhtbFBLAQIUABQAAAAIAIdO4kD/Rra2QgIAAIkEAAAOAAAAAAAAAAEA&#10;IAAAACkBAABkcnMvZTJvRG9jLnhtbFBLBQYAAAAABgAGAFkBAADdBQAAAAA=&#10;">
                <v:fill on="t" focussize="0,0"/>
                <v:stroke color="#000000" miterlimit="8" joinstyle="miter"/>
                <v:imagedata o:title=""/>
                <o:lock v:ext="edit" aspectratio="f"/>
                <v:textbox>
                  <w:txbxContent>
                    <w:p>
                      <w:pPr>
                        <w:rPr>
                          <w:color w:val="00B0F0"/>
                          <w:sz w:val="24"/>
                        </w:rPr>
                      </w:pPr>
                      <w:r>
                        <w:rPr>
                          <w:rFonts w:hint="eastAsia"/>
                          <w:color w:val="00B0F0"/>
                          <w:sz w:val="24"/>
                        </w:rPr>
                        <w:t>仅为</w:t>
                      </w:r>
                      <w:r>
                        <w:rPr>
                          <w:rFonts w:hint="eastAsia"/>
                          <w:sz w:val="24"/>
                          <w:u w:val="single"/>
                        </w:rPr>
                        <w:t>出具北碚区</w:t>
                      </w:r>
                      <w:r>
                        <w:rPr>
                          <w:sz w:val="24"/>
                          <w:u w:val="single"/>
                        </w:rPr>
                        <w:t>2019</w:t>
                      </w:r>
                      <w:r>
                        <w:rPr>
                          <w:rFonts w:hint="eastAsia"/>
                          <w:sz w:val="24"/>
                          <w:u w:val="single"/>
                        </w:rPr>
                        <w:t>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mc:Fallback>
        </mc:AlternateContent>
      </w:r>
      <w:r>
        <w:drawing>
          <wp:inline distT="0" distB="0" distL="0" distR="0">
            <wp:extent cx="4137025" cy="5019675"/>
            <wp:effectExtent l="0" t="0" r="9525" b="8255"/>
            <wp:docPr id="1" name="图片 2" descr="营业执照正本（三证合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营业执照正本（三证合一）.jpg"/>
                    <pic:cNvPicPr>
                      <a:picLocks noChangeAspect="1"/>
                    </pic:cNvPicPr>
                  </pic:nvPicPr>
                  <pic:blipFill>
                    <a:blip r:embed="rId8" cstate="print"/>
                    <a:stretch>
                      <a:fillRect/>
                    </a:stretch>
                  </pic:blipFill>
                  <pic:spPr>
                    <a:xfrm rot="16200000">
                      <a:off x="0" y="0"/>
                      <a:ext cx="4137125" cy="5019675"/>
                    </a:xfrm>
                    <a:prstGeom prst="rect">
                      <a:avLst/>
                    </a:prstGeom>
                  </pic:spPr>
                </pic:pic>
              </a:graphicData>
            </a:graphic>
          </wp:inline>
        </w:drawing>
      </w:r>
    </w:p>
    <w:p/>
    <w:p/>
    <w:p>
      <w:r>
        <w:drawing>
          <wp:inline distT="0" distB="0" distL="0" distR="0">
            <wp:extent cx="5762625" cy="3645535"/>
            <wp:effectExtent l="0" t="0" r="13335" b="12065"/>
            <wp:docPr id="2" name="图片 2" descr="执业证书（龙文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执业证书（龙文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62625" cy="3646000"/>
                    </a:xfrm>
                    <a:prstGeom prst="rect">
                      <a:avLst/>
                    </a:prstGeom>
                    <a:noFill/>
                    <a:ln>
                      <a:noFill/>
                    </a:ln>
                  </pic:spPr>
                </pic:pic>
              </a:graphicData>
            </a:graphic>
          </wp:inline>
        </w:drawing>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2331085</wp:posOffset>
              </wp:positionH>
              <wp:positionV relativeFrom="paragraph">
                <wp:posOffset>152400</wp:posOffset>
              </wp:positionV>
              <wp:extent cx="974725" cy="147955"/>
              <wp:effectExtent l="0" t="0" r="15875" b="4445"/>
              <wp:wrapNone/>
              <wp:docPr id="6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7"/>
                            <w:rPr>
                              <w:rFonts w:eastAsia="仿宋_GB2312"/>
                            </w:rPr>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 共 24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183.55pt;margin-top:12pt;height:11.65pt;width:76.75pt;mso-position-horizontal-relative:margin;mso-wrap-style:none;z-index:251660288;mso-width-relative:page;mso-height-relative:page;" filled="f" stroked="f" coordsize="21600,21600" o:gfxdata="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5JI39cAAAAJAQAADwAAAAAAAAABACAAAAAiAAAAZHJzL2Rvd25yZXYu&#10;eG1sUEsBAhQAFAAAAAgAh07iQNwi8MP8AQAAAgQAAA4AAAAAAAAAAQAgAAAAJgEAAGRycy9lMm9E&#10;b2MueG1sUEsFBgAAAAAGAAYAWQEAAJQFAAAAAA==&#10;">
              <v:fill on="f" focussize="0,0"/>
              <v:stroke on="f"/>
              <v:imagedata o:title=""/>
              <o:lock v:ext="edit" aspectratio="f"/>
              <v:textbox inset="0mm,0mm,0mm,0mm" style="mso-fit-shape-to-text:t;">
                <w:txbxContent>
                  <w:p>
                    <w:pPr>
                      <w:pStyle w:val="7"/>
                      <w:rPr>
                        <w:rFonts w:eastAsia="仿宋_GB2312"/>
                      </w:rPr>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 共 24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0F"/>
    <w:rsid w:val="00001F66"/>
    <w:rsid w:val="0002604C"/>
    <w:rsid w:val="00033D80"/>
    <w:rsid w:val="00044694"/>
    <w:rsid w:val="000468D9"/>
    <w:rsid w:val="000515BE"/>
    <w:rsid w:val="00052F0D"/>
    <w:rsid w:val="00077B0B"/>
    <w:rsid w:val="00086316"/>
    <w:rsid w:val="0008768C"/>
    <w:rsid w:val="00094165"/>
    <w:rsid w:val="000B6293"/>
    <w:rsid w:val="000C21D9"/>
    <w:rsid w:val="000D1A46"/>
    <w:rsid w:val="000D56BB"/>
    <w:rsid w:val="000D646E"/>
    <w:rsid w:val="000E0C2A"/>
    <w:rsid w:val="000F3938"/>
    <w:rsid w:val="0011094F"/>
    <w:rsid w:val="00122335"/>
    <w:rsid w:val="00122467"/>
    <w:rsid w:val="00122E04"/>
    <w:rsid w:val="0012644D"/>
    <w:rsid w:val="00131F46"/>
    <w:rsid w:val="00131F6B"/>
    <w:rsid w:val="00133722"/>
    <w:rsid w:val="00144F5A"/>
    <w:rsid w:val="00154EB8"/>
    <w:rsid w:val="001710A3"/>
    <w:rsid w:val="00174BB4"/>
    <w:rsid w:val="00174DD6"/>
    <w:rsid w:val="00177449"/>
    <w:rsid w:val="00182091"/>
    <w:rsid w:val="001908B7"/>
    <w:rsid w:val="0019332F"/>
    <w:rsid w:val="00197563"/>
    <w:rsid w:val="001A2EE7"/>
    <w:rsid w:val="001E0A1F"/>
    <w:rsid w:val="001E747E"/>
    <w:rsid w:val="00215BB8"/>
    <w:rsid w:val="00245C53"/>
    <w:rsid w:val="00247790"/>
    <w:rsid w:val="00265B0F"/>
    <w:rsid w:val="00271D3E"/>
    <w:rsid w:val="00284B37"/>
    <w:rsid w:val="00293D29"/>
    <w:rsid w:val="0029797A"/>
    <w:rsid w:val="002A020F"/>
    <w:rsid w:val="002A0FB0"/>
    <w:rsid w:val="002A1849"/>
    <w:rsid w:val="002A4CEE"/>
    <w:rsid w:val="002B3013"/>
    <w:rsid w:val="002D1741"/>
    <w:rsid w:val="002F2693"/>
    <w:rsid w:val="002F7420"/>
    <w:rsid w:val="0030441F"/>
    <w:rsid w:val="00307A7A"/>
    <w:rsid w:val="00322C32"/>
    <w:rsid w:val="003571E3"/>
    <w:rsid w:val="003614AB"/>
    <w:rsid w:val="00362744"/>
    <w:rsid w:val="003632E6"/>
    <w:rsid w:val="0037424E"/>
    <w:rsid w:val="0037435F"/>
    <w:rsid w:val="00377136"/>
    <w:rsid w:val="0039283E"/>
    <w:rsid w:val="00393FE6"/>
    <w:rsid w:val="00394FB9"/>
    <w:rsid w:val="00395D6F"/>
    <w:rsid w:val="003965DE"/>
    <w:rsid w:val="003A2602"/>
    <w:rsid w:val="003A2E03"/>
    <w:rsid w:val="003A762E"/>
    <w:rsid w:val="003C42C5"/>
    <w:rsid w:val="003D68F6"/>
    <w:rsid w:val="00413E4C"/>
    <w:rsid w:val="00420EF1"/>
    <w:rsid w:val="004231C7"/>
    <w:rsid w:val="00426949"/>
    <w:rsid w:val="004508E9"/>
    <w:rsid w:val="00457CE3"/>
    <w:rsid w:val="00474E76"/>
    <w:rsid w:val="0048367E"/>
    <w:rsid w:val="00490015"/>
    <w:rsid w:val="00491007"/>
    <w:rsid w:val="0049343F"/>
    <w:rsid w:val="004B0C30"/>
    <w:rsid w:val="004B5C07"/>
    <w:rsid w:val="004C4A3E"/>
    <w:rsid w:val="004F00AA"/>
    <w:rsid w:val="004F26A8"/>
    <w:rsid w:val="004F3DD6"/>
    <w:rsid w:val="004F7BF1"/>
    <w:rsid w:val="0052217B"/>
    <w:rsid w:val="00523C12"/>
    <w:rsid w:val="0053796A"/>
    <w:rsid w:val="00553C69"/>
    <w:rsid w:val="005565D2"/>
    <w:rsid w:val="00565D51"/>
    <w:rsid w:val="00580C00"/>
    <w:rsid w:val="0058198F"/>
    <w:rsid w:val="00584636"/>
    <w:rsid w:val="005956CF"/>
    <w:rsid w:val="00597744"/>
    <w:rsid w:val="005B7F08"/>
    <w:rsid w:val="005C3736"/>
    <w:rsid w:val="005D1F70"/>
    <w:rsid w:val="005D3240"/>
    <w:rsid w:val="005E2771"/>
    <w:rsid w:val="005E433A"/>
    <w:rsid w:val="005E6848"/>
    <w:rsid w:val="005E6B6B"/>
    <w:rsid w:val="00607D31"/>
    <w:rsid w:val="00607F66"/>
    <w:rsid w:val="006141F2"/>
    <w:rsid w:val="00640CA0"/>
    <w:rsid w:val="006550B2"/>
    <w:rsid w:val="00655182"/>
    <w:rsid w:val="00667BD4"/>
    <w:rsid w:val="00667D25"/>
    <w:rsid w:val="00674D71"/>
    <w:rsid w:val="00685AD2"/>
    <w:rsid w:val="006A23A3"/>
    <w:rsid w:val="006B2B5D"/>
    <w:rsid w:val="006B46CF"/>
    <w:rsid w:val="006D235B"/>
    <w:rsid w:val="006F6450"/>
    <w:rsid w:val="006F7FE4"/>
    <w:rsid w:val="00701C52"/>
    <w:rsid w:val="007052A3"/>
    <w:rsid w:val="00705AB5"/>
    <w:rsid w:val="00714F5D"/>
    <w:rsid w:val="007300B8"/>
    <w:rsid w:val="007349F8"/>
    <w:rsid w:val="00742D14"/>
    <w:rsid w:val="00746CA0"/>
    <w:rsid w:val="0076550D"/>
    <w:rsid w:val="00767138"/>
    <w:rsid w:val="00773DB8"/>
    <w:rsid w:val="00792CE9"/>
    <w:rsid w:val="007A6942"/>
    <w:rsid w:val="007B16C4"/>
    <w:rsid w:val="007C01F2"/>
    <w:rsid w:val="007C1803"/>
    <w:rsid w:val="007C4040"/>
    <w:rsid w:val="007C671E"/>
    <w:rsid w:val="007D0077"/>
    <w:rsid w:val="007D209C"/>
    <w:rsid w:val="008032A2"/>
    <w:rsid w:val="00804832"/>
    <w:rsid w:val="00820F05"/>
    <w:rsid w:val="00824F34"/>
    <w:rsid w:val="0083026C"/>
    <w:rsid w:val="00831E49"/>
    <w:rsid w:val="00857A05"/>
    <w:rsid w:val="008627C8"/>
    <w:rsid w:val="008652FC"/>
    <w:rsid w:val="0089139B"/>
    <w:rsid w:val="0089238A"/>
    <w:rsid w:val="00892706"/>
    <w:rsid w:val="00892752"/>
    <w:rsid w:val="008A77A2"/>
    <w:rsid w:val="008B047A"/>
    <w:rsid w:val="008B0D7F"/>
    <w:rsid w:val="008B79CD"/>
    <w:rsid w:val="008E0195"/>
    <w:rsid w:val="008E7EEF"/>
    <w:rsid w:val="008F2ACC"/>
    <w:rsid w:val="008F5B44"/>
    <w:rsid w:val="00917C63"/>
    <w:rsid w:val="00921811"/>
    <w:rsid w:val="009229E3"/>
    <w:rsid w:val="0092551D"/>
    <w:rsid w:val="009257F5"/>
    <w:rsid w:val="00940066"/>
    <w:rsid w:val="0094442D"/>
    <w:rsid w:val="009472B3"/>
    <w:rsid w:val="00962F77"/>
    <w:rsid w:val="00963BAB"/>
    <w:rsid w:val="00967990"/>
    <w:rsid w:val="00967E87"/>
    <w:rsid w:val="009700D5"/>
    <w:rsid w:val="00986E21"/>
    <w:rsid w:val="00993292"/>
    <w:rsid w:val="00994FAE"/>
    <w:rsid w:val="0099719F"/>
    <w:rsid w:val="009A24CD"/>
    <w:rsid w:val="009A349C"/>
    <w:rsid w:val="009A79B4"/>
    <w:rsid w:val="009A7D2C"/>
    <w:rsid w:val="009B5D80"/>
    <w:rsid w:val="009B6C8E"/>
    <w:rsid w:val="009C5E42"/>
    <w:rsid w:val="009D12C3"/>
    <w:rsid w:val="009D5CAC"/>
    <w:rsid w:val="009D6DD2"/>
    <w:rsid w:val="009E1936"/>
    <w:rsid w:val="009F73AE"/>
    <w:rsid w:val="009F77E3"/>
    <w:rsid w:val="00A04DB4"/>
    <w:rsid w:val="00A200EA"/>
    <w:rsid w:val="00A233F3"/>
    <w:rsid w:val="00A300CE"/>
    <w:rsid w:val="00A30BCC"/>
    <w:rsid w:val="00A34F2A"/>
    <w:rsid w:val="00A4630A"/>
    <w:rsid w:val="00A6350C"/>
    <w:rsid w:val="00A72221"/>
    <w:rsid w:val="00A76DEA"/>
    <w:rsid w:val="00A843F8"/>
    <w:rsid w:val="00A941A2"/>
    <w:rsid w:val="00A97320"/>
    <w:rsid w:val="00AA2AC1"/>
    <w:rsid w:val="00AA40B0"/>
    <w:rsid w:val="00AB19BF"/>
    <w:rsid w:val="00AE02A6"/>
    <w:rsid w:val="00AE0DA5"/>
    <w:rsid w:val="00AE2393"/>
    <w:rsid w:val="00B00C6D"/>
    <w:rsid w:val="00B204C3"/>
    <w:rsid w:val="00B24782"/>
    <w:rsid w:val="00B266CF"/>
    <w:rsid w:val="00B33287"/>
    <w:rsid w:val="00B40D58"/>
    <w:rsid w:val="00B5708D"/>
    <w:rsid w:val="00B7606B"/>
    <w:rsid w:val="00B80769"/>
    <w:rsid w:val="00B84D43"/>
    <w:rsid w:val="00B92AD1"/>
    <w:rsid w:val="00BA216C"/>
    <w:rsid w:val="00BA5DE8"/>
    <w:rsid w:val="00BA73A9"/>
    <w:rsid w:val="00BC3C9B"/>
    <w:rsid w:val="00BE26F8"/>
    <w:rsid w:val="00BF031B"/>
    <w:rsid w:val="00BF13BE"/>
    <w:rsid w:val="00BF35DF"/>
    <w:rsid w:val="00C05A31"/>
    <w:rsid w:val="00C13F85"/>
    <w:rsid w:val="00C17D65"/>
    <w:rsid w:val="00C22D5D"/>
    <w:rsid w:val="00C42EEE"/>
    <w:rsid w:val="00C431ED"/>
    <w:rsid w:val="00C46C42"/>
    <w:rsid w:val="00C53080"/>
    <w:rsid w:val="00C7049F"/>
    <w:rsid w:val="00C75B9E"/>
    <w:rsid w:val="00C808B0"/>
    <w:rsid w:val="00C906AE"/>
    <w:rsid w:val="00C94FDB"/>
    <w:rsid w:val="00CA79D9"/>
    <w:rsid w:val="00CB4084"/>
    <w:rsid w:val="00CC7D32"/>
    <w:rsid w:val="00CD29C5"/>
    <w:rsid w:val="00CE375E"/>
    <w:rsid w:val="00CE48E0"/>
    <w:rsid w:val="00CE5281"/>
    <w:rsid w:val="00CF41F6"/>
    <w:rsid w:val="00D00C8E"/>
    <w:rsid w:val="00D117EA"/>
    <w:rsid w:val="00D26B0F"/>
    <w:rsid w:val="00D323D6"/>
    <w:rsid w:val="00D5018B"/>
    <w:rsid w:val="00D638BE"/>
    <w:rsid w:val="00D7250F"/>
    <w:rsid w:val="00D872B2"/>
    <w:rsid w:val="00D94E1A"/>
    <w:rsid w:val="00D954E7"/>
    <w:rsid w:val="00DB104B"/>
    <w:rsid w:val="00DC11F5"/>
    <w:rsid w:val="00DD2178"/>
    <w:rsid w:val="00DD2A6A"/>
    <w:rsid w:val="00DE093E"/>
    <w:rsid w:val="00DE3D5A"/>
    <w:rsid w:val="00DE4E47"/>
    <w:rsid w:val="00DE6E84"/>
    <w:rsid w:val="00DE6FE5"/>
    <w:rsid w:val="00E0368B"/>
    <w:rsid w:val="00E203D3"/>
    <w:rsid w:val="00E20F62"/>
    <w:rsid w:val="00E31950"/>
    <w:rsid w:val="00E3402B"/>
    <w:rsid w:val="00E35670"/>
    <w:rsid w:val="00E403AD"/>
    <w:rsid w:val="00E41DE9"/>
    <w:rsid w:val="00E471EB"/>
    <w:rsid w:val="00E5242D"/>
    <w:rsid w:val="00E65E35"/>
    <w:rsid w:val="00E74CCB"/>
    <w:rsid w:val="00E91E06"/>
    <w:rsid w:val="00EA06B5"/>
    <w:rsid w:val="00EC247E"/>
    <w:rsid w:val="00ED4630"/>
    <w:rsid w:val="00ED63EA"/>
    <w:rsid w:val="00EE3F7B"/>
    <w:rsid w:val="00F03A46"/>
    <w:rsid w:val="00F0661B"/>
    <w:rsid w:val="00F202F0"/>
    <w:rsid w:val="00F206B0"/>
    <w:rsid w:val="00F20972"/>
    <w:rsid w:val="00F2216B"/>
    <w:rsid w:val="00F23FF2"/>
    <w:rsid w:val="00F37770"/>
    <w:rsid w:val="00F41F9C"/>
    <w:rsid w:val="00F63D54"/>
    <w:rsid w:val="00F72D91"/>
    <w:rsid w:val="00F750D3"/>
    <w:rsid w:val="00F86BF8"/>
    <w:rsid w:val="00FE7133"/>
    <w:rsid w:val="00FF264E"/>
    <w:rsid w:val="01915CF8"/>
    <w:rsid w:val="03AB0C13"/>
    <w:rsid w:val="04713313"/>
    <w:rsid w:val="053036F4"/>
    <w:rsid w:val="05452655"/>
    <w:rsid w:val="081D2BF5"/>
    <w:rsid w:val="086B16B2"/>
    <w:rsid w:val="0C0C6E59"/>
    <w:rsid w:val="0CB14802"/>
    <w:rsid w:val="0D123239"/>
    <w:rsid w:val="0D8A5C98"/>
    <w:rsid w:val="0DD9756A"/>
    <w:rsid w:val="0E8E0323"/>
    <w:rsid w:val="0F3C250F"/>
    <w:rsid w:val="0F83177F"/>
    <w:rsid w:val="11741394"/>
    <w:rsid w:val="11A831B7"/>
    <w:rsid w:val="134D02A1"/>
    <w:rsid w:val="14D02200"/>
    <w:rsid w:val="16180C1E"/>
    <w:rsid w:val="19D8309C"/>
    <w:rsid w:val="1D0E588D"/>
    <w:rsid w:val="1D580522"/>
    <w:rsid w:val="1D5E39ED"/>
    <w:rsid w:val="1DD1110C"/>
    <w:rsid w:val="244A49DF"/>
    <w:rsid w:val="24BE3155"/>
    <w:rsid w:val="25243962"/>
    <w:rsid w:val="25427C96"/>
    <w:rsid w:val="25502DA1"/>
    <w:rsid w:val="25690D8B"/>
    <w:rsid w:val="295859B3"/>
    <w:rsid w:val="29B1371F"/>
    <w:rsid w:val="2ADB523A"/>
    <w:rsid w:val="2B981FA0"/>
    <w:rsid w:val="2BE46B9D"/>
    <w:rsid w:val="2CB54D9F"/>
    <w:rsid w:val="2E196972"/>
    <w:rsid w:val="2E9A78C1"/>
    <w:rsid w:val="30521F9D"/>
    <w:rsid w:val="316B2E57"/>
    <w:rsid w:val="31DF2BD7"/>
    <w:rsid w:val="32C12704"/>
    <w:rsid w:val="32C77909"/>
    <w:rsid w:val="335745F9"/>
    <w:rsid w:val="33A90251"/>
    <w:rsid w:val="33F266D8"/>
    <w:rsid w:val="3517438B"/>
    <w:rsid w:val="39346445"/>
    <w:rsid w:val="39BC1369"/>
    <w:rsid w:val="3AA20C94"/>
    <w:rsid w:val="3AA7542D"/>
    <w:rsid w:val="3AB02B8C"/>
    <w:rsid w:val="3B1A2ADB"/>
    <w:rsid w:val="3B794E1B"/>
    <w:rsid w:val="3BF8220D"/>
    <w:rsid w:val="3C992B68"/>
    <w:rsid w:val="3E8F0265"/>
    <w:rsid w:val="3FF151A3"/>
    <w:rsid w:val="40441F45"/>
    <w:rsid w:val="41B208CA"/>
    <w:rsid w:val="42B5673B"/>
    <w:rsid w:val="42EB6EBA"/>
    <w:rsid w:val="449F6E6D"/>
    <w:rsid w:val="44B841D1"/>
    <w:rsid w:val="44F0781D"/>
    <w:rsid w:val="46694622"/>
    <w:rsid w:val="46D83D07"/>
    <w:rsid w:val="47745905"/>
    <w:rsid w:val="4AB878A9"/>
    <w:rsid w:val="4C113477"/>
    <w:rsid w:val="4CE70C07"/>
    <w:rsid w:val="50443532"/>
    <w:rsid w:val="50C62386"/>
    <w:rsid w:val="52EE052B"/>
    <w:rsid w:val="53AC4158"/>
    <w:rsid w:val="54F02836"/>
    <w:rsid w:val="550D7018"/>
    <w:rsid w:val="566926B7"/>
    <w:rsid w:val="566D43DB"/>
    <w:rsid w:val="56885569"/>
    <w:rsid w:val="5713163D"/>
    <w:rsid w:val="575F49B0"/>
    <w:rsid w:val="57765AB7"/>
    <w:rsid w:val="57BA34BA"/>
    <w:rsid w:val="57F23058"/>
    <w:rsid w:val="58CF6E9C"/>
    <w:rsid w:val="59481F15"/>
    <w:rsid w:val="5A7B0E94"/>
    <w:rsid w:val="5BAB7E18"/>
    <w:rsid w:val="5DD347C8"/>
    <w:rsid w:val="5F2B603E"/>
    <w:rsid w:val="602406F9"/>
    <w:rsid w:val="62081B8C"/>
    <w:rsid w:val="637F5E31"/>
    <w:rsid w:val="63D828D4"/>
    <w:rsid w:val="6435774E"/>
    <w:rsid w:val="643978E3"/>
    <w:rsid w:val="64E73072"/>
    <w:rsid w:val="65F67A99"/>
    <w:rsid w:val="686656BB"/>
    <w:rsid w:val="6A6153E6"/>
    <w:rsid w:val="6A992699"/>
    <w:rsid w:val="6BB86AF0"/>
    <w:rsid w:val="6C512D05"/>
    <w:rsid w:val="6D410D3A"/>
    <w:rsid w:val="6F1C3A5B"/>
    <w:rsid w:val="6F9765C6"/>
    <w:rsid w:val="70A73A4C"/>
    <w:rsid w:val="70F55827"/>
    <w:rsid w:val="716B0ED8"/>
    <w:rsid w:val="71DB2B7E"/>
    <w:rsid w:val="72F158A5"/>
    <w:rsid w:val="75525E68"/>
    <w:rsid w:val="75B160C5"/>
    <w:rsid w:val="75BD1D12"/>
    <w:rsid w:val="75DD4531"/>
    <w:rsid w:val="766738FC"/>
    <w:rsid w:val="77E17941"/>
    <w:rsid w:val="796A7D44"/>
    <w:rsid w:val="798B6CF9"/>
    <w:rsid w:val="79BB36FE"/>
    <w:rsid w:val="7B9A4DB4"/>
    <w:rsid w:val="7BA0735F"/>
    <w:rsid w:val="7D1D385D"/>
    <w:rsid w:val="7DC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Document Map"/>
    <w:basedOn w:val="1"/>
    <w:link w:val="26"/>
    <w:semiHidden/>
    <w:unhideWhenUsed/>
    <w:qFormat/>
    <w:uiPriority w:val="99"/>
    <w:rPr>
      <w:rFonts w:ascii="宋体" w:eastAsia="宋体"/>
      <w:sz w:val="18"/>
      <w:szCs w:val="18"/>
    </w:rPr>
  </w:style>
  <w:style w:type="paragraph" w:styleId="3">
    <w:name w:val="annotation text"/>
    <w:basedOn w:val="1"/>
    <w:link w:val="21"/>
    <w:semiHidden/>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Date"/>
    <w:basedOn w:val="1"/>
    <w:next w:val="1"/>
    <w:link w:val="20"/>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3"/>
    <w:next w:val="3"/>
    <w:link w:val="22"/>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semiHidden/>
    <w:qFormat/>
    <w:uiPriority w:val="99"/>
    <w:rPr>
      <w:sz w:val="18"/>
      <w:szCs w:val="18"/>
    </w:rPr>
  </w:style>
  <w:style w:type="character" w:customStyle="1" w:styleId="18">
    <w:name w:val="页脚 Char"/>
    <w:basedOn w:val="14"/>
    <w:link w:val="7"/>
    <w:qFormat/>
    <w:uiPriority w:val="99"/>
    <w:rPr>
      <w:sz w:val="18"/>
      <w:szCs w:val="18"/>
    </w:rPr>
  </w:style>
  <w:style w:type="paragraph" w:customStyle="1" w:styleId="19">
    <w:name w:val="Default Text"/>
    <w:basedOn w:val="1"/>
    <w:link w:val="25"/>
    <w:qFormat/>
    <w:uiPriority w:val="0"/>
    <w:pPr>
      <w:widowControl/>
      <w:overflowPunct w:val="0"/>
      <w:autoSpaceDE w:val="0"/>
      <w:autoSpaceDN w:val="0"/>
      <w:adjustRightInd w:val="0"/>
      <w:jc w:val="left"/>
      <w:textAlignment w:val="baseline"/>
    </w:pPr>
    <w:rPr>
      <w:kern w:val="0"/>
      <w:sz w:val="24"/>
      <w:szCs w:val="20"/>
    </w:rPr>
  </w:style>
  <w:style w:type="character" w:customStyle="1" w:styleId="20">
    <w:name w:val="日期 Char"/>
    <w:basedOn w:val="14"/>
    <w:link w:val="5"/>
    <w:semiHidden/>
    <w:qFormat/>
    <w:uiPriority w:val="99"/>
    <w:rPr>
      <w:rFonts w:ascii="Times New Roman" w:hAnsi="Times New Roman" w:eastAsia="仿宋_GB2312" w:cs="Times New Roman"/>
      <w:sz w:val="30"/>
      <w:szCs w:val="24"/>
    </w:rPr>
  </w:style>
  <w:style w:type="character" w:customStyle="1" w:styleId="21">
    <w:name w:val="批注文字 Char"/>
    <w:basedOn w:val="14"/>
    <w:link w:val="3"/>
    <w:semiHidden/>
    <w:qFormat/>
    <w:uiPriority w:val="99"/>
    <w:rPr>
      <w:rFonts w:eastAsia="仿宋_GB2312"/>
      <w:kern w:val="2"/>
      <w:sz w:val="30"/>
      <w:szCs w:val="24"/>
    </w:rPr>
  </w:style>
  <w:style w:type="character" w:customStyle="1" w:styleId="22">
    <w:name w:val="批注主题 Char"/>
    <w:basedOn w:val="21"/>
    <w:link w:val="11"/>
    <w:semiHidden/>
    <w:qFormat/>
    <w:uiPriority w:val="99"/>
    <w:rPr>
      <w:rFonts w:eastAsia="仿宋_GB2312"/>
      <w:b/>
      <w:bCs/>
      <w:kern w:val="2"/>
      <w:sz w:val="30"/>
      <w:szCs w:val="24"/>
    </w:rPr>
  </w:style>
  <w:style w:type="character" w:customStyle="1" w:styleId="23">
    <w:name w:val="批注框文本 Char"/>
    <w:basedOn w:val="14"/>
    <w:link w:val="6"/>
    <w:semiHidden/>
    <w:qFormat/>
    <w:uiPriority w:val="99"/>
    <w:rPr>
      <w:rFonts w:eastAsia="仿宋_GB2312"/>
      <w:kern w:val="2"/>
      <w:sz w:val="18"/>
      <w:szCs w:val="18"/>
    </w:rPr>
  </w:style>
  <w:style w:type="paragraph" w:styleId="24">
    <w:name w:val="List Paragraph"/>
    <w:basedOn w:val="1"/>
    <w:unhideWhenUsed/>
    <w:qFormat/>
    <w:uiPriority w:val="99"/>
    <w:pPr>
      <w:ind w:firstLine="420" w:firstLineChars="200"/>
    </w:pPr>
  </w:style>
  <w:style w:type="character" w:customStyle="1" w:styleId="25">
    <w:name w:val="Default Text Char"/>
    <w:link w:val="19"/>
    <w:qFormat/>
    <w:uiPriority w:val="0"/>
    <w:rPr>
      <w:rFonts w:eastAsia="仿宋_GB2312"/>
      <w:sz w:val="24"/>
    </w:rPr>
  </w:style>
  <w:style w:type="character" w:customStyle="1" w:styleId="26">
    <w:name w:val="文档结构图 Char"/>
    <w:basedOn w:val="14"/>
    <w:link w:val="2"/>
    <w:semiHidden/>
    <w:qFormat/>
    <w:uiPriority w:val="99"/>
    <w:rPr>
      <w:rFonts w:ascii="宋体"/>
      <w:kern w:val="2"/>
      <w:sz w:val="18"/>
      <w:szCs w:val="18"/>
    </w:rPr>
  </w:style>
  <w:style w:type="character" w:customStyle="1" w:styleId="27">
    <w:name w:val="font21"/>
    <w:basedOn w:val="14"/>
    <w:qFormat/>
    <w:uiPriority w:val="0"/>
    <w:rPr>
      <w:rFonts w:hint="eastAsia" w:ascii="宋体" w:hAnsi="宋体" w:eastAsia="宋体" w:cs="宋体"/>
      <w:color w:val="000000"/>
      <w:sz w:val="24"/>
      <w:szCs w:val="24"/>
      <w:u w:val="none"/>
    </w:rPr>
  </w:style>
  <w:style w:type="character" w:customStyle="1" w:styleId="28">
    <w:name w:val="font31"/>
    <w:basedOn w:val="14"/>
    <w:qFormat/>
    <w:uiPriority w:val="0"/>
    <w:rPr>
      <w:rFonts w:hint="eastAsia" w:ascii="宋体" w:hAnsi="宋体" w:eastAsia="宋体" w:cs="宋体"/>
      <w:color w:val="000000"/>
      <w:sz w:val="24"/>
      <w:szCs w:val="24"/>
      <w:u w:val="none"/>
    </w:rPr>
  </w:style>
  <w:style w:type="paragraph" w:customStyle="1" w:styleId="29">
    <w:name w:val="修订1"/>
    <w:hidden/>
    <w:semiHidden/>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2213B-7CE4-44E5-92E4-A613144885D6}">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24</Pages>
  <Words>1987</Words>
  <Characters>11328</Characters>
  <Lines>94</Lines>
  <Paragraphs>26</Paragraphs>
  <TotalTime>57</TotalTime>
  <ScaleCrop>false</ScaleCrop>
  <LinksUpToDate>false</LinksUpToDate>
  <CharactersWithSpaces>13289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2017-10-11T08:13:00Z</dcterms:created>
  <dc:creator>User</dc:creator>
  <cp:lastModifiedBy>区城市管理局</cp:lastModifiedBy>
  <cp:lastPrinted>2017-09-22T05:38:00Z</cp:lastPrinted>
  <dcterms:modified xsi:type="dcterms:W3CDTF">2023-07-04T01:57:07Z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01F3A8D6A1604C01B0049150C42F8DBE</vt:lpwstr>
  </property>
</Properties>
</file>