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重庆市北碚区人民政府</w:t>
      </w:r>
    </w:p>
    <w:p>
      <w:pPr>
        <w:snapToGrid w:val="0"/>
        <w:spacing w:line="600" w:lineRule="exact"/>
        <w:jc w:val="center"/>
        <w:rPr>
          <w:rFonts w:hint="eastAsia" w:ascii="方正仿宋_GBK" w:eastAsia="方正仿宋_GBK"/>
          <w:spacing w:val="-17"/>
        </w:rPr>
      </w:pPr>
      <w:r>
        <w:rPr>
          <w:rFonts w:hint="eastAsia" w:ascii="方正小标宋_GBK" w:eastAsia="方正小标宋_GBK" w:cs="方正小标宋_GBK"/>
          <w:spacing w:val="-17"/>
          <w:sz w:val="44"/>
          <w:szCs w:val="44"/>
        </w:rPr>
        <w:t>关于北碚区</w:t>
      </w:r>
      <w:r>
        <w:rPr>
          <w:rFonts w:eastAsia="方正小标宋_GBK"/>
          <w:spacing w:val="-17"/>
          <w:sz w:val="44"/>
          <w:szCs w:val="44"/>
        </w:rPr>
        <w:t>2021</w:t>
      </w:r>
      <w:r>
        <w:rPr>
          <w:rFonts w:hint="eastAsia" w:ascii="方正小标宋_GBK" w:eastAsia="方正小标宋_GBK" w:cs="方正小标宋_GBK"/>
          <w:spacing w:val="-17"/>
          <w:sz w:val="44"/>
          <w:szCs w:val="44"/>
        </w:rPr>
        <w:t>年预算调整方案（草案）的报告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（2021 年11 月29 日重庆市北碚区十八届人民代表大会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</w:rPr>
        <w:t>常务委员会第四十八次会议通过）</w:t>
      </w:r>
    </w:p>
    <w:p>
      <w:pPr>
        <w:spacing w:line="600" w:lineRule="exact"/>
        <w:rPr>
          <w:rFonts w:eastAsia="方正仿宋_GBK"/>
        </w:rPr>
      </w:pPr>
    </w:p>
    <w:p>
      <w:pPr>
        <w:spacing w:line="600" w:lineRule="exact"/>
        <w:rPr>
          <w:rFonts w:eastAsia="方正仿宋_GBK"/>
        </w:rPr>
      </w:pPr>
      <w:r>
        <w:rPr>
          <w:rFonts w:eastAsia="方正仿宋_GBK"/>
        </w:rPr>
        <w:t>主任、各位副主任、各位委员：</w:t>
      </w:r>
    </w:p>
    <w:p>
      <w:pPr>
        <w:spacing w:line="600" w:lineRule="exact"/>
        <w:ind w:firstLine="632" w:firstLineChars="200"/>
        <w:rPr>
          <w:rFonts w:eastAsia="方正仿宋_GBK"/>
        </w:rPr>
      </w:pPr>
      <w:r>
        <w:rPr>
          <w:rFonts w:eastAsia="方正仿宋_GBK"/>
        </w:rPr>
        <w:t>受区人民政府委托，现将我区2021年预算调整情况报告如下，请予审议。</w:t>
      </w:r>
    </w:p>
    <w:p>
      <w:pPr>
        <w:numPr>
          <w:ilvl w:val="0"/>
          <w:numId w:val="1"/>
        </w:numPr>
        <w:spacing w:line="600" w:lineRule="exact"/>
        <w:ind w:firstLine="632" w:firstLineChars="200"/>
        <w:rPr>
          <w:rFonts w:eastAsia="方正黑体_GBK"/>
        </w:rPr>
      </w:pPr>
      <w:r>
        <w:rPr>
          <w:rFonts w:eastAsia="方正黑体_GBK"/>
        </w:rPr>
        <w:t>预算调整事由</w:t>
      </w:r>
    </w:p>
    <w:p>
      <w:pPr>
        <w:tabs>
          <w:tab w:val="left" w:pos="1680"/>
          <w:tab w:val="left" w:pos="1890"/>
        </w:tabs>
        <w:topLinePunct/>
        <w:adjustRightInd w:val="0"/>
        <w:spacing w:line="600" w:lineRule="exact"/>
        <w:ind w:firstLine="632" w:firstLineChars="200"/>
        <w:rPr>
          <w:rFonts w:hint="eastAsia" w:eastAsia="方正楷体_GBK"/>
        </w:rPr>
      </w:pPr>
      <w:r>
        <w:rPr>
          <w:rFonts w:hint="eastAsia" w:eastAsia="方正楷体_GBK"/>
        </w:rPr>
        <w:t>（一）税收收入减少。</w:t>
      </w:r>
    </w:p>
    <w:p>
      <w:pPr>
        <w:spacing w:line="600" w:lineRule="exact"/>
        <w:ind w:firstLine="632" w:firstLineChars="200"/>
        <w:rPr>
          <w:rFonts w:hint="eastAsia" w:eastAsia="方正仿宋_GBK"/>
        </w:rPr>
      </w:pPr>
      <w:r>
        <w:rPr>
          <w:rFonts w:eastAsia="方正仿宋_GBK"/>
        </w:rPr>
        <w:t>受土地</w:t>
      </w:r>
      <w:r>
        <w:rPr>
          <w:rFonts w:hint="eastAsia" w:eastAsia="方正仿宋_GBK"/>
        </w:rPr>
        <w:t>、</w:t>
      </w:r>
      <w:r>
        <w:rPr>
          <w:rFonts w:eastAsia="方正仿宋_GBK"/>
        </w:rPr>
        <w:t>房产交易市场</w:t>
      </w:r>
      <w:r>
        <w:rPr>
          <w:rFonts w:hint="eastAsia" w:eastAsia="方正仿宋_GBK"/>
        </w:rPr>
        <w:t>放</w:t>
      </w:r>
      <w:r>
        <w:rPr>
          <w:rFonts w:eastAsia="方正仿宋_GBK"/>
        </w:rPr>
        <w:t>缓</w:t>
      </w:r>
      <w:r>
        <w:rPr>
          <w:rFonts w:hint="eastAsia" w:eastAsia="方正仿宋_GBK"/>
        </w:rPr>
        <w:t>及国家制造业中小微企业延缓缴纳部分税费政策</w:t>
      </w:r>
      <w:r>
        <w:rPr>
          <w:rFonts w:eastAsia="方正仿宋_GBK"/>
        </w:rPr>
        <w:t>影响</w:t>
      </w:r>
      <w:r>
        <w:rPr>
          <w:rFonts w:hint="eastAsia" w:eastAsia="方正仿宋_GBK"/>
        </w:rPr>
        <w:t>，2021年税收收入预计减少18000万元。</w:t>
      </w:r>
    </w:p>
    <w:p>
      <w:pPr>
        <w:tabs>
          <w:tab w:val="left" w:pos="1680"/>
          <w:tab w:val="left" w:pos="1890"/>
        </w:tabs>
        <w:topLinePunct/>
        <w:adjustRightInd w:val="0"/>
        <w:spacing w:line="600" w:lineRule="exact"/>
        <w:ind w:firstLine="632" w:firstLineChars="200"/>
        <w:rPr>
          <w:rFonts w:eastAsia="方正楷体_GBK"/>
        </w:rPr>
      </w:pPr>
      <w:r>
        <w:rPr>
          <w:rFonts w:eastAsia="方正楷体_GBK"/>
        </w:rPr>
        <w:t>（</w:t>
      </w:r>
      <w:r>
        <w:rPr>
          <w:rFonts w:hint="eastAsia" w:eastAsia="方正楷体_GBK"/>
        </w:rPr>
        <w:t>二</w:t>
      </w:r>
      <w:r>
        <w:rPr>
          <w:rFonts w:eastAsia="方正楷体_GBK"/>
        </w:rPr>
        <w:t>）调入资金增加。</w:t>
      </w:r>
    </w:p>
    <w:p>
      <w:pPr>
        <w:tabs>
          <w:tab w:val="left" w:pos="1680"/>
          <w:tab w:val="left" w:pos="1890"/>
        </w:tabs>
        <w:topLinePunct/>
        <w:adjustRightInd w:val="0"/>
        <w:spacing w:line="600" w:lineRule="exact"/>
        <w:ind w:firstLine="632" w:firstLineChars="200"/>
        <w:rPr>
          <w:rFonts w:eastAsia="方正仿宋_GBK"/>
        </w:rPr>
      </w:pPr>
      <w:r>
        <w:rPr>
          <w:rFonts w:eastAsia="方正仿宋_GBK"/>
        </w:rPr>
        <w:t>为认真做好各类民生事项，从政府性基金中调入资金</w:t>
      </w:r>
      <w:r>
        <w:rPr>
          <w:rFonts w:hint="eastAsia" w:eastAsia="方正仿宋_GBK"/>
        </w:rPr>
        <w:t>31739</w:t>
      </w:r>
      <w:r>
        <w:rPr>
          <w:rFonts w:eastAsia="方正仿宋_GBK"/>
        </w:rPr>
        <w:t>万元，主要用于安排教育、卫生、住房保障等民生事项支出，以确保全年收支平衡。</w:t>
      </w:r>
    </w:p>
    <w:p>
      <w:pPr>
        <w:tabs>
          <w:tab w:val="left" w:pos="1680"/>
          <w:tab w:val="left" w:pos="1890"/>
        </w:tabs>
        <w:topLinePunct/>
        <w:adjustRightInd w:val="0"/>
        <w:spacing w:line="600" w:lineRule="exact"/>
        <w:ind w:firstLine="632" w:firstLineChars="200"/>
        <w:rPr>
          <w:rFonts w:eastAsia="方正楷体_GBK"/>
        </w:rPr>
      </w:pPr>
      <w:r>
        <w:rPr>
          <w:rFonts w:eastAsia="方正楷体_GBK"/>
        </w:rPr>
        <w:t>（</w:t>
      </w:r>
      <w:r>
        <w:rPr>
          <w:rFonts w:hint="eastAsia" w:eastAsia="方正楷体_GBK"/>
        </w:rPr>
        <w:t>三</w:t>
      </w:r>
      <w:r>
        <w:rPr>
          <w:rFonts w:eastAsia="方正楷体_GBK"/>
        </w:rPr>
        <w:t>）政府性基金预算收入增加。</w:t>
      </w:r>
    </w:p>
    <w:p>
      <w:pPr>
        <w:tabs>
          <w:tab w:val="left" w:pos="1680"/>
          <w:tab w:val="left" w:pos="1890"/>
        </w:tabs>
        <w:topLinePunct/>
        <w:adjustRightInd w:val="0"/>
        <w:spacing w:line="600" w:lineRule="exact"/>
        <w:ind w:firstLine="632" w:firstLineChars="200"/>
        <w:rPr>
          <w:rFonts w:eastAsia="方正仿宋_GBK"/>
        </w:rPr>
      </w:pPr>
      <w:r>
        <w:rPr>
          <w:rFonts w:eastAsia="方正仿宋_GBK"/>
        </w:rPr>
        <w:t>政府性基金预算收入</w:t>
      </w:r>
      <w:r>
        <w:rPr>
          <w:rFonts w:hint="eastAsia" w:eastAsia="方正仿宋_GBK"/>
        </w:rPr>
        <w:t>增加3177</w:t>
      </w:r>
      <w:r>
        <w:rPr>
          <w:rFonts w:eastAsia="方正仿宋_GBK"/>
        </w:rPr>
        <w:t>万元</w:t>
      </w:r>
      <w:r>
        <w:rPr>
          <w:rFonts w:hint="eastAsia" w:eastAsia="方正仿宋_GBK"/>
        </w:rPr>
        <w:t>，</w:t>
      </w:r>
      <w:r>
        <w:rPr>
          <w:rFonts w:eastAsia="方正仿宋_GBK"/>
        </w:rPr>
        <w:t>预计全年可完成</w:t>
      </w:r>
      <w:r>
        <w:rPr>
          <w:rFonts w:hint="eastAsia" w:eastAsia="方正仿宋_GBK"/>
        </w:rPr>
        <w:t>6075</w:t>
      </w:r>
      <w:r>
        <w:rPr>
          <w:rFonts w:eastAsia="方正仿宋_GBK"/>
        </w:rPr>
        <w:t>万元</w:t>
      </w:r>
      <w:r>
        <w:rPr>
          <w:rFonts w:hint="eastAsia" w:eastAsia="方正仿宋_GBK"/>
        </w:rPr>
        <w:t>。上级补助收入增加60000万元，预计完成360000万元。</w:t>
      </w:r>
    </w:p>
    <w:p>
      <w:pPr>
        <w:tabs>
          <w:tab w:val="left" w:pos="1680"/>
          <w:tab w:val="left" w:pos="1890"/>
        </w:tabs>
        <w:topLinePunct/>
        <w:adjustRightInd w:val="0"/>
        <w:spacing w:line="600" w:lineRule="exact"/>
        <w:ind w:firstLine="632" w:firstLineChars="200"/>
        <w:rPr>
          <w:rFonts w:eastAsia="方正楷体_GBK"/>
        </w:rPr>
      </w:pPr>
      <w:r>
        <w:rPr>
          <w:rFonts w:eastAsia="方正楷体_GBK"/>
        </w:rPr>
        <w:t>（</w:t>
      </w:r>
      <w:r>
        <w:rPr>
          <w:rFonts w:hint="eastAsia" w:eastAsia="方正楷体_GBK"/>
        </w:rPr>
        <w:t>四</w:t>
      </w:r>
      <w:r>
        <w:rPr>
          <w:rFonts w:eastAsia="方正楷体_GBK"/>
        </w:rPr>
        <w:t>）政府债券资金增加。</w:t>
      </w:r>
    </w:p>
    <w:p>
      <w:pPr>
        <w:adjustRightInd w:val="0"/>
        <w:snapToGrid w:val="0"/>
        <w:spacing w:line="600" w:lineRule="exact"/>
        <w:ind w:firstLine="632" w:firstLineChars="200"/>
        <w:rPr>
          <w:rFonts w:eastAsia="方正仿宋_GBK"/>
        </w:rPr>
      </w:pPr>
      <w:r>
        <w:rPr>
          <w:rFonts w:eastAsia="方正仿宋_GBK"/>
        </w:rPr>
        <w:t>2021年新增政府债券资金58210万元，其中一般债券资金10000万元，专项债券资金48210万元。</w:t>
      </w:r>
    </w:p>
    <w:p>
      <w:pPr>
        <w:tabs>
          <w:tab w:val="left" w:pos="1680"/>
          <w:tab w:val="left" w:pos="1890"/>
        </w:tabs>
        <w:topLinePunct/>
        <w:adjustRightInd w:val="0"/>
        <w:spacing w:line="600" w:lineRule="exact"/>
        <w:ind w:firstLine="632" w:firstLineChars="200"/>
        <w:rPr>
          <w:rFonts w:eastAsia="方正楷体_GBK"/>
        </w:rPr>
      </w:pPr>
      <w:r>
        <w:rPr>
          <w:rFonts w:eastAsia="方正楷体_GBK"/>
        </w:rPr>
        <w:t>（</w:t>
      </w:r>
      <w:r>
        <w:rPr>
          <w:rFonts w:hint="eastAsia" w:eastAsia="方正楷体_GBK"/>
        </w:rPr>
        <w:t>五</w:t>
      </w:r>
      <w:r>
        <w:rPr>
          <w:rFonts w:eastAsia="方正楷体_GBK"/>
        </w:rPr>
        <w:t>）其他调整事项。</w:t>
      </w:r>
    </w:p>
    <w:p>
      <w:pPr>
        <w:adjustRightInd w:val="0"/>
        <w:snapToGrid w:val="0"/>
        <w:spacing w:line="600" w:lineRule="exact"/>
        <w:ind w:firstLine="632" w:firstLineChars="200"/>
        <w:rPr>
          <w:rFonts w:hint="eastAsia" w:eastAsia="方正仿宋_GBK"/>
        </w:rPr>
      </w:pPr>
      <w:r>
        <w:rPr>
          <w:rFonts w:eastAsia="方正仿宋_GBK"/>
        </w:rPr>
        <w:t>年度执行中，</w:t>
      </w:r>
      <w:r>
        <w:rPr>
          <w:rFonts w:hint="eastAsia" w:eastAsia="方正仿宋_GBK"/>
        </w:rPr>
        <w:t>上级补助</w:t>
      </w:r>
      <w:r>
        <w:rPr>
          <w:rFonts w:eastAsia="方正仿宋_GBK"/>
        </w:rPr>
        <w:t>收入增加</w:t>
      </w:r>
      <w:r>
        <w:rPr>
          <w:rFonts w:hint="eastAsia" w:eastAsia="方正仿宋_GBK"/>
        </w:rPr>
        <w:t>99708万</w:t>
      </w:r>
      <w:r>
        <w:rPr>
          <w:rFonts w:eastAsia="方正仿宋_GBK"/>
        </w:rPr>
        <w:t>元，</w:t>
      </w:r>
      <w:r>
        <w:rPr>
          <w:rFonts w:hint="eastAsia" w:eastAsia="方正仿宋_GBK"/>
        </w:rPr>
        <w:t>相应安排支出。</w:t>
      </w:r>
    </w:p>
    <w:p>
      <w:pPr>
        <w:spacing w:line="600" w:lineRule="exact"/>
        <w:ind w:firstLine="632" w:firstLineChars="200"/>
        <w:rPr>
          <w:rFonts w:eastAsia="方正黑体_GBK"/>
        </w:rPr>
      </w:pPr>
      <w:r>
        <w:rPr>
          <w:rFonts w:hint="eastAsia" w:eastAsia="方正黑体_GBK"/>
        </w:rPr>
        <w:t>二</w:t>
      </w:r>
      <w:r>
        <w:rPr>
          <w:rFonts w:eastAsia="方正黑体_GBK"/>
        </w:rPr>
        <w:t>、全区财政预算预期情况</w:t>
      </w:r>
    </w:p>
    <w:p>
      <w:pPr>
        <w:spacing w:line="600" w:lineRule="exact"/>
        <w:ind w:firstLine="632" w:firstLineChars="200"/>
        <w:rPr>
          <w:rFonts w:eastAsia="方正楷体_GBK"/>
        </w:rPr>
      </w:pPr>
      <w:r>
        <w:rPr>
          <w:rFonts w:eastAsia="方正楷体_GBK"/>
        </w:rPr>
        <w:t>（一）一般公共预算。</w:t>
      </w:r>
    </w:p>
    <w:p>
      <w:pPr>
        <w:spacing w:line="600" w:lineRule="exact"/>
        <w:ind w:firstLine="632" w:firstLineChars="200"/>
        <w:rPr>
          <w:rFonts w:hint="eastAsia" w:eastAsia="方正仿宋_GBK"/>
        </w:rPr>
      </w:pPr>
      <w:r>
        <w:rPr>
          <w:rFonts w:hint="eastAsia" w:eastAsia="方正仿宋_GBK"/>
        </w:rPr>
        <w:t>1-10月，全区（含水复片区）一般公共预算收入完成349541万元，为年初预算的83.4%，同比增长7.4%，其中，区金库一般公共预算收入完成 236989万元，同比增长3.1%，税收收入完成199776万元，同比下降0.8%。</w:t>
      </w:r>
      <w:r>
        <w:rPr>
          <w:rFonts w:eastAsia="方正仿宋_GBK"/>
        </w:rPr>
        <w:t>受土地</w:t>
      </w:r>
      <w:r>
        <w:rPr>
          <w:rFonts w:hint="eastAsia" w:eastAsia="方正仿宋_GBK"/>
        </w:rPr>
        <w:t>、</w:t>
      </w:r>
      <w:r>
        <w:rPr>
          <w:rFonts w:eastAsia="方正仿宋_GBK"/>
        </w:rPr>
        <w:t>房产交易市场</w:t>
      </w:r>
      <w:r>
        <w:rPr>
          <w:rFonts w:hint="eastAsia" w:eastAsia="方正仿宋_GBK"/>
        </w:rPr>
        <w:t>放</w:t>
      </w:r>
      <w:r>
        <w:rPr>
          <w:rFonts w:eastAsia="方正仿宋_GBK"/>
        </w:rPr>
        <w:t>缓</w:t>
      </w:r>
      <w:r>
        <w:rPr>
          <w:rFonts w:hint="eastAsia" w:eastAsia="方正仿宋_GBK"/>
        </w:rPr>
        <w:t>及国家制造业中小微企业延缓缴纳部分税费政策</w:t>
      </w:r>
      <w:r>
        <w:rPr>
          <w:rFonts w:eastAsia="方正仿宋_GBK"/>
        </w:rPr>
        <w:t>影响</w:t>
      </w:r>
      <w:r>
        <w:rPr>
          <w:rFonts w:hint="eastAsia" w:eastAsia="方正仿宋_GBK"/>
        </w:rPr>
        <w:t>，预计区金库税收收入较年初预算减少18000万元。全区（含水复片区）一般公共预算收入预计完成401565</w:t>
      </w:r>
      <w:r>
        <w:rPr>
          <w:rFonts w:eastAsia="方正仿宋_GBK"/>
        </w:rPr>
        <w:t>万元，</w:t>
      </w:r>
      <w:r>
        <w:rPr>
          <w:rFonts w:hint="eastAsia" w:eastAsia="方正仿宋_GBK"/>
        </w:rPr>
        <w:t>较上年完成</w:t>
      </w:r>
      <w:r>
        <w:rPr>
          <w:rFonts w:eastAsia="方正仿宋_GBK"/>
        </w:rPr>
        <w:t>数</w:t>
      </w:r>
      <w:r>
        <w:rPr>
          <w:rFonts w:hint="eastAsia" w:eastAsia="方正仿宋_GBK"/>
        </w:rPr>
        <w:t>持平。其中，区金库一般公共预算收入预计完成285644万元，同比增长0.6%左右；税收收入预计完成236157万元，同比增长0.8%</w:t>
      </w:r>
      <w:r>
        <w:rPr>
          <w:rFonts w:eastAsia="方正仿宋_GBK"/>
        </w:rPr>
        <w:t>左右</w:t>
      </w:r>
      <w:r>
        <w:rPr>
          <w:rFonts w:hint="eastAsia" w:eastAsia="方正仿宋_GBK"/>
        </w:rPr>
        <w:t>。</w:t>
      </w:r>
    </w:p>
    <w:p>
      <w:pPr>
        <w:spacing w:line="600" w:lineRule="exact"/>
        <w:ind w:firstLine="632" w:firstLineChars="200"/>
        <w:rPr>
          <w:rFonts w:eastAsia="方正仿宋_GBK"/>
        </w:rPr>
      </w:pPr>
      <w:r>
        <w:rPr>
          <w:rFonts w:hint="eastAsia" w:eastAsia="方正仿宋_GBK"/>
          <w:lang w:val="en"/>
        </w:rPr>
        <w:t>区金库</w:t>
      </w:r>
      <w:r>
        <w:rPr>
          <w:rFonts w:eastAsia="方正仿宋_GBK"/>
          <w:lang w:val="en"/>
        </w:rPr>
        <w:t>一般公共预算收入预期为</w:t>
      </w:r>
      <w:r>
        <w:rPr>
          <w:rFonts w:hint="eastAsia" w:eastAsia="方正仿宋_GBK"/>
        </w:rPr>
        <w:t>285644</w:t>
      </w:r>
      <w:r>
        <w:rPr>
          <w:rFonts w:eastAsia="方正仿宋_GBK"/>
          <w:lang w:val="en"/>
        </w:rPr>
        <w:t>万元，加上级补助收入</w:t>
      </w:r>
      <w:r>
        <w:rPr>
          <w:rFonts w:eastAsia="方正仿宋_GBK"/>
        </w:rPr>
        <w:t>259</w:t>
      </w:r>
      <w:r>
        <w:rPr>
          <w:rFonts w:hint="eastAsia" w:eastAsia="方正仿宋_GBK"/>
        </w:rPr>
        <w:t>183</w:t>
      </w:r>
      <w:r>
        <w:rPr>
          <w:rFonts w:eastAsia="方正仿宋_GBK"/>
        </w:rPr>
        <w:t>万元</w:t>
      </w:r>
      <w:r>
        <w:rPr>
          <w:rFonts w:eastAsia="方正仿宋_GBK"/>
          <w:lang w:val="en"/>
        </w:rPr>
        <w:t>、动用预算稳定调节基金</w:t>
      </w:r>
      <w:r>
        <w:rPr>
          <w:rFonts w:eastAsia="方正仿宋_GBK"/>
        </w:rPr>
        <w:t>43704万元</w:t>
      </w:r>
      <w:r>
        <w:rPr>
          <w:rFonts w:eastAsia="方正仿宋_GBK"/>
          <w:lang w:val="en"/>
        </w:rPr>
        <w:t>、调入资金</w:t>
      </w:r>
      <w:r>
        <w:rPr>
          <w:rFonts w:hint="eastAsia" w:eastAsia="方正仿宋_GBK"/>
        </w:rPr>
        <w:t>144161</w:t>
      </w:r>
      <w:r>
        <w:rPr>
          <w:rFonts w:eastAsia="方正仿宋_GBK"/>
        </w:rPr>
        <w:t>万元</w:t>
      </w:r>
      <w:r>
        <w:rPr>
          <w:rFonts w:eastAsia="方正仿宋_GBK"/>
          <w:lang w:val="en"/>
        </w:rPr>
        <w:t>、债务转贷收入</w:t>
      </w:r>
      <w:r>
        <w:rPr>
          <w:rFonts w:eastAsia="方正仿宋_GBK"/>
        </w:rPr>
        <w:t>106000万元</w:t>
      </w:r>
      <w:r>
        <w:rPr>
          <w:rFonts w:eastAsia="方正仿宋_GBK"/>
          <w:lang w:val="en"/>
        </w:rPr>
        <w:t>和上年结转</w:t>
      </w:r>
      <w:r>
        <w:rPr>
          <w:rFonts w:eastAsia="方正仿宋_GBK"/>
        </w:rPr>
        <w:t>60517万元</w:t>
      </w:r>
      <w:r>
        <w:rPr>
          <w:rFonts w:eastAsia="方正仿宋_GBK"/>
          <w:lang w:val="en"/>
        </w:rPr>
        <w:t>后，全区收入预算总计</w:t>
      </w:r>
      <w:r>
        <w:rPr>
          <w:rFonts w:hint="eastAsia" w:eastAsia="方正仿宋_GBK"/>
        </w:rPr>
        <w:t>899209</w:t>
      </w:r>
      <w:r>
        <w:rPr>
          <w:rFonts w:eastAsia="方正仿宋_GBK"/>
          <w:lang w:val="en"/>
        </w:rPr>
        <w:t>万元。支出预算相应安排</w:t>
      </w:r>
      <w:r>
        <w:rPr>
          <w:rFonts w:hint="eastAsia" w:eastAsia="方正仿宋_GBK"/>
        </w:rPr>
        <w:t>899209</w:t>
      </w:r>
      <w:r>
        <w:rPr>
          <w:rFonts w:eastAsia="方正仿宋_GBK"/>
          <w:lang w:val="en"/>
        </w:rPr>
        <w:t>万元。</w:t>
      </w:r>
    </w:p>
    <w:p>
      <w:pPr>
        <w:spacing w:line="600" w:lineRule="exact"/>
        <w:ind w:firstLine="632" w:firstLineChars="200"/>
        <w:rPr>
          <w:rFonts w:eastAsia="方正楷体_GBK"/>
        </w:rPr>
      </w:pPr>
      <w:r>
        <w:rPr>
          <w:rFonts w:eastAsia="方正楷体_GBK"/>
        </w:rPr>
        <w:t>（二）政府性基金预算。</w:t>
      </w:r>
    </w:p>
    <w:p>
      <w:pPr>
        <w:spacing w:line="600" w:lineRule="exact"/>
        <w:ind w:firstLine="632" w:firstLineChars="200"/>
        <w:rPr>
          <w:rFonts w:eastAsia="方正仿宋_GBK"/>
        </w:rPr>
      </w:pPr>
      <w:r>
        <w:rPr>
          <w:rFonts w:eastAsia="方正仿宋_GBK"/>
          <w:lang w:val="en"/>
        </w:rPr>
        <w:t>全区政府性基金预算收入</w:t>
      </w:r>
      <w:r>
        <w:rPr>
          <w:rFonts w:hint="eastAsia" w:eastAsia="方正仿宋_GBK"/>
        </w:rPr>
        <w:t>6075万元</w:t>
      </w:r>
      <w:r>
        <w:rPr>
          <w:rFonts w:eastAsia="方正仿宋_GBK"/>
          <w:lang w:val="en"/>
        </w:rPr>
        <w:t>，加上级补助收入</w:t>
      </w:r>
      <w:r>
        <w:rPr>
          <w:rFonts w:hint="eastAsia" w:eastAsia="方正仿宋_GBK"/>
        </w:rPr>
        <w:t>360000万元</w:t>
      </w:r>
      <w:r>
        <w:rPr>
          <w:rFonts w:eastAsia="方正仿宋_GBK"/>
          <w:lang w:val="en"/>
        </w:rPr>
        <w:t>、债务转贷收入</w:t>
      </w:r>
      <w:r>
        <w:rPr>
          <w:rFonts w:hint="eastAsia" w:eastAsia="方正仿宋_GBK"/>
        </w:rPr>
        <w:t>119000万元</w:t>
      </w:r>
      <w:r>
        <w:rPr>
          <w:rFonts w:eastAsia="方正仿宋_GBK"/>
          <w:lang w:val="en"/>
        </w:rPr>
        <w:t>和上年结转</w:t>
      </w:r>
      <w:r>
        <w:rPr>
          <w:rFonts w:hint="eastAsia" w:eastAsia="方正仿宋_GBK"/>
        </w:rPr>
        <w:t>87904万元</w:t>
      </w:r>
      <w:r>
        <w:rPr>
          <w:rFonts w:eastAsia="方正仿宋_GBK"/>
          <w:lang w:val="en"/>
        </w:rPr>
        <w:t>后，全区收入预算总计</w:t>
      </w:r>
      <w:r>
        <w:rPr>
          <w:rFonts w:hint="eastAsia" w:eastAsia="方正仿宋_GBK"/>
        </w:rPr>
        <w:t>572979</w:t>
      </w:r>
      <w:r>
        <w:rPr>
          <w:rFonts w:eastAsia="方正仿宋_GBK"/>
          <w:lang w:val="en"/>
        </w:rPr>
        <w:t>万元。支出预算相应安排</w:t>
      </w:r>
      <w:r>
        <w:rPr>
          <w:rFonts w:hint="eastAsia" w:eastAsia="方正仿宋_GBK"/>
        </w:rPr>
        <w:t>572979</w:t>
      </w:r>
      <w:r>
        <w:rPr>
          <w:rFonts w:eastAsia="方正仿宋_GBK"/>
          <w:lang w:val="en"/>
        </w:rPr>
        <w:t>万元。</w:t>
      </w:r>
    </w:p>
    <w:p>
      <w:pPr>
        <w:spacing w:line="600" w:lineRule="exact"/>
        <w:ind w:firstLine="632" w:firstLineChars="200"/>
        <w:rPr>
          <w:rFonts w:eastAsia="方正楷体_GBK"/>
        </w:rPr>
      </w:pPr>
      <w:r>
        <w:rPr>
          <w:rFonts w:eastAsia="方正楷体_GBK"/>
        </w:rPr>
        <w:t>（三）国有资本经营预算。</w:t>
      </w:r>
    </w:p>
    <w:p>
      <w:pPr>
        <w:spacing w:line="600" w:lineRule="exact"/>
        <w:ind w:firstLine="632" w:firstLineChars="200"/>
        <w:rPr>
          <w:rFonts w:eastAsia="方正仿宋_GBK"/>
        </w:rPr>
      </w:pPr>
      <w:r>
        <w:rPr>
          <w:rFonts w:hint="eastAsia" w:eastAsia="方正仿宋_GBK"/>
        </w:rPr>
        <w:t>全区国有资本经营预算收入21896万元，加上年结转16482万元，全区收入预算总计38378万元。支出预算相应安排38378万元。</w:t>
      </w:r>
    </w:p>
    <w:p>
      <w:pPr>
        <w:spacing w:line="600" w:lineRule="exact"/>
        <w:ind w:firstLine="632" w:firstLineChars="200"/>
        <w:rPr>
          <w:rFonts w:eastAsia="方正黑体_GBK"/>
        </w:rPr>
      </w:pPr>
      <w:r>
        <w:rPr>
          <w:rFonts w:hint="eastAsia" w:eastAsia="方正黑体_GBK"/>
        </w:rPr>
        <w:t>三</w:t>
      </w:r>
      <w:r>
        <w:rPr>
          <w:rFonts w:eastAsia="方正黑体_GBK"/>
        </w:rPr>
        <w:t>、区级财政预算调整方案</w:t>
      </w:r>
    </w:p>
    <w:p>
      <w:pPr>
        <w:spacing w:line="600" w:lineRule="exact"/>
        <w:ind w:firstLine="632" w:firstLineChars="200"/>
        <w:rPr>
          <w:rFonts w:eastAsia="方正楷体_GBK"/>
        </w:rPr>
      </w:pPr>
      <w:r>
        <w:rPr>
          <w:rFonts w:eastAsia="方正楷体_GBK"/>
        </w:rPr>
        <w:t>（一）一般公共预算。</w:t>
      </w:r>
    </w:p>
    <w:p>
      <w:pPr>
        <w:spacing w:line="600" w:lineRule="exact"/>
        <w:ind w:firstLine="632" w:firstLineChars="200"/>
        <w:rPr>
          <w:rFonts w:eastAsia="方正仿宋_GBK"/>
          <w:lang w:val="en"/>
        </w:rPr>
      </w:pPr>
      <w:r>
        <w:rPr>
          <w:rFonts w:eastAsia="方正仿宋_GBK"/>
          <w:lang w:val="en"/>
        </w:rPr>
        <w:t>1.收入预算调整。</w:t>
      </w:r>
      <w:r>
        <w:rPr>
          <w:rFonts w:hint="eastAsia" w:eastAsia="方正仿宋_GBK"/>
          <w:lang w:val="en"/>
        </w:rPr>
        <w:t>区本级一般公共预算收入从</w:t>
      </w:r>
      <w:r>
        <w:rPr>
          <w:rFonts w:hint="eastAsia" w:eastAsia="方正仿宋_GBK"/>
        </w:rPr>
        <w:t>303508万元调整为285508万元，主要是税收收入减少18000万元；</w:t>
      </w:r>
      <w:r>
        <w:rPr>
          <w:rFonts w:eastAsia="方正仿宋_GBK"/>
          <w:lang w:val="en"/>
        </w:rPr>
        <w:t>转移性收入预算从</w:t>
      </w:r>
      <w:r>
        <w:rPr>
          <w:rFonts w:eastAsia="方正仿宋_GBK"/>
        </w:rPr>
        <w:t>455824</w:t>
      </w:r>
      <w:r>
        <w:rPr>
          <w:rFonts w:eastAsia="方正仿宋_GBK"/>
          <w:lang w:val="en"/>
        </w:rPr>
        <w:t>万元调整为</w:t>
      </w:r>
      <w:r>
        <w:rPr>
          <w:rFonts w:hint="eastAsia" w:eastAsia="方正仿宋_GBK"/>
        </w:rPr>
        <w:t>607271</w:t>
      </w:r>
      <w:r>
        <w:rPr>
          <w:rFonts w:eastAsia="方正仿宋_GBK"/>
          <w:lang w:val="en"/>
        </w:rPr>
        <w:t>万元，调增</w:t>
      </w:r>
      <w:r>
        <w:rPr>
          <w:rFonts w:hint="eastAsia" w:eastAsia="方正仿宋_GBK"/>
        </w:rPr>
        <w:t>151447</w:t>
      </w:r>
      <w:r>
        <w:rPr>
          <w:rFonts w:eastAsia="方正仿宋_GBK"/>
          <w:lang w:val="en"/>
        </w:rPr>
        <w:t>万元，主要是上级补助收入增加</w:t>
      </w:r>
      <w:r>
        <w:rPr>
          <w:rFonts w:eastAsia="方正仿宋_GBK"/>
        </w:rPr>
        <w:t>997</w:t>
      </w:r>
      <w:r>
        <w:rPr>
          <w:rFonts w:hint="eastAsia" w:eastAsia="方正仿宋_GBK"/>
        </w:rPr>
        <w:t>08</w:t>
      </w:r>
      <w:r>
        <w:rPr>
          <w:rFonts w:eastAsia="方正仿宋_GBK"/>
          <w:lang w:val="en"/>
        </w:rPr>
        <w:t>万元</w:t>
      </w:r>
      <w:r>
        <w:rPr>
          <w:rFonts w:hint="eastAsia" w:eastAsia="方正仿宋_GBK"/>
          <w:lang w:val="en"/>
        </w:rPr>
        <w:t>（其中，两江新区结算收入增加</w:t>
      </w:r>
      <w:r>
        <w:rPr>
          <w:rFonts w:hint="eastAsia" w:eastAsia="方正仿宋_GBK"/>
        </w:rPr>
        <w:t>31649万元</w:t>
      </w:r>
      <w:r>
        <w:rPr>
          <w:rFonts w:hint="eastAsia" w:eastAsia="方正仿宋_GBK"/>
          <w:lang w:val="en"/>
        </w:rPr>
        <w:t>）</w:t>
      </w:r>
      <w:r>
        <w:rPr>
          <w:rFonts w:eastAsia="方正仿宋_GBK"/>
          <w:lang w:val="en"/>
        </w:rPr>
        <w:t>、调入资金增加</w:t>
      </w:r>
      <w:r>
        <w:rPr>
          <w:rFonts w:hint="eastAsia" w:eastAsia="方正仿宋_GBK"/>
        </w:rPr>
        <w:t>41739</w:t>
      </w:r>
      <w:r>
        <w:rPr>
          <w:rFonts w:eastAsia="方正仿宋_GBK"/>
          <w:lang w:val="en"/>
        </w:rPr>
        <w:t>万元、债务转贷收入增加</w:t>
      </w:r>
      <w:r>
        <w:rPr>
          <w:rFonts w:eastAsia="方正仿宋_GBK"/>
        </w:rPr>
        <w:t>10000</w:t>
      </w:r>
      <w:r>
        <w:rPr>
          <w:rFonts w:eastAsia="方正仿宋_GBK"/>
          <w:lang w:val="en"/>
        </w:rPr>
        <w:t>万元。二者加总后，区级收入预算总计从</w:t>
      </w:r>
      <w:r>
        <w:rPr>
          <w:rFonts w:eastAsia="方正仿宋_GBK"/>
        </w:rPr>
        <w:t>759332</w:t>
      </w:r>
      <w:r>
        <w:rPr>
          <w:rFonts w:eastAsia="方正仿宋_GBK"/>
          <w:lang w:val="en"/>
        </w:rPr>
        <w:t>万元调整为</w:t>
      </w:r>
      <w:r>
        <w:rPr>
          <w:rFonts w:eastAsia="方正仿宋_GBK"/>
        </w:rPr>
        <w:t>8</w:t>
      </w:r>
      <w:r>
        <w:rPr>
          <w:rFonts w:hint="eastAsia" w:eastAsia="方正仿宋_GBK"/>
        </w:rPr>
        <w:t>92779</w:t>
      </w:r>
      <w:r>
        <w:rPr>
          <w:rFonts w:eastAsia="方正仿宋_GBK"/>
          <w:lang w:val="en"/>
        </w:rPr>
        <w:t>万元，调增</w:t>
      </w:r>
      <w:r>
        <w:rPr>
          <w:rFonts w:hint="eastAsia" w:eastAsia="方正仿宋_GBK"/>
        </w:rPr>
        <w:t>133447</w:t>
      </w:r>
      <w:r>
        <w:rPr>
          <w:rFonts w:eastAsia="方正仿宋_GBK"/>
          <w:lang w:val="en"/>
        </w:rPr>
        <w:t>万元。</w:t>
      </w:r>
      <w:r>
        <w:rPr>
          <w:rFonts w:eastAsia="方正仿宋_GBK"/>
          <w:lang w:val="en"/>
        </w:rPr>
        <w:br w:type="textWrapping"/>
      </w:r>
      <w:r>
        <w:rPr>
          <w:rFonts w:eastAsia="方正仿宋_GBK"/>
          <w:lang w:val="en"/>
        </w:rPr>
        <w:t>     2.支出预算调整。区本级一般公共预算支出从</w:t>
      </w:r>
      <w:r>
        <w:rPr>
          <w:rFonts w:eastAsia="方正仿宋_GBK"/>
        </w:rPr>
        <w:t>590182</w:t>
      </w:r>
      <w:r>
        <w:rPr>
          <w:rFonts w:eastAsia="方正仿宋_GBK"/>
          <w:lang w:val="en"/>
        </w:rPr>
        <w:t>万元调整为</w:t>
      </w:r>
      <w:r>
        <w:rPr>
          <w:rFonts w:hint="eastAsia" w:eastAsia="方正仿宋_GBK"/>
        </w:rPr>
        <w:t>711214</w:t>
      </w:r>
      <w:r>
        <w:rPr>
          <w:rFonts w:eastAsia="方正仿宋_GBK"/>
          <w:lang w:val="en"/>
        </w:rPr>
        <w:t>万元，调增</w:t>
      </w:r>
      <w:r>
        <w:rPr>
          <w:rFonts w:eastAsia="方正仿宋_GBK"/>
        </w:rPr>
        <w:t>1</w:t>
      </w:r>
      <w:r>
        <w:rPr>
          <w:rFonts w:hint="eastAsia" w:eastAsia="方正仿宋_GBK"/>
        </w:rPr>
        <w:t>21032</w:t>
      </w:r>
      <w:r>
        <w:rPr>
          <w:rFonts w:eastAsia="方正仿宋_GBK"/>
          <w:lang w:val="en"/>
        </w:rPr>
        <w:t>万元；转移性支出预算从</w:t>
      </w:r>
      <w:r>
        <w:rPr>
          <w:rFonts w:eastAsia="方正仿宋_GBK"/>
        </w:rPr>
        <w:t>169150</w:t>
      </w:r>
      <w:r>
        <w:rPr>
          <w:rFonts w:eastAsia="方正仿宋_GBK"/>
          <w:lang w:val="en"/>
        </w:rPr>
        <w:t>万元调整为</w:t>
      </w:r>
      <w:r>
        <w:rPr>
          <w:rFonts w:eastAsia="方正仿宋_GBK"/>
        </w:rPr>
        <w:t>1</w:t>
      </w:r>
      <w:r>
        <w:rPr>
          <w:rFonts w:hint="eastAsia" w:eastAsia="方正仿宋_GBK"/>
        </w:rPr>
        <w:t>81565</w:t>
      </w:r>
      <w:r>
        <w:rPr>
          <w:rFonts w:eastAsia="方正仿宋_GBK"/>
          <w:lang w:val="en"/>
        </w:rPr>
        <w:t>万元，调增</w:t>
      </w:r>
      <w:r>
        <w:rPr>
          <w:rFonts w:hint="eastAsia" w:eastAsia="方正仿宋_GBK"/>
        </w:rPr>
        <w:t>12415</w:t>
      </w:r>
      <w:r>
        <w:rPr>
          <w:rFonts w:eastAsia="方正仿宋_GBK"/>
          <w:lang w:val="en"/>
        </w:rPr>
        <w:t>万元。二者加总后，区级支出预算总计从</w:t>
      </w:r>
      <w:r>
        <w:rPr>
          <w:rFonts w:eastAsia="方正仿宋_GBK"/>
        </w:rPr>
        <w:t>759332</w:t>
      </w:r>
      <w:r>
        <w:rPr>
          <w:rFonts w:eastAsia="方正仿宋_GBK"/>
          <w:lang w:val="en"/>
        </w:rPr>
        <w:t>万元调整为</w:t>
      </w:r>
      <w:r>
        <w:rPr>
          <w:rFonts w:eastAsia="方正仿宋_GBK"/>
        </w:rPr>
        <w:t>8</w:t>
      </w:r>
      <w:r>
        <w:rPr>
          <w:rFonts w:hint="eastAsia" w:eastAsia="方正仿宋_GBK"/>
        </w:rPr>
        <w:t>92779</w:t>
      </w:r>
      <w:r>
        <w:rPr>
          <w:rFonts w:eastAsia="方正仿宋_GBK"/>
          <w:lang w:val="en"/>
        </w:rPr>
        <w:t>万元，调增</w:t>
      </w:r>
      <w:r>
        <w:rPr>
          <w:rFonts w:eastAsia="方正仿宋_GBK"/>
        </w:rPr>
        <w:t>1</w:t>
      </w:r>
      <w:r>
        <w:rPr>
          <w:rFonts w:hint="eastAsia" w:eastAsia="方正仿宋_GBK"/>
        </w:rPr>
        <w:t>33447</w:t>
      </w:r>
      <w:r>
        <w:rPr>
          <w:rFonts w:eastAsia="方正仿宋_GBK"/>
          <w:lang w:val="en"/>
        </w:rPr>
        <w:t>万元，</w:t>
      </w:r>
      <w:r>
        <w:rPr>
          <w:rFonts w:eastAsia="方正仿宋_GBK"/>
        </w:rPr>
        <w:t>具体情况如下：</w:t>
      </w:r>
    </w:p>
    <w:p>
      <w:pPr>
        <w:spacing w:line="600" w:lineRule="exact"/>
        <w:ind w:firstLine="630"/>
        <w:rPr>
          <w:rFonts w:eastAsia="方正仿宋_GBK"/>
        </w:rPr>
      </w:pPr>
      <w:r>
        <w:rPr>
          <w:rFonts w:eastAsia="方正仿宋_GBK"/>
        </w:rPr>
        <w:t>（</w:t>
      </w:r>
      <w:r>
        <w:rPr>
          <w:rFonts w:hint="eastAsia" w:eastAsia="方正仿宋_GBK"/>
        </w:rPr>
        <w:t>1</w:t>
      </w:r>
      <w:r>
        <w:rPr>
          <w:rFonts w:eastAsia="方正仿宋_GBK"/>
        </w:rPr>
        <w:t>）增加各部门人员支出</w:t>
      </w:r>
      <w:r>
        <w:rPr>
          <w:rFonts w:hint="eastAsia" w:eastAsia="方正仿宋_GBK"/>
        </w:rPr>
        <w:t>22588</w:t>
      </w:r>
      <w:r>
        <w:rPr>
          <w:rFonts w:eastAsia="方正仿宋_GBK"/>
        </w:rPr>
        <w:t>万元。主要是</w:t>
      </w:r>
      <w:r>
        <w:rPr>
          <w:rFonts w:hint="eastAsia" w:eastAsia="方正仿宋_GBK"/>
        </w:rPr>
        <w:t>增加目标考核绩效奖励支出17000万元，</w:t>
      </w:r>
      <w:r>
        <w:rPr>
          <w:rFonts w:eastAsia="方正仿宋_GBK"/>
        </w:rPr>
        <w:t>增人增资及调资等在职人员支出1925万元，住房补贴11</w:t>
      </w:r>
      <w:r>
        <w:rPr>
          <w:rFonts w:hint="eastAsia" w:eastAsia="方正仿宋_GBK"/>
        </w:rPr>
        <w:t>30</w:t>
      </w:r>
      <w:r>
        <w:rPr>
          <w:rFonts w:eastAsia="方正仿宋_GBK"/>
        </w:rPr>
        <w:t>万元，丧葬费、抚恤金、遗属生活补助等14</w:t>
      </w:r>
      <w:r>
        <w:rPr>
          <w:rFonts w:hint="eastAsia" w:eastAsia="方正仿宋_GBK"/>
        </w:rPr>
        <w:t>30</w:t>
      </w:r>
      <w:r>
        <w:rPr>
          <w:rFonts w:eastAsia="方正仿宋_GBK"/>
        </w:rPr>
        <w:t>万元，退休一次性补贴等其他事项785万元，</w:t>
      </w:r>
      <w:r>
        <w:rPr>
          <w:rFonts w:hint="eastAsia" w:eastAsia="方正仿宋_GBK"/>
        </w:rPr>
        <w:t>增加平时考核提标300万元等。</w:t>
      </w:r>
    </w:p>
    <w:p>
      <w:pPr>
        <w:widowControl/>
        <w:spacing w:line="600" w:lineRule="exact"/>
        <w:ind w:firstLine="632" w:firstLineChars="200"/>
        <w:rPr>
          <w:rFonts w:hint="eastAsia" w:eastAsia="方正仿宋_GBK"/>
        </w:rPr>
      </w:pPr>
      <w:r>
        <w:rPr>
          <w:rFonts w:eastAsia="方正仿宋_GBK"/>
        </w:rPr>
        <w:t>（2）增加区级专项经费支出26264万元。主要包括</w:t>
      </w:r>
      <w:r>
        <w:rPr>
          <w:rFonts w:hint="eastAsia" w:eastAsia="方正仿宋_GBK"/>
        </w:rPr>
        <w:t>新校设施设备采购4152</w:t>
      </w:r>
      <w:r>
        <w:rPr>
          <w:rFonts w:eastAsia="方正仿宋_GBK"/>
        </w:rPr>
        <w:t>万元</w:t>
      </w:r>
      <w:r>
        <w:rPr>
          <w:rFonts w:hint="eastAsia" w:eastAsia="方正仿宋_GBK"/>
        </w:rPr>
        <w:t>，</w:t>
      </w:r>
      <w:r>
        <w:rPr>
          <w:rFonts w:eastAsia="方正仿宋_GBK"/>
        </w:rPr>
        <w:t>困难群众救助资金</w:t>
      </w:r>
      <w:r>
        <w:rPr>
          <w:rFonts w:hint="eastAsia" w:eastAsia="方正仿宋_GBK"/>
        </w:rPr>
        <w:t>2</w:t>
      </w:r>
      <w:r>
        <w:rPr>
          <w:rFonts w:eastAsia="方正仿宋_GBK"/>
        </w:rPr>
        <w:t>380万元</w:t>
      </w:r>
      <w:r>
        <w:rPr>
          <w:rFonts w:hint="eastAsia" w:eastAsia="方正仿宋_GBK"/>
        </w:rPr>
        <w:t>，西大两江实验学校办学经费2</w:t>
      </w:r>
      <w:r>
        <w:rPr>
          <w:rFonts w:eastAsia="方正仿宋_GBK"/>
        </w:rPr>
        <w:t>300万元</w:t>
      </w:r>
      <w:r>
        <w:rPr>
          <w:rFonts w:hint="eastAsia" w:eastAsia="方正仿宋_GBK"/>
        </w:rPr>
        <w:t>，</w:t>
      </w:r>
      <w:r>
        <w:rPr>
          <w:rFonts w:eastAsia="方正仿宋_GBK"/>
        </w:rPr>
        <w:t>特殊人群和财政非全额供款单位正常人职业年金做实16</w:t>
      </w:r>
      <w:r>
        <w:rPr>
          <w:rFonts w:hint="eastAsia" w:eastAsia="方正仿宋_GBK"/>
        </w:rPr>
        <w:t>6</w:t>
      </w:r>
      <w:r>
        <w:rPr>
          <w:rFonts w:eastAsia="方正仿宋_GBK"/>
        </w:rPr>
        <w:t>0万元</w:t>
      </w:r>
      <w:r>
        <w:rPr>
          <w:rFonts w:hint="eastAsia" w:eastAsia="方正仿宋_GBK"/>
        </w:rPr>
        <w:t>，</w:t>
      </w:r>
      <w:r>
        <w:rPr>
          <w:rFonts w:eastAsia="方正仿宋_GBK"/>
        </w:rPr>
        <w:t>辅警经费1894万元</w:t>
      </w:r>
      <w:r>
        <w:rPr>
          <w:rFonts w:hint="eastAsia" w:eastAsia="方正仿宋_GBK"/>
        </w:rPr>
        <w:t>，</w:t>
      </w:r>
      <w:r>
        <w:rPr>
          <w:rFonts w:eastAsia="方正仿宋_GBK"/>
        </w:rPr>
        <w:t>渝广高速项目资本金1350万元</w:t>
      </w:r>
      <w:r>
        <w:rPr>
          <w:rFonts w:hint="eastAsia" w:eastAsia="方正仿宋_GBK"/>
        </w:rPr>
        <w:t>，</w:t>
      </w:r>
      <w:r>
        <w:rPr>
          <w:rFonts w:eastAsia="方正仿宋_GBK"/>
        </w:rPr>
        <w:t>歇马特勤消防站及支队训练基地后期建设经费1000万元</w:t>
      </w:r>
      <w:r>
        <w:rPr>
          <w:rFonts w:hint="eastAsia" w:eastAsia="方正仿宋_GBK"/>
        </w:rPr>
        <w:t>，</w:t>
      </w:r>
      <w:r>
        <w:rPr>
          <w:rFonts w:eastAsia="方正仿宋_GBK"/>
        </w:rPr>
        <w:t>违建治理工作经费</w:t>
      </w:r>
      <w:r>
        <w:rPr>
          <w:rFonts w:hint="eastAsia" w:eastAsia="方正仿宋_GBK"/>
        </w:rPr>
        <w:t>5</w:t>
      </w:r>
      <w:r>
        <w:rPr>
          <w:rFonts w:eastAsia="方正仿宋_GBK"/>
        </w:rPr>
        <w:t>16万元等</w:t>
      </w:r>
      <w:r>
        <w:rPr>
          <w:rFonts w:hint="eastAsia" w:eastAsia="方正仿宋_GBK"/>
        </w:rPr>
        <w:t>。</w:t>
      </w:r>
    </w:p>
    <w:p>
      <w:pPr>
        <w:widowControl/>
        <w:spacing w:line="600" w:lineRule="exact"/>
        <w:ind w:firstLine="632" w:firstLineChars="200"/>
        <w:rPr>
          <w:rFonts w:eastAsia="方正仿宋_GBK"/>
        </w:rPr>
      </w:pPr>
      <w:r>
        <w:rPr>
          <w:rFonts w:eastAsia="方正仿宋_GBK"/>
        </w:rPr>
        <w:t>（3）新增政府一般债券资金支出10000万元。主要用于新校设施设备采购</w:t>
      </w:r>
      <w:r>
        <w:rPr>
          <w:rFonts w:hint="eastAsia" w:eastAsia="方正仿宋_GBK"/>
        </w:rPr>
        <w:t>4404万元，</w:t>
      </w:r>
      <w:r>
        <w:rPr>
          <w:rFonts w:eastAsia="方正仿宋_GBK"/>
        </w:rPr>
        <w:t>中小学机器人教育工作室</w:t>
      </w:r>
      <w:r>
        <w:rPr>
          <w:rFonts w:hint="eastAsia" w:eastAsia="方正仿宋_GBK"/>
        </w:rPr>
        <w:t>1096万元，</w:t>
      </w:r>
      <w:r>
        <w:rPr>
          <w:rFonts w:eastAsia="方正仿宋_GBK"/>
        </w:rPr>
        <w:t>槽上疏干区管网配套</w:t>
      </w:r>
      <w:r>
        <w:rPr>
          <w:rFonts w:hint="eastAsia" w:eastAsia="方正仿宋_GBK"/>
        </w:rPr>
        <w:t>1000万元，应指工程运行维护费964万元，小型水库建设586万元</w:t>
      </w:r>
      <w:r>
        <w:rPr>
          <w:rFonts w:eastAsia="方正仿宋_GBK"/>
        </w:rPr>
        <w:t>等项目。</w:t>
      </w:r>
    </w:p>
    <w:p>
      <w:pPr>
        <w:spacing w:line="600" w:lineRule="exact"/>
        <w:ind w:firstLine="630"/>
        <w:rPr>
          <w:rFonts w:eastAsia="方正仿宋_GBK"/>
        </w:rPr>
      </w:pPr>
      <w:r>
        <w:rPr>
          <w:rFonts w:eastAsia="方正仿宋_GBK"/>
        </w:rPr>
        <w:t>（4）新增专项转移支付3635</w:t>
      </w:r>
      <w:r>
        <w:rPr>
          <w:rFonts w:hint="eastAsia" w:eastAsia="方正仿宋_GBK"/>
        </w:rPr>
        <w:t>1万元。</w:t>
      </w:r>
      <w:r>
        <w:rPr>
          <w:rFonts w:eastAsia="方正仿宋_GBK"/>
        </w:rPr>
        <w:t>主要是上级新增</w:t>
      </w:r>
      <w:r>
        <w:rPr>
          <w:rFonts w:hint="eastAsia" w:eastAsia="方正仿宋_GBK"/>
        </w:rPr>
        <w:t>下达</w:t>
      </w:r>
      <w:r>
        <w:rPr>
          <w:rFonts w:eastAsia="方正仿宋_GBK"/>
        </w:rPr>
        <w:t>的专项转移支付，需按规定用途安排使用。</w:t>
      </w:r>
    </w:p>
    <w:p>
      <w:pPr>
        <w:spacing w:line="600" w:lineRule="exact"/>
        <w:ind w:firstLine="630"/>
        <w:rPr>
          <w:rFonts w:eastAsia="方正仿宋_GBK"/>
        </w:rPr>
      </w:pPr>
      <w:r>
        <w:rPr>
          <w:rFonts w:hint="eastAsia" w:eastAsia="方正仿宋_GBK"/>
        </w:rPr>
        <w:t>（5）新增一般债还本10000万元。</w:t>
      </w:r>
    </w:p>
    <w:p>
      <w:pPr>
        <w:spacing w:line="600" w:lineRule="exact"/>
        <w:ind w:firstLine="630"/>
        <w:rPr>
          <w:rFonts w:eastAsia="方正仿宋_GBK"/>
        </w:rPr>
      </w:pPr>
      <w:r>
        <w:rPr>
          <w:rFonts w:hint="eastAsia" w:eastAsia="方正仿宋_GBK"/>
        </w:rPr>
        <w:t>（6）增加一般性转移支付（定向）</w:t>
      </w:r>
      <w:r>
        <w:rPr>
          <w:rFonts w:eastAsia="方正仿宋_GBK"/>
        </w:rPr>
        <w:t>28053</w:t>
      </w:r>
      <w:r>
        <w:rPr>
          <w:rFonts w:hint="eastAsia" w:eastAsia="方正仿宋_GBK"/>
        </w:rPr>
        <w:t>万元。</w:t>
      </w:r>
      <w:r>
        <w:rPr>
          <w:rFonts w:eastAsia="方正仿宋_GBK"/>
        </w:rPr>
        <w:t>主要用于</w:t>
      </w:r>
      <w:r>
        <w:rPr>
          <w:rFonts w:hint="eastAsia" w:eastAsia="方正仿宋_GBK"/>
        </w:rPr>
        <w:t>住房保障、农林水、社会卫生等定向支出。</w:t>
      </w:r>
    </w:p>
    <w:p>
      <w:pPr>
        <w:spacing w:line="600" w:lineRule="exact"/>
        <w:ind w:firstLine="630"/>
        <w:rPr>
          <w:rFonts w:eastAsia="方正黑体_GBK"/>
          <w:lang w:val="en"/>
        </w:rPr>
      </w:pPr>
      <w:r>
        <w:rPr>
          <w:rFonts w:hint="eastAsia" w:eastAsia="方正仿宋_GBK"/>
        </w:rPr>
        <w:t>（7）</w:t>
      </w:r>
      <w:r>
        <w:rPr>
          <w:rFonts w:eastAsia="方正仿宋_GBK"/>
        </w:rPr>
        <w:t>增加区本级安排镇级项目支出</w:t>
      </w:r>
      <w:r>
        <w:rPr>
          <w:rFonts w:hint="eastAsia" w:eastAsia="方正仿宋_GBK"/>
        </w:rPr>
        <w:t>191</w:t>
      </w:r>
      <w:r>
        <w:rPr>
          <w:rFonts w:eastAsia="方正仿宋_GBK"/>
        </w:rPr>
        <w:t>万元。主要</w:t>
      </w:r>
      <w:r>
        <w:rPr>
          <w:rFonts w:hint="eastAsia" w:eastAsia="方正仿宋_GBK"/>
        </w:rPr>
        <w:t>用于违法建设治理、乡村振兴驻村干部工作经费等。</w:t>
      </w:r>
    </w:p>
    <w:p>
      <w:pPr>
        <w:spacing w:line="600" w:lineRule="exact"/>
        <w:jc w:val="center"/>
        <w:rPr>
          <w:rFonts w:eastAsia="方正黑体_GBK"/>
          <w:lang w:val="en"/>
        </w:rPr>
      </w:pPr>
      <w:r>
        <w:rPr>
          <w:rFonts w:eastAsia="方正黑体_GBK"/>
          <w:lang w:val="en"/>
        </w:rPr>
        <w:t>202</w:t>
      </w:r>
      <w:r>
        <w:rPr>
          <w:rFonts w:hint="eastAsia" w:eastAsia="方正黑体_GBK"/>
        </w:rPr>
        <w:t>1</w:t>
      </w:r>
      <w:r>
        <w:rPr>
          <w:rFonts w:eastAsia="方正黑体_GBK"/>
          <w:lang w:val="en"/>
        </w:rPr>
        <w:t>年区级一般公共预算收支平衡表</w:t>
      </w:r>
    </w:p>
    <w:p>
      <w:pPr>
        <w:spacing w:line="600" w:lineRule="exact"/>
        <w:jc w:val="right"/>
        <w:rPr>
          <w:rFonts w:eastAsia="方正仿宋_GBK"/>
          <w:sz w:val="28"/>
          <w:szCs w:val="28"/>
          <w:lang w:val="en"/>
        </w:rPr>
      </w:pPr>
      <w:r>
        <w:rPr>
          <w:rFonts w:eastAsia="方正仿宋_GBK"/>
          <w:sz w:val="28"/>
          <w:szCs w:val="28"/>
          <w:lang w:val="en"/>
        </w:rPr>
        <w:t>单位：万元</w:t>
      </w:r>
    </w:p>
    <w:p>
      <w:pPr>
        <w:pStyle w:val="2"/>
        <w:rPr>
          <w:lang w:val="en"/>
        </w:rPr>
      </w:pPr>
      <w:r>
        <w:drawing>
          <wp:inline distT="0" distB="0" distL="114300" distR="114300">
            <wp:extent cx="5609590" cy="2715260"/>
            <wp:effectExtent l="0" t="0" r="10160" b="8890"/>
            <wp:docPr id="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32" w:firstLineChars="200"/>
        <w:rPr>
          <w:rFonts w:eastAsia="方正楷体_GBK"/>
        </w:rPr>
      </w:pPr>
      <w:r>
        <w:rPr>
          <w:rFonts w:eastAsia="方正楷体_GBK"/>
        </w:rPr>
        <w:t>（二）政府性基金预算。</w:t>
      </w:r>
    </w:p>
    <w:p>
      <w:pPr>
        <w:spacing w:line="600" w:lineRule="exact"/>
        <w:ind w:firstLine="632" w:firstLineChars="200"/>
        <w:rPr>
          <w:rFonts w:eastAsia="方正仿宋_GBK"/>
          <w:lang w:val="en"/>
        </w:rPr>
      </w:pPr>
      <w:r>
        <w:rPr>
          <w:rFonts w:eastAsia="方正仿宋_GBK"/>
          <w:lang w:val="en"/>
        </w:rPr>
        <w:t>1.收入预算调整。区级政府性基金预算收入从</w:t>
      </w:r>
      <w:r>
        <w:rPr>
          <w:rFonts w:hint="eastAsia" w:eastAsia="方正仿宋_GBK"/>
        </w:rPr>
        <w:t>2898</w:t>
      </w:r>
      <w:r>
        <w:rPr>
          <w:rFonts w:eastAsia="方正仿宋_GBK"/>
          <w:lang w:val="en"/>
        </w:rPr>
        <w:t>万元调整为</w:t>
      </w:r>
      <w:r>
        <w:rPr>
          <w:rFonts w:hint="eastAsia" w:eastAsia="方正仿宋_GBK"/>
        </w:rPr>
        <w:t>6075</w:t>
      </w:r>
      <w:r>
        <w:rPr>
          <w:rFonts w:eastAsia="方正仿宋_GBK"/>
          <w:lang w:val="en"/>
        </w:rPr>
        <w:t>万元，调</w:t>
      </w:r>
      <w:r>
        <w:rPr>
          <w:rFonts w:hint="eastAsia" w:eastAsia="方正仿宋_GBK"/>
          <w:lang w:val="en"/>
        </w:rPr>
        <w:t>增</w:t>
      </w:r>
      <w:r>
        <w:rPr>
          <w:rFonts w:hint="eastAsia" w:eastAsia="方正仿宋_GBK"/>
        </w:rPr>
        <w:t>3177</w:t>
      </w:r>
      <w:r>
        <w:rPr>
          <w:rFonts w:eastAsia="方正仿宋_GBK"/>
          <w:lang w:val="en"/>
        </w:rPr>
        <w:t>万元；转移性收入预算从</w:t>
      </w:r>
      <w:r>
        <w:rPr>
          <w:rFonts w:hint="eastAsia" w:eastAsia="方正仿宋_GBK"/>
        </w:rPr>
        <w:t>457622</w:t>
      </w:r>
      <w:r>
        <w:rPr>
          <w:rFonts w:eastAsia="方正仿宋_GBK"/>
          <w:lang w:val="en"/>
        </w:rPr>
        <w:t>万元调整为</w:t>
      </w:r>
      <w:r>
        <w:rPr>
          <w:rFonts w:hint="eastAsia" w:eastAsia="方正仿宋_GBK"/>
        </w:rPr>
        <w:t>565832</w:t>
      </w:r>
      <w:r>
        <w:rPr>
          <w:rFonts w:eastAsia="方正仿宋_GBK"/>
          <w:lang w:val="en"/>
        </w:rPr>
        <w:t>万元，调增</w:t>
      </w:r>
      <w:r>
        <w:rPr>
          <w:rFonts w:hint="eastAsia" w:eastAsia="方正仿宋_GBK"/>
        </w:rPr>
        <w:t>108210</w:t>
      </w:r>
      <w:r>
        <w:rPr>
          <w:rFonts w:eastAsia="方正仿宋_GBK"/>
          <w:lang w:val="en"/>
        </w:rPr>
        <w:t>万元，</w:t>
      </w:r>
      <w:r>
        <w:rPr>
          <w:rFonts w:hint="eastAsia" w:eastAsia="方正仿宋_GBK"/>
          <w:lang w:val="en"/>
        </w:rPr>
        <w:t>主要是上级补助增加</w:t>
      </w:r>
      <w:r>
        <w:rPr>
          <w:rFonts w:hint="eastAsia" w:eastAsia="方正仿宋_GBK"/>
        </w:rPr>
        <w:t>60000亿元，</w:t>
      </w:r>
      <w:r>
        <w:rPr>
          <w:rFonts w:eastAsia="方正仿宋_GBK"/>
          <w:lang w:val="en"/>
        </w:rPr>
        <w:t>债务转贷收入增加</w:t>
      </w:r>
      <w:r>
        <w:rPr>
          <w:rFonts w:hint="eastAsia" w:eastAsia="方正仿宋_GBK"/>
        </w:rPr>
        <w:t>48210万元</w:t>
      </w:r>
      <w:r>
        <w:rPr>
          <w:rFonts w:eastAsia="方正仿宋_GBK"/>
          <w:lang w:val="en"/>
        </w:rPr>
        <w:t>。二者加总后，区级收入预算总计从</w:t>
      </w:r>
      <w:r>
        <w:rPr>
          <w:rFonts w:hint="eastAsia" w:eastAsia="方正仿宋_GBK"/>
        </w:rPr>
        <w:t>460520</w:t>
      </w:r>
      <w:r>
        <w:rPr>
          <w:rFonts w:eastAsia="方正仿宋_GBK"/>
          <w:lang w:val="en"/>
        </w:rPr>
        <w:t>万元调整为</w:t>
      </w:r>
      <w:r>
        <w:rPr>
          <w:rFonts w:hint="eastAsia" w:eastAsia="方正仿宋_GBK"/>
        </w:rPr>
        <w:t>571907</w:t>
      </w:r>
      <w:r>
        <w:rPr>
          <w:rFonts w:eastAsia="方正仿宋_GBK"/>
          <w:lang w:val="en"/>
        </w:rPr>
        <w:t>万元，调增</w:t>
      </w:r>
      <w:r>
        <w:rPr>
          <w:rFonts w:hint="eastAsia" w:eastAsia="方正仿宋_GBK"/>
        </w:rPr>
        <w:t>111387</w:t>
      </w:r>
      <w:r>
        <w:rPr>
          <w:rFonts w:eastAsia="方正仿宋_GBK"/>
          <w:lang w:val="en"/>
        </w:rPr>
        <w:t>万元。</w:t>
      </w:r>
    </w:p>
    <w:p>
      <w:pPr>
        <w:spacing w:line="600" w:lineRule="exact"/>
        <w:ind w:firstLine="632" w:firstLineChars="200"/>
        <w:rPr>
          <w:rFonts w:eastAsia="方正仿宋_GBK"/>
          <w:lang w:val="en"/>
        </w:rPr>
      </w:pPr>
      <w:r>
        <w:rPr>
          <w:rFonts w:eastAsia="方正仿宋_GBK"/>
          <w:lang w:val="en"/>
        </w:rPr>
        <w:t>2.支出预算调整。区级政府性基金预算支出从</w:t>
      </w:r>
      <w:r>
        <w:rPr>
          <w:rFonts w:hint="eastAsia" w:eastAsia="方正仿宋_GBK"/>
        </w:rPr>
        <w:t>287098</w:t>
      </w:r>
      <w:r>
        <w:rPr>
          <w:rFonts w:eastAsia="方正仿宋_GBK"/>
          <w:lang w:val="en"/>
        </w:rPr>
        <w:t>万元调整为</w:t>
      </w:r>
      <w:r>
        <w:rPr>
          <w:rFonts w:hint="eastAsia" w:eastAsia="方正仿宋_GBK"/>
        </w:rPr>
        <w:t>366746</w:t>
      </w:r>
      <w:r>
        <w:rPr>
          <w:rFonts w:eastAsia="方正仿宋_GBK"/>
          <w:lang w:val="en"/>
        </w:rPr>
        <w:t>万元，调增</w:t>
      </w:r>
      <w:r>
        <w:rPr>
          <w:rFonts w:hint="eastAsia" w:eastAsia="方正仿宋_GBK"/>
        </w:rPr>
        <w:t>79648</w:t>
      </w:r>
      <w:r>
        <w:rPr>
          <w:rFonts w:eastAsia="方正仿宋_GBK"/>
          <w:lang w:val="en"/>
        </w:rPr>
        <w:t>万元</w:t>
      </w:r>
      <w:r>
        <w:rPr>
          <w:rFonts w:hint="eastAsia" w:eastAsia="方正仿宋_GBK"/>
          <w:lang w:val="en"/>
        </w:rPr>
        <w:t>；</w:t>
      </w:r>
      <w:r>
        <w:rPr>
          <w:rFonts w:eastAsia="方正仿宋_GBK"/>
          <w:lang w:val="en"/>
        </w:rPr>
        <w:t>转移性支出预算从</w:t>
      </w:r>
      <w:r>
        <w:rPr>
          <w:rFonts w:hint="eastAsia" w:eastAsia="方正仿宋_GBK"/>
        </w:rPr>
        <w:t>173422</w:t>
      </w:r>
      <w:r>
        <w:rPr>
          <w:rFonts w:eastAsia="方正仿宋_GBK"/>
          <w:lang w:val="en"/>
        </w:rPr>
        <w:t>万元调整为</w:t>
      </w:r>
      <w:r>
        <w:rPr>
          <w:rFonts w:hint="eastAsia" w:eastAsia="方正仿宋_GBK"/>
        </w:rPr>
        <w:t>205161</w:t>
      </w:r>
      <w:r>
        <w:rPr>
          <w:rFonts w:eastAsia="方正仿宋_GBK"/>
          <w:lang w:val="en"/>
        </w:rPr>
        <w:t>万元，调增</w:t>
      </w:r>
      <w:r>
        <w:rPr>
          <w:rFonts w:hint="eastAsia" w:eastAsia="方正仿宋_GBK"/>
        </w:rPr>
        <w:t>31739</w:t>
      </w:r>
      <w:r>
        <w:rPr>
          <w:rFonts w:eastAsia="方正仿宋_GBK"/>
          <w:lang w:val="en"/>
        </w:rPr>
        <w:t>万元，主要是调出资金增加。二者加总后，区级支出预算总计从</w:t>
      </w:r>
      <w:r>
        <w:rPr>
          <w:rFonts w:hint="eastAsia" w:eastAsia="方正仿宋_GBK"/>
        </w:rPr>
        <w:t>460520</w:t>
      </w:r>
      <w:r>
        <w:rPr>
          <w:rFonts w:eastAsia="方正仿宋_GBK"/>
          <w:lang w:val="en"/>
        </w:rPr>
        <w:t>万元调整为</w:t>
      </w:r>
      <w:r>
        <w:rPr>
          <w:rFonts w:hint="eastAsia" w:eastAsia="方正仿宋_GBK"/>
        </w:rPr>
        <w:t>571907</w:t>
      </w:r>
      <w:r>
        <w:rPr>
          <w:rFonts w:eastAsia="方正仿宋_GBK"/>
          <w:lang w:val="en"/>
        </w:rPr>
        <w:t>万元，调增</w:t>
      </w:r>
      <w:r>
        <w:rPr>
          <w:rFonts w:hint="eastAsia" w:eastAsia="方正仿宋_GBK"/>
        </w:rPr>
        <w:t>111387</w:t>
      </w:r>
      <w:r>
        <w:rPr>
          <w:rFonts w:eastAsia="方正仿宋_GBK"/>
          <w:lang w:val="en"/>
        </w:rPr>
        <w:t>万元。</w:t>
      </w:r>
    </w:p>
    <w:p>
      <w:pPr>
        <w:spacing w:line="600" w:lineRule="exact"/>
        <w:ind w:firstLine="632" w:firstLineChars="200"/>
        <w:jc w:val="left"/>
        <w:rPr>
          <w:highlight w:val="yellow"/>
          <w:lang w:val="en"/>
        </w:rPr>
      </w:pPr>
      <w:r>
        <w:rPr>
          <w:rFonts w:hint="eastAsia" w:eastAsia="方正仿宋_GBK"/>
        </w:rPr>
        <w:t>此外，按照相关文件要求，对重庆市福彩公益金提取的区级部分1214万元细化分配到具体项目。</w:t>
      </w:r>
    </w:p>
    <w:p>
      <w:pPr>
        <w:spacing w:line="600" w:lineRule="exact"/>
        <w:jc w:val="center"/>
        <w:rPr>
          <w:rFonts w:eastAsia="方正黑体_GBK"/>
          <w:lang w:val="en"/>
        </w:rPr>
      </w:pPr>
      <w:r>
        <w:rPr>
          <w:rFonts w:eastAsia="方正黑体_GBK"/>
          <w:lang w:val="en"/>
        </w:rPr>
        <w:t>202</w:t>
      </w:r>
      <w:r>
        <w:rPr>
          <w:rFonts w:hint="eastAsia" w:eastAsia="方正黑体_GBK"/>
        </w:rPr>
        <w:t>1</w:t>
      </w:r>
      <w:r>
        <w:rPr>
          <w:rFonts w:eastAsia="方正黑体_GBK"/>
          <w:lang w:val="en"/>
        </w:rPr>
        <w:t>年区级政府性基金预算收支平衡表</w:t>
      </w:r>
    </w:p>
    <w:p>
      <w:pPr>
        <w:jc w:val="right"/>
        <w:rPr>
          <w:rFonts w:eastAsia="方正仿宋_GBK"/>
          <w:sz w:val="28"/>
          <w:szCs w:val="28"/>
          <w:lang w:val="en"/>
        </w:rPr>
      </w:pPr>
      <w:r>
        <w:rPr>
          <w:rFonts w:eastAsia="方正仿宋_GBK"/>
          <w:sz w:val="28"/>
          <w:szCs w:val="28"/>
          <w:lang w:val="en"/>
        </w:rPr>
        <w:t>单位：万元</w:t>
      </w:r>
    </w:p>
    <w:p>
      <w:pPr>
        <w:pStyle w:val="2"/>
      </w:pPr>
      <w:r>
        <w:drawing>
          <wp:inline distT="0" distB="0" distL="114300" distR="114300">
            <wp:extent cx="5610860" cy="1720850"/>
            <wp:effectExtent l="0" t="0" r="8890" b="12700"/>
            <wp:docPr id="2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32" w:firstLineChars="200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（三）国有资本经营预算。</w:t>
      </w:r>
    </w:p>
    <w:p>
      <w:pPr>
        <w:snapToGrid w:val="0"/>
        <w:spacing w:line="560" w:lineRule="exact"/>
        <w:ind w:firstLine="632" w:firstLineChars="200"/>
        <w:rPr>
          <w:rFonts w:eastAsia="方正仿宋_GBK"/>
        </w:rPr>
      </w:pPr>
      <w:r>
        <w:rPr>
          <w:rFonts w:eastAsia="方正仿宋_GBK"/>
          <w:lang w:val="en"/>
        </w:rPr>
        <w:t>1.收入预算调整。区级</w:t>
      </w:r>
      <w:r>
        <w:rPr>
          <w:rFonts w:hint="eastAsia" w:eastAsia="方正仿宋_GBK"/>
          <w:lang w:val="en"/>
        </w:rPr>
        <w:t>国有资本经营预算</w:t>
      </w:r>
      <w:r>
        <w:rPr>
          <w:rFonts w:eastAsia="方正仿宋_GBK"/>
        </w:rPr>
        <w:t>收入</w:t>
      </w:r>
      <w:r>
        <w:rPr>
          <w:rFonts w:hint="eastAsia" w:eastAsia="方正仿宋_GBK"/>
        </w:rPr>
        <w:t>从21500</w:t>
      </w:r>
      <w:r>
        <w:rPr>
          <w:rFonts w:eastAsia="方正仿宋_GBK"/>
        </w:rPr>
        <w:t>万元</w:t>
      </w:r>
      <w:r>
        <w:rPr>
          <w:rFonts w:eastAsia="方正仿宋_GBK"/>
          <w:lang w:val="en"/>
        </w:rPr>
        <w:t>调整为</w:t>
      </w:r>
      <w:r>
        <w:rPr>
          <w:rFonts w:hint="eastAsia" w:eastAsia="方正仿宋_GBK"/>
        </w:rPr>
        <w:t>21896</w:t>
      </w:r>
      <w:r>
        <w:rPr>
          <w:rFonts w:eastAsia="方正仿宋_GBK"/>
          <w:lang w:val="en"/>
        </w:rPr>
        <w:t>万元，调</w:t>
      </w:r>
      <w:r>
        <w:rPr>
          <w:rFonts w:hint="eastAsia" w:eastAsia="方正仿宋_GBK"/>
          <w:lang w:val="en"/>
        </w:rPr>
        <w:t>增</w:t>
      </w:r>
      <w:r>
        <w:rPr>
          <w:rFonts w:hint="eastAsia" w:eastAsia="方正仿宋_GBK"/>
        </w:rPr>
        <w:t>396</w:t>
      </w:r>
      <w:r>
        <w:rPr>
          <w:rFonts w:eastAsia="方正仿宋_GBK"/>
          <w:lang w:val="en"/>
        </w:rPr>
        <w:t>万元；</w:t>
      </w:r>
      <w:r>
        <w:rPr>
          <w:rFonts w:hint="eastAsia" w:eastAsia="方正仿宋_GBK"/>
        </w:rPr>
        <w:t>转移性收入16482</w:t>
      </w:r>
      <w:r>
        <w:rPr>
          <w:rFonts w:eastAsia="方正仿宋_GBK"/>
        </w:rPr>
        <w:t>万元，</w:t>
      </w:r>
      <w:r>
        <w:rPr>
          <w:rFonts w:hint="eastAsia" w:eastAsia="方正仿宋_GBK"/>
        </w:rPr>
        <w:t>主要是上年结转，</w:t>
      </w:r>
      <w:r>
        <w:rPr>
          <w:rFonts w:eastAsia="方正仿宋_GBK"/>
        </w:rPr>
        <w:t>保持不变。</w:t>
      </w:r>
      <w:r>
        <w:rPr>
          <w:rFonts w:eastAsia="方正仿宋_GBK"/>
          <w:lang w:val="en"/>
        </w:rPr>
        <w:t>二者加总后，区级收入预算总计从</w:t>
      </w:r>
      <w:r>
        <w:rPr>
          <w:rFonts w:hint="eastAsia" w:eastAsia="方正仿宋_GBK"/>
        </w:rPr>
        <w:t>37982</w:t>
      </w:r>
      <w:r>
        <w:rPr>
          <w:rFonts w:eastAsia="方正仿宋_GBK"/>
          <w:lang w:val="en"/>
        </w:rPr>
        <w:t>万元调整为</w:t>
      </w:r>
      <w:r>
        <w:rPr>
          <w:rFonts w:hint="eastAsia" w:eastAsia="方正仿宋_GBK"/>
        </w:rPr>
        <w:t>38378</w:t>
      </w:r>
      <w:r>
        <w:rPr>
          <w:rFonts w:eastAsia="方正仿宋_GBK"/>
          <w:lang w:val="en"/>
        </w:rPr>
        <w:t>万元，调增</w:t>
      </w:r>
      <w:r>
        <w:rPr>
          <w:rFonts w:hint="eastAsia" w:eastAsia="方正仿宋_GBK"/>
        </w:rPr>
        <w:t>396</w:t>
      </w:r>
      <w:r>
        <w:rPr>
          <w:rFonts w:eastAsia="方正仿宋_GBK"/>
          <w:lang w:val="en"/>
        </w:rPr>
        <w:t>万元。</w:t>
      </w:r>
    </w:p>
    <w:p>
      <w:pPr>
        <w:spacing w:line="560" w:lineRule="exact"/>
        <w:ind w:firstLine="632" w:firstLineChars="200"/>
        <w:rPr>
          <w:rFonts w:hint="eastAsia" w:eastAsia="方正仿宋_GBK" w:cs="方正仿宋_GBK"/>
        </w:rPr>
      </w:pPr>
      <w:r>
        <w:rPr>
          <w:rFonts w:eastAsia="方正仿宋_GBK"/>
          <w:lang w:val="en"/>
        </w:rPr>
        <w:t>2.支</w:t>
      </w:r>
      <w:r>
        <w:rPr>
          <w:rFonts w:hint="eastAsia" w:ascii="方正仿宋_GBK" w:hAnsi="微软雅黑" w:eastAsia="方正仿宋_GBK"/>
          <w:lang w:val="en"/>
        </w:rPr>
        <w:t>出</w:t>
      </w:r>
      <w:r>
        <w:rPr>
          <w:rFonts w:ascii="方正仿宋_GBK" w:hAnsi="微软雅黑" w:eastAsia="方正仿宋_GBK"/>
          <w:lang w:val="en"/>
        </w:rPr>
        <w:t>预算调整。</w:t>
      </w:r>
      <w:r>
        <w:rPr>
          <w:rFonts w:hint="eastAsia" w:ascii="方正仿宋_GBK" w:hAnsi="微软雅黑" w:eastAsia="方正仿宋_GBK"/>
          <w:lang w:val="en"/>
        </w:rPr>
        <w:t>区级国有资本经营预算支出</w:t>
      </w:r>
      <w:r>
        <w:rPr>
          <w:rFonts w:hint="eastAsia" w:eastAsia="方正仿宋_GBK" w:cs="方正仿宋_GBK"/>
        </w:rPr>
        <w:t>从</w:t>
      </w:r>
      <w:r>
        <w:rPr>
          <w:rFonts w:eastAsia="方正仿宋_GBK" w:cs="方正仿宋_GBK"/>
        </w:rPr>
        <w:t>1</w:t>
      </w:r>
      <w:r>
        <w:rPr>
          <w:rFonts w:hint="eastAsia" w:eastAsia="方正仿宋_GBK" w:cs="方正仿宋_GBK"/>
        </w:rPr>
        <w:t>6982万元调整为</w:t>
      </w:r>
      <w:r>
        <w:rPr>
          <w:rFonts w:eastAsia="方正仿宋_GBK" w:cs="方正仿宋_GBK"/>
        </w:rPr>
        <w:t>73</w:t>
      </w:r>
      <w:r>
        <w:rPr>
          <w:rFonts w:hint="eastAsia" w:eastAsia="方正仿宋_GBK" w:cs="方正仿宋_GBK"/>
        </w:rPr>
        <w:t>78万元，调减9604万元；转移性支出调增10000万元，主要为调出资金增加。</w:t>
      </w:r>
      <w:r>
        <w:rPr>
          <w:rFonts w:eastAsia="方正仿宋_GBK"/>
          <w:lang w:val="en"/>
        </w:rPr>
        <w:t>二者加总后，区级支出预算总计从</w:t>
      </w:r>
      <w:r>
        <w:rPr>
          <w:rFonts w:hint="eastAsia" w:eastAsia="方正仿宋_GBK"/>
        </w:rPr>
        <w:t>37982</w:t>
      </w:r>
      <w:r>
        <w:rPr>
          <w:rFonts w:eastAsia="方正仿宋_GBK"/>
          <w:lang w:val="en"/>
        </w:rPr>
        <w:t>万元调整为</w:t>
      </w:r>
      <w:r>
        <w:rPr>
          <w:rFonts w:hint="eastAsia" w:eastAsia="方正仿宋_GBK"/>
        </w:rPr>
        <w:t>38378</w:t>
      </w:r>
      <w:r>
        <w:rPr>
          <w:rFonts w:eastAsia="方正仿宋_GBK"/>
          <w:lang w:val="en"/>
        </w:rPr>
        <w:t>万元，调增</w:t>
      </w:r>
      <w:r>
        <w:rPr>
          <w:rFonts w:hint="eastAsia" w:eastAsia="方正仿宋_GBK"/>
        </w:rPr>
        <w:t>396</w:t>
      </w:r>
      <w:r>
        <w:rPr>
          <w:rFonts w:eastAsia="方正仿宋_GBK"/>
          <w:lang w:val="en"/>
        </w:rPr>
        <w:t>万元。</w:t>
      </w:r>
    </w:p>
    <w:p>
      <w:pPr>
        <w:pStyle w:val="2"/>
        <w:rPr>
          <w:rFonts w:hint="eastAsia" w:eastAsia="方正黑体_GBK"/>
        </w:rPr>
      </w:pPr>
    </w:p>
    <w:p>
      <w:pPr>
        <w:spacing w:line="580" w:lineRule="exact"/>
        <w:rPr>
          <w:rFonts w:hint="eastAsia" w:eastAsia="方正黑体_GBK"/>
        </w:rPr>
      </w:pPr>
    </w:p>
    <w:p>
      <w:pPr>
        <w:spacing w:line="580" w:lineRule="exact"/>
        <w:jc w:val="center"/>
        <w:rPr>
          <w:rFonts w:hint="eastAsia" w:eastAsia="方正黑体_GBK"/>
        </w:rPr>
      </w:pPr>
      <w:r>
        <w:rPr>
          <w:rFonts w:hint="eastAsia" w:eastAsia="方正黑体_GBK"/>
        </w:rPr>
        <w:t>2021年区级国有资本经营预算收支平衡表</w:t>
      </w:r>
    </w:p>
    <w:p>
      <w:pPr>
        <w:spacing w:line="580" w:lineRule="exact"/>
        <w:jc w:val="right"/>
        <w:rPr>
          <w:rFonts w:hint="eastAsia" w:eastAsia="方正黑体_GBK"/>
        </w:rPr>
      </w:pPr>
      <w:r>
        <w:rPr>
          <w:rFonts w:hint="eastAsia" w:eastAsia="方正仿宋_GBK"/>
          <w:sz w:val="28"/>
          <w:szCs w:val="28"/>
        </w:rPr>
        <w:t xml:space="preserve">            </w:t>
      </w:r>
      <w:r>
        <w:rPr>
          <w:rFonts w:eastAsia="方正仿宋_GBK"/>
          <w:sz w:val="28"/>
          <w:szCs w:val="28"/>
          <w:lang w:val="en"/>
        </w:rPr>
        <w:t>单位：万元</w:t>
      </w:r>
    </w:p>
    <w:p>
      <w:pPr>
        <w:rPr>
          <w:rFonts w:hint="eastAsia"/>
        </w:rPr>
      </w:pPr>
      <w:r>
        <w:drawing>
          <wp:inline distT="0" distB="0" distL="114300" distR="114300">
            <wp:extent cx="5614035" cy="1188085"/>
            <wp:effectExtent l="0" t="0" r="5715" b="12065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50" w:lineRule="exact"/>
        <w:ind w:firstLine="632" w:firstLineChars="200"/>
        <w:rPr>
          <w:rFonts w:eastAsia="方正黑体_GBK"/>
        </w:rPr>
      </w:pPr>
      <w:r>
        <w:rPr>
          <w:rFonts w:hint="eastAsia" w:eastAsia="方正黑体_GBK"/>
        </w:rPr>
        <w:t>四</w:t>
      </w:r>
      <w:r>
        <w:rPr>
          <w:rFonts w:eastAsia="方正黑体_GBK"/>
        </w:rPr>
        <w:t>、市对我区直达资金分配情况</w:t>
      </w:r>
    </w:p>
    <w:p>
      <w:pPr>
        <w:adjustRightInd w:val="0"/>
        <w:snapToGrid w:val="0"/>
        <w:spacing w:line="550" w:lineRule="exact"/>
        <w:ind w:firstLine="632" w:firstLineChars="200"/>
        <w:rPr>
          <w:rFonts w:eastAsia="方正仿宋_GBK"/>
        </w:rPr>
      </w:pPr>
      <w:r>
        <w:rPr>
          <w:rFonts w:eastAsia="方正仿宋_GBK"/>
        </w:rPr>
        <w:t>截止2021年10月，北碚区争取中央直达资金49817万元，其中，中央直达资金47934万元，主要用于支持区县兜牢“三保”底线，支持基层运转、教育、社保、医疗、农业等方面；中央参照直达资金1883万元，主要用于生态保护、现代职业教育、中小企业发展等。</w:t>
      </w:r>
    </w:p>
    <w:p>
      <w:pPr>
        <w:tabs>
          <w:tab w:val="left" w:pos="1680"/>
          <w:tab w:val="left" w:pos="1890"/>
        </w:tabs>
        <w:topLinePunct/>
        <w:adjustRightInd w:val="0"/>
        <w:spacing w:line="550" w:lineRule="exact"/>
        <w:ind w:firstLine="632" w:firstLineChars="200"/>
        <w:rPr>
          <w:rFonts w:eastAsia="方正仿宋_GBK"/>
        </w:rPr>
      </w:pPr>
      <w:r>
        <w:rPr>
          <w:rFonts w:hint="eastAsia" w:eastAsia="方正黑体_GBK"/>
        </w:rPr>
        <w:t>五</w:t>
      </w:r>
      <w:r>
        <w:rPr>
          <w:rFonts w:eastAsia="方正黑体_GBK"/>
        </w:rPr>
        <w:t>、新增政府债券资金及安排情况</w:t>
      </w:r>
    </w:p>
    <w:p>
      <w:pPr>
        <w:adjustRightInd w:val="0"/>
        <w:snapToGrid w:val="0"/>
        <w:spacing w:line="550" w:lineRule="exact"/>
        <w:ind w:firstLine="632" w:firstLineChars="200"/>
        <w:rPr>
          <w:rFonts w:eastAsia="方正楷体_GBK"/>
        </w:rPr>
      </w:pPr>
      <w:r>
        <w:rPr>
          <w:rFonts w:eastAsia="方正楷体_GBK"/>
        </w:rPr>
        <w:t>（一）2021年新增政府债券资金情况。</w:t>
      </w:r>
    </w:p>
    <w:p>
      <w:pPr>
        <w:adjustRightInd w:val="0"/>
        <w:snapToGrid w:val="0"/>
        <w:spacing w:line="550" w:lineRule="exact"/>
        <w:ind w:firstLine="632" w:firstLineChars="200"/>
        <w:rPr>
          <w:rFonts w:eastAsia="方正仿宋_GBK"/>
        </w:rPr>
      </w:pPr>
      <w:r>
        <w:rPr>
          <w:rFonts w:eastAsia="方正仿宋_GBK"/>
        </w:rPr>
        <w:t>我区2021年新增政府债券资金58210万元，其中一般</w:t>
      </w:r>
      <w:r>
        <w:rPr>
          <w:rFonts w:hint="eastAsia" w:eastAsia="方正仿宋_GBK"/>
        </w:rPr>
        <w:t>债券</w:t>
      </w:r>
      <w:r>
        <w:rPr>
          <w:rFonts w:eastAsia="方正仿宋_GBK"/>
        </w:rPr>
        <w:t>资金10000万元，专项</w:t>
      </w:r>
      <w:r>
        <w:rPr>
          <w:rFonts w:hint="eastAsia" w:eastAsia="方正仿宋_GBK"/>
        </w:rPr>
        <w:t>债券</w:t>
      </w:r>
      <w:r>
        <w:rPr>
          <w:rFonts w:eastAsia="方正仿宋_GBK"/>
        </w:rPr>
        <w:t>资金48210万元。</w:t>
      </w:r>
    </w:p>
    <w:p>
      <w:pPr>
        <w:adjustRightInd w:val="0"/>
        <w:snapToGrid w:val="0"/>
        <w:spacing w:line="550" w:lineRule="exact"/>
        <w:ind w:firstLine="632" w:firstLineChars="200"/>
        <w:rPr>
          <w:rFonts w:eastAsia="方正楷体_GBK"/>
        </w:rPr>
      </w:pPr>
      <w:r>
        <w:rPr>
          <w:rFonts w:eastAsia="方正楷体_GBK"/>
        </w:rPr>
        <w:t>（二）2021年政府债券资金安排情况。</w:t>
      </w:r>
    </w:p>
    <w:p>
      <w:pPr>
        <w:adjustRightInd w:val="0"/>
        <w:snapToGrid w:val="0"/>
        <w:spacing w:line="550" w:lineRule="exact"/>
        <w:ind w:firstLine="632" w:firstLineChars="200"/>
        <w:rPr>
          <w:rFonts w:eastAsia="方正仿宋_GBK"/>
        </w:rPr>
      </w:pPr>
      <w:r>
        <w:rPr>
          <w:rFonts w:eastAsia="方正仿宋_GBK"/>
        </w:rPr>
        <w:t>2021年，市财政转贷地方政府债券收入167210万元，其中：再融资债券109000万元，新增债券58210万元。按照《重庆市政府债券资金管理办法》及预算管理要求，再融资债券用于偿还到期政府债券；新增债券主要用于缙云山片区生态环境整治项目三期48210万元，新校设施设备采购、中小学机器人教育工作室等教育基础设施建设5500万元，应指工程运行维护、非遗展示中心建设、老旧住宅增设电梯、公交首末站及停车港建设、高层建筑可燃雨棚和突出外墙防护网等城市基础设施建设2500万元，槽上疏干区管网配套工程、小型水库建设等乡村基础设施建设2000万元。</w:t>
      </w:r>
    </w:p>
    <w:p>
      <w:pPr>
        <w:adjustRightInd w:val="0"/>
        <w:snapToGrid w:val="0"/>
        <w:spacing w:line="550" w:lineRule="exact"/>
        <w:ind w:firstLine="632" w:firstLineChars="200"/>
        <w:rPr>
          <w:rFonts w:eastAsia="方正仿宋_GBK"/>
        </w:rPr>
      </w:pPr>
      <w:r>
        <w:rPr>
          <w:rFonts w:eastAsia="方正仿宋_GBK"/>
        </w:rPr>
        <w:t>《2021年</w:t>
      </w:r>
      <w:r>
        <w:rPr>
          <w:rFonts w:hint="eastAsia" w:eastAsia="方正仿宋_GBK"/>
        </w:rPr>
        <w:t>区级</w:t>
      </w:r>
      <w:r>
        <w:rPr>
          <w:rFonts w:eastAsia="方正仿宋_GBK"/>
        </w:rPr>
        <w:t>预算调整方案（草案）》</w:t>
      </w:r>
      <w:r>
        <w:rPr>
          <w:rFonts w:hint="eastAsia" w:eastAsia="方正仿宋_GBK"/>
        </w:rPr>
        <w:t>连同以上报告</w:t>
      </w:r>
      <w:r>
        <w:rPr>
          <w:rFonts w:eastAsia="方正仿宋_GBK"/>
        </w:rPr>
        <w:t>，</w:t>
      </w:r>
      <w:r>
        <w:rPr>
          <w:rFonts w:hint="eastAsia" w:eastAsia="方正仿宋_GBK"/>
        </w:rPr>
        <w:t>请一并</w:t>
      </w:r>
      <w:r>
        <w:rPr>
          <w:rFonts w:eastAsia="方正仿宋_GBK"/>
        </w:rPr>
        <w:t>审议。</w:t>
      </w:r>
    </w:p>
    <w:p>
      <w:pPr>
        <w:pStyle w:val="2"/>
        <w:spacing w:line="600" w:lineRule="exact"/>
      </w:pPr>
    </w:p>
    <w:p>
      <w:pPr>
        <w:adjustRightInd w:val="0"/>
        <w:snapToGrid w:val="0"/>
        <w:spacing w:line="600" w:lineRule="exact"/>
        <w:rPr>
          <w:color w:val="000000"/>
        </w:rPr>
      </w:pPr>
    </w:p>
    <w:p>
      <w:pPr>
        <w:pStyle w:val="2"/>
        <w:spacing w:line="600" w:lineRule="exact"/>
        <w:rPr>
          <w:color w:val="000000"/>
          <w:szCs w:val="32"/>
        </w:rPr>
      </w:pPr>
    </w:p>
    <w:p>
      <w:pPr>
        <w:rPr>
          <w:color w:val="000000"/>
        </w:rPr>
      </w:pPr>
    </w:p>
    <w:p>
      <w:pPr>
        <w:pStyle w:val="2"/>
        <w:rPr>
          <w:color w:val="000000"/>
          <w:szCs w:val="32"/>
        </w:rPr>
      </w:pPr>
    </w:p>
    <w:p>
      <w:pPr>
        <w:rPr>
          <w:color w:val="000000"/>
        </w:rPr>
      </w:pPr>
    </w:p>
    <w:p>
      <w:pPr>
        <w:pStyle w:val="2"/>
        <w:rPr>
          <w:color w:val="000000"/>
          <w:szCs w:val="32"/>
        </w:rPr>
      </w:pPr>
    </w:p>
    <w:p>
      <w:pPr>
        <w:rPr>
          <w:color w:val="000000"/>
        </w:rPr>
      </w:pPr>
    </w:p>
    <w:p/>
    <w:p/>
    <w:p>
      <w:pPr>
        <w:adjustRightInd w:val="0"/>
        <w:snapToGrid w:val="0"/>
        <w:spacing w:line="550" w:lineRule="exact"/>
        <w:rPr>
          <w:rFonts w:hint="eastAsia" w:ascii="方正黑体_GBK" w:eastAsia="方正黑体_GBK"/>
          <w:color w:val="000000"/>
          <w:sz w:val="28"/>
          <w:szCs w:val="28"/>
        </w:rPr>
      </w:pPr>
    </w:p>
    <w:p>
      <w:pPr>
        <w:adjustRightInd w:val="0"/>
        <w:snapToGrid w:val="0"/>
        <w:spacing w:line="800" w:lineRule="exact"/>
        <w:rPr>
          <w:rFonts w:eastAsia="方正小标宋_GBK"/>
          <w:color w:val="000000"/>
          <w:sz w:val="44"/>
          <w:szCs w:val="44"/>
        </w:rPr>
      </w:pPr>
    </w:p>
    <w:p>
      <w:pPr>
        <w:adjustRightInd w:val="0"/>
        <w:snapToGrid w:val="0"/>
        <w:spacing w:line="800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adjustRightInd w:val="0"/>
        <w:snapToGrid w:val="0"/>
        <w:spacing w:line="800" w:lineRule="exact"/>
        <w:rPr>
          <w:rFonts w:eastAsia="方正小标宋_GBK"/>
          <w:color w:val="000000"/>
          <w:sz w:val="44"/>
          <w:szCs w:val="44"/>
        </w:rPr>
      </w:pPr>
    </w:p>
    <w:p>
      <w:pPr>
        <w:pStyle w:val="2"/>
      </w:pPr>
    </w:p>
    <w:p>
      <w:pPr>
        <w:adjustRightInd w:val="0"/>
        <w:snapToGrid w:val="0"/>
        <w:spacing w:line="800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adjustRightInd w:val="0"/>
        <w:snapToGrid w:val="0"/>
        <w:spacing w:line="800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adjustRightInd w:val="0"/>
        <w:snapToGrid w:val="0"/>
        <w:spacing w:line="8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2021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年区级预算调整方案（草案）</w:t>
      </w:r>
    </w:p>
    <w:p>
      <w:pPr>
        <w:pStyle w:val="2"/>
      </w:pPr>
      <w:bookmarkStart w:id="0" w:name="_GoBack"/>
      <w:bookmarkEnd w:id="0"/>
    </w:p>
    <w:p/>
    <w:p>
      <w:pPr>
        <w:pStyle w:val="2"/>
      </w:pPr>
    </w:p>
    <w:p/>
    <w:p>
      <w:pPr>
        <w:pStyle w:val="2"/>
      </w:pPr>
    </w:p>
    <w:p/>
    <w:p>
      <w:pPr>
        <w:adjustRightInd w:val="0"/>
        <w:snapToGrid w:val="0"/>
        <w:spacing w:line="594" w:lineRule="exact"/>
        <w:jc w:val="center"/>
        <w:rPr>
          <w:rFonts w:eastAsia="方正仿宋_GBK"/>
          <w:color w:val="000000"/>
        </w:rPr>
      </w:pPr>
      <w:r>
        <w:rPr>
          <w:rFonts w:eastAsia="方正仿宋_GBK"/>
          <w:color w:val="000000"/>
        </w:rPr>
        <w:t>2021年</w:t>
      </w:r>
      <w:r>
        <w:rPr>
          <w:rFonts w:hint="eastAsia" w:eastAsia="方正仿宋_GBK"/>
          <w:color w:val="000000"/>
        </w:rPr>
        <w:t>11</w:t>
      </w:r>
      <w:r>
        <w:rPr>
          <w:rFonts w:eastAsia="方正仿宋_GBK"/>
          <w:color w:val="000000"/>
        </w:rPr>
        <w:t>月</w:t>
      </w:r>
    </w:p>
    <w:p>
      <w:pPr>
        <w:pStyle w:val="2"/>
        <w:jc w:val="center"/>
        <w:rPr>
          <w:b w:val="0"/>
          <w:bCs w:val="0"/>
        </w:rPr>
      </w:pPr>
      <w:r>
        <w:rPr>
          <w:rFonts w:eastAsia="方正小标宋_GBK"/>
          <w:b w:val="0"/>
          <w:bCs w:val="0"/>
        </w:rPr>
        <w:t>目    录</w:t>
      </w:r>
    </w:p>
    <w:p/>
    <w:p>
      <w:pPr>
        <w:pStyle w:val="2"/>
      </w:pPr>
    </w:p>
    <w:p>
      <w:pPr>
        <w:ind w:firstLine="632" w:firstLineChars="200"/>
        <w:rPr>
          <w:rFonts w:eastAsia="方正仿宋_GBK"/>
          <w:color w:val="000000"/>
        </w:rPr>
      </w:pPr>
      <w:r>
        <w:rPr>
          <w:rFonts w:hint="eastAsia" w:eastAsia="方正仿宋_GBK"/>
          <w:color w:val="000000"/>
        </w:rPr>
        <w:t>表1：2021年区级一般公共预算收支调整预算表</w:t>
      </w:r>
    </w:p>
    <w:p>
      <w:pPr>
        <w:ind w:firstLine="632" w:firstLineChars="200"/>
        <w:rPr>
          <w:rFonts w:eastAsia="方正仿宋_GBK"/>
          <w:color w:val="000000"/>
        </w:rPr>
      </w:pPr>
      <w:r>
        <w:rPr>
          <w:rFonts w:hint="eastAsia" w:eastAsia="方正仿宋_GBK"/>
          <w:color w:val="000000"/>
        </w:rPr>
        <w:t>表2：2021年区级一般公共预算转移支付收支调整预算表</w:t>
      </w:r>
    </w:p>
    <w:p>
      <w:pPr>
        <w:ind w:firstLine="632" w:firstLineChars="200"/>
        <w:rPr>
          <w:rFonts w:eastAsia="方正仿宋_GBK"/>
          <w:color w:val="000000"/>
        </w:rPr>
      </w:pPr>
      <w:r>
        <w:rPr>
          <w:rFonts w:hint="eastAsia" w:eastAsia="方正仿宋_GBK"/>
          <w:color w:val="000000"/>
        </w:rPr>
        <w:t>表3：2021年区级政府性基金预算收支调整预算表</w:t>
      </w:r>
    </w:p>
    <w:p>
      <w:pPr>
        <w:ind w:firstLine="632" w:firstLineChars="200"/>
      </w:pPr>
      <w:r>
        <w:rPr>
          <w:rFonts w:hint="eastAsia" w:eastAsia="方正仿宋_GBK"/>
          <w:color w:val="000000"/>
        </w:rPr>
        <w:t>表</w:t>
      </w:r>
      <w:r>
        <w:rPr>
          <w:rFonts w:eastAsia="方正仿宋_GBK"/>
          <w:color w:val="000000"/>
        </w:rPr>
        <w:t>4</w:t>
      </w:r>
      <w:r>
        <w:rPr>
          <w:rFonts w:hint="eastAsia" w:eastAsia="方正仿宋_GBK"/>
          <w:color w:val="000000"/>
        </w:rPr>
        <w:t>：2021年区级国有资本经营预算收支调整预算表</w:t>
      </w:r>
    </w:p>
    <w:p>
      <w:pPr>
        <w:ind w:firstLine="632" w:firstLineChars="200"/>
        <w:rPr>
          <w:rFonts w:hint="eastAsia" w:eastAsia="方正仿宋_GBK"/>
          <w:color w:val="000000"/>
        </w:rPr>
      </w:pPr>
      <w:r>
        <w:rPr>
          <w:rFonts w:hint="eastAsia" w:eastAsia="方正仿宋_GBK"/>
          <w:color w:val="000000"/>
        </w:rPr>
        <w:t>表5：重庆市北碚区2021年地方政府债务限额调整情况表</w:t>
      </w:r>
    </w:p>
    <w:p>
      <w:pPr>
        <w:ind w:firstLine="632" w:firstLineChars="200"/>
        <w:rPr>
          <w:rFonts w:hint="eastAsia" w:eastAsia="方正仿宋_GBK"/>
          <w:color w:val="000000"/>
        </w:rPr>
      </w:pPr>
      <w:r>
        <w:rPr>
          <w:rFonts w:hint="eastAsia" w:eastAsia="方正仿宋_GBK"/>
          <w:color w:val="000000"/>
        </w:rPr>
        <w:t>表6：2021年新增政府债券资金安排表</w:t>
      </w:r>
    </w:p>
    <w:p>
      <w:pPr>
        <w:adjustRightInd w:val="0"/>
        <w:snapToGrid w:val="0"/>
        <w:spacing w:line="594" w:lineRule="exact"/>
        <w:rPr>
          <w:color w:val="000000"/>
        </w:rPr>
      </w:pPr>
    </w:p>
    <w:p>
      <w:pPr>
        <w:adjustRightInd w:val="0"/>
        <w:snapToGrid w:val="0"/>
        <w:spacing w:line="594" w:lineRule="exact"/>
        <w:ind w:firstLine="632" w:firstLineChars="200"/>
        <w:rPr>
          <w:color w:val="000000"/>
        </w:rPr>
      </w:pPr>
    </w:p>
    <w:p>
      <w:pPr>
        <w:adjustRightInd w:val="0"/>
        <w:snapToGrid w:val="0"/>
        <w:spacing w:line="594" w:lineRule="exact"/>
        <w:ind w:firstLine="632" w:firstLineChars="200"/>
        <w:rPr>
          <w:color w:val="000000"/>
        </w:rPr>
      </w:pPr>
    </w:p>
    <w:p>
      <w:pPr>
        <w:adjustRightInd w:val="0"/>
        <w:snapToGrid w:val="0"/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74" w:gutter="0"/>
          <w:cols w:space="720" w:num="1"/>
          <w:docGrid w:type="linesAndChars" w:linePitch="579" w:charSpace="-849"/>
        </w:sectPr>
      </w:pPr>
    </w:p>
    <w:p>
      <w:r>
        <w:drawing>
          <wp:inline distT="0" distB="0" distL="114300" distR="114300">
            <wp:extent cx="8090535" cy="5565775"/>
            <wp:effectExtent l="0" t="0" r="5715" b="15875"/>
            <wp:docPr id="4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0535" cy="55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8089265" cy="5309235"/>
            <wp:effectExtent l="0" t="0" r="6985" b="5715"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89265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093075" cy="3921125"/>
            <wp:effectExtent l="0" t="0" r="3175" b="3175"/>
            <wp:docPr id="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93075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/>
    <w:p>
      <w:pPr>
        <w:pStyle w:val="2"/>
      </w:pPr>
      <w:r>
        <w:drawing>
          <wp:inline distT="0" distB="0" distL="114300" distR="114300">
            <wp:extent cx="8093075" cy="4212590"/>
            <wp:effectExtent l="0" t="0" r="3175" b="1651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93075" cy="42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sectPr>
          <w:pgSz w:w="16838" w:h="11906" w:orient="landscape"/>
          <w:pgMar w:top="1587" w:right="2098" w:bottom="1474" w:left="1985" w:header="851" w:footer="1474" w:gutter="0"/>
          <w:cols w:space="720" w:num="1"/>
          <w:docGrid w:type="linesAndChars" w:linePitch="589" w:charSpace="-849"/>
        </w:sectPr>
      </w:pPr>
    </w:p>
    <w:p>
      <w:r>
        <w:drawing>
          <wp:inline distT="0" distB="0" distL="114300" distR="114300">
            <wp:extent cx="5614035" cy="3981450"/>
            <wp:effectExtent l="0" t="0" r="5715" b="0"/>
            <wp:docPr id="8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  <w:r>
        <w:drawing>
          <wp:inline distT="0" distB="0" distL="114300" distR="114300">
            <wp:extent cx="5615305" cy="2791460"/>
            <wp:effectExtent l="0" t="0" r="4445" b="8890"/>
            <wp:docPr id="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sectPr>
      <w:pgSz w:w="11906" w:h="16838"/>
      <w:pgMar w:top="2098" w:right="1474" w:bottom="1984" w:left="1587" w:header="851" w:footer="1474" w:gutter="0"/>
      <w:cols w:space="72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kern w:val="0"/>
        <w:sz w:val="28"/>
        <w:szCs w:val="28"/>
      </w:rPr>
      <w:t xml:space="preserve">- </w:t>
    </w:r>
    <w:r>
      <w:rPr>
        <w:rFonts w:hint="eastAsia" w:ascii="宋体" w:hAnsi="宋体" w:cs="宋体"/>
        <w:kern w:val="0"/>
        <w:sz w:val="28"/>
        <w:szCs w:val="28"/>
      </w:rPr>
      <w:fldChar w:fldCharType="begin"/>
    </w:r>
    <w:r>
      <w:rPr>
        <w:rFonts w:hint="eastAsia" w:ascii="宋体" w:hAnsi="宋体" w:cs="宋体"/>
        <w:kern w:val="0"/>
        <w:sz w:val="28"/>
        <w:szCs w:val="28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  <w:lang/>
      </w:rPr>
      <w:t>1</w:t>
    </w:r>
    <w:r>
      <w:rPr>
        <w:rFonts w:hint="eastAsia" w:ascii="宋体" w:hAnsi="宋体" w:cs="宋体"/>
        <w:kern w:val="0"/>
        <w:sz w:val="28"/>
        <w:szCs w:val="28"/>
      </w:rPr>
      <w:fldChar w:fldCharType="end"/>
    </w:r>
    <w:r>
      <w:rPr>
        <w:rFonts w:hint="eastAsia" w:ascii="宋体" w:hAnsi="宋体" w:cs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kern w:val="0"/>
        <w:sz w:val="28"/>
        <w:szCs w:val="28"/>
      </w:rPr>
      <w:t xml:space="preserve">- </w:t>
    </w:r>
    <w:r>
      <w:rPr>
        <w:rFonts w:hint="eastAsia" w:ascii="宋体" w:hAnsi="宋体" w:cs="宋体"/>
        <w:kern w:val="0"/>
        <w:sz w:val="28"/>
        <w:szCs w:val="28"/>
      </w:rPr>
      <w:fldChar w:fldCharType="begin"/>
    </w:r>
    <w:r>
      <w:rPr>
        <w:rFonts w:hint="eastAsia" w:ascii="宋体" w:hAnsi="宋体" w:cs="宋体"/>
        <w:kern w:val="0"/>
        <w:sz w:val="28"/>
        <w:szCs w:val="28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  <w:lang/>
      </w:rPr>
      <w:t>2</w:t>
    </w:r>
    <w:r>
      <w:rPr>
        <w:rFonts w:hint="eastAsia" w:ascii="宋体" w:hAnsi="宋体" w:cs="宋体"/>
        <w:kern w:val="0"/>
        <w:sz w:val="28"/>
        <w:szCs w:val="28"/>
      </w:rPr>
      <w:fldChar w:fldCharType="end"/>
    </w:r>
    <w:r>
      <w:rPr>
        <w:rFonts w:hint="eastAsia" w:ascii="宋体" w:hAnsi="宋体" w:cs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67C43"/>
    <w:multiLevelType w:val="singleLevel"/>
    <w:tmpl w:val="1B767C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evenAndOddHeaders w:val="1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3DB"/>
    <w:rsid w:val="00011D10"/>
    <w:rsid w:val="00030663"/>
    <w:rsid w:val="00030D39"/>
    <w:rsid w:val="00041A43"/>
    <w:rsid w:val="00047F5B"/>
    <w:rsid w:val="00051E17"/>
    <w:rsid w:val="00060A00"/>
    <w:rsid w:val="00065A19"/>
    <w:rsid w:val="00073079"/>
    <w:rsid w:val="0007770F"/>
    <w:rsid w:val="00086BC1"/>
    <w:rsid w:val="00095479"/>
    <w:rsid w:val="000A016B"/>
    <w:rsid w:val="000A0B1F"/>
    <w:rsid w:val="000A1BB7"/>
    <w:rsid w:val="000A2098"/>
    <w:rsid w:val="000A2248"/>
    <w:rsid w:val="000A2BE8"/>
    <w:rsid w:val="000B4000"/>
    <w:rsid w:val="000B48BA"/>
    <w:rsid w:val="000C0402"/>
    <w:rsid w:val="000D3A2E"/>
    <w:rsid w:val="000D56E0"/>
    <w:rsid w:val="000E0C6E"/>
    <w:rsid w:val="000E1DAE"/>
    <w:rsid w:val="000E3621"/>
    <w:rsid w:val="000E47C6"/>
    <w:rsid w:val="000E5F9C"/>
    <w:rsid w:val="000F28BE"/>
    <w:rsid w:val="000F5099"/>
    <w:rsid w:val="00106F22"/>
    <w:rsid w:val="00112E4A"/>
    <w:rsid w:val="001137BB"/>
    <w:rsid w:val="00115B9B"/>
    <w:rsid w:val="00115DF4"/>
    <w:rsid w:val="00130D64"/>
    <w:rsid w:val="00131A27"/>
    <w:rsid w:val="00136058"/>
    <w:rsid w:val="00136EFD"/>
    <w:rsid w:val="00141010"/>
    <w:rsid w:val="00147F04"/>
    <w:rsid w:val="0015126C"/>
    <w:rsid w:val="001532AD"/>
    <w:rsid w:val="00153808"/>
    <w:rsid w:val="001617B4"/>
    <w:rsid w:val="00162697"/>
    <w:rsid w:val="00164B75"/>
    <w:rsid w:val="00172DA9"/>
    <w:rsid w:val="00173EB3"/>
    <w:rsid w:val="00180DC6"/>
    <w:rsid w:val="001867AC"/>
    <w:rsid w:val="00187FDA"/>
    <w:rsid w:val="00190C5C"/>
    <w:rsid w:val="0019549C"/>
    <w:rsid w:val="001959C9"/>
    <w:rsid w:val="001A59D8"/>
    <w:rsid w:val="001B051D"/>
    <w:rsid w:val="001B22CB"/>
    <w:rsid w:val="001B4AE5"/>
    <w:rsid w:val="001B6415"/>
    <w:rsid w:val="001D385B"/>
    <w:rsid w:val="001D4E81"/>
    <w:rsid w:val="001E54D1"/>
    <w:rsid w:val="001E7DF3"/>
    <w:rsid w:val="001F6A80"/>
    <w:rsid w:val="001F6E21"/>
    <w:rsid w:val="002009DF"/>
    <w:rsid w:val="00207F7F"/>
    <w:rsid w:val="002122FA"/>
    <w:rsid w:val="002170E0"/>
    <w:rsid w:val="00223157"/>
    <w:rsid w:val="00224B14"/>
    <w:rsid w:val="00230533"/>
    <w:rsid w:val="00234188"/>
    <w:rsid w:val="00244ADA"/>
    <w:rsid w:val="002521AC"/>
    <w:rsid w:val="002528CA"/>
    <w:rsid w:val="00260ADE"/>
    <w:rsid w:val="00264565"/>
    <w:rsid w:val="00267827"/>
    <w:rsid w:val="0027025A"/>
    <w:rsid w:val="002706D3"/>
    <w:rsid w:val="00274282"/>
    <w:rsid w:val="0027697E"/>
    <w:rsid w:val="00281C55"/>
    <w:rsid w:val="00286AC1"/>
    <w:rsid w:val="00293444"/>
    <w:rsid w:val="00297E7F"/>
    <w:rsid w:val="002B3E20"/>
    <w:rsid w:val="002B43AE"/>
    <w:rsid w:val="002C1935"/>
    <w:rsid w:val="002C1A3C"/>
    <w:rsid w:val="002C4D76"/>
    <w:rsid w:val="002D59A1"/>
    <w:rsid w:val="002D755F"/>
    <w:rsid w:val="002E2364"/>
    <w:rsid w:val="002E36B9"/>
    <w:rsid w:val="002E41FE"/>
    <w:rsid w:val="002E7F70"/>
    <w:rsid w:val="002F0AE9"/>
    <w:rsid w:val="002F169D"/>
    <w:rsid w:val="002F3D78"/>
    <w:rsid w:val="002F4A9B"/>
    <w:rsid w:val="002F7E31"/>
    <w:rsid w:val="00306570"/>
    <w:rsid w:val="00307643"/>
    <w:rsid w:val="00320C7B"/>
    <w:rsid w:val="00321760"/>
    <w:rsid w:val="00321B4E"/>
    <w:rsid w:val="00330AFB"/>
    <w:rsid w:val="00330E8E"/>
    <w:rsid w:val="00332826"/>
    <w:rsid w:val="00340AAF"/>
    <w:rsid w:val="00343193"/>
    <w:rsid w:val="00353061"/>
    <w:rsid w:val="00353EF2"/>
    <w:rsid w:val="00355133"/>
    <w:rsid w:val="00364E91"/>
    <w:rsid w:val="003708F7"/>
    <w:rsid w:val="003766A9"/>
    <w:rsid w:val="00380201"/>
    <w:rsid w:val="00381333"/>
    <w:rsid w:val="00382E6D"/>
    <w:rsid w:val="00390D57"/>
    <w:rsid w:val="003A562D"/>
    <w:rsid w:val="003B3B90"/>
    <w:rsid w:val="003B6C6F"/>
    <w:rsid w:val="003C2B64"/>
    <w:rsid w:val="003C7B97"/>
    <w:rsid w:val="003D2750"/>
    <w:rsid w:val="003D6311"/>
    <w:rsid w:val="003E0D39"/>
    <w:rsid w:val="003E7D3C"/>
    <w:rsid w:val="003F56DD"/>
    <w:rsid w:val="00403D2E"/>
    <w:rsid w:val="0040417B"/>
    <w:rsid w:val="00412EB1"/>
    <w:rsid w:val="00416DAF"/>
    <w:rsid w:val="0042480D"/>
    <w:rsid w:val="00424A0A"/>
    <w:rsid w:val="004277BB"/>
    <w:rsid w:val="004303F8"/>
    <w:rsid w:val="00430980"/>
    <w:rsid w:val="0043100C"/>
    <w:rsid w:val="00431CDF"/>
    <w:rsid w:val="00432705"/>
    <w:rsid w:val="00433F53"/>
    <w:rsid w:val="00437D49"/>
    <w:rsid w:val="00441520"/>
    <w:rsid w:val="00447716"/>
    <w:rsid w:val="004528AD"/>
    <w:rsid w:val="00453213"/>
    <w:rsid w:val="00455F67"/>
    <w:rsid w:val="004604F4"/>
    <w:rsid w:val="00461753"/>
    <w:rsid w:val="0046608B"/>
    <w:rsid w:val="00467C38"/>
    <w:rsid w:val="00473253"/>
    <w:rsid w:val="004751F2"/>
    <w:rsid w:val="00475B1B"/>
    <w:rsid w:val="0049350D"/>
    <w:rsid w:val="004938B0"/>
    <w:rsid w:val="0049463B"/>
    <w:rsid w:val="00497A69"/>
    <w:rsid w:val="004A4F27"/>
    <w:rsid w:val="004A652A"/>
    <w:rsid w:val="004A7DEB"/>
    <w:rsid w:val="004B231F"/>
    <w:rsid w:val="004C1125"/>
    <w:rsid w:val="004C17D6"/>
    <w:rsid w:val="004C4847"/>
    <w:rsid w:val="004D0862"/>
    <w:rsid w:val="004D1649"/>
    <w:rsid w:val="004D5385"/>
    <w:rsid w:val="004D7408"/>
    <w:rsid w:val="004E10E0"/>
    <w:rsid w:val="004E1ED0"/>
    <w:rsid w:val="004E4145"/>
    <w:rsid w:val="004E5B75"/>
    <w:rsid w:val="004F739B"/>
    <w:rsid w:val="004F7C0F"/>
    <w:rsid w:val="00501BB0"/>
    <w:rsid w:val="00502C89"/>
    <w:rsid w:val="00504260"/>
    <w:rsid w:val="0050486A"/>
    <w:rsid w:val="005057BF"/>
    <w:rsid w:val="0050660F"/>
    <w:rsid w:val="00507903"/>
    <w:rsid w:val="0052074F"/>
    <w:rsid w:val="00523AC9"/>
    <w:rsid w:val="0052507E"/>
    <w:rsid w:val="00530BB0"/>
    <w:rsid w:val="00530C58"/>
    <w:rsid w:val="0053525E"/>
    <w:rsid w:val="00537EA5"/>
    <w:rsid w:val="00540C34"/>
    <w:rsid w:val="00547573"/>
    <w:rsid w:val="00557FAB"/>
    <w:rsid w:val="0056017B"/>
    <w:rsid w:val="00562308"/>
    <w:rsid w:val="00563880"/>
    <w:rsid w:val="00564685"/>
    <w:rsid w:val="00570007"/>
    <w:rsid w:val="005807F2"/>
    <w:rsid w:val="00580F87"/>
    <w:rsid w:val="00585757"/>
    <w:rsid w:val="005A1EFC"/>
    <w:rsid w:val="005A379B"/>
    <w:rsid w:val="005B1ABF"/>
    <w:rsid w:val="005B3AEF"/>
    <w:rsid w:val="005B4252"/>
    <w:rsid w:val="005C0F48"/>
    <w:rsid w:val="005C1FAF"/>
    <w:rsid w:val="005C3BD8"/>
    <w:rsid w:val="005C5361"/>
    <w:rsid w:val="005C64DB"/>
    <w:rsid w:val="005C751B"/>
    <w:rsid w:val="005F5135"/>
    <w:rsid w:val="00600033"/>
    <w:rsid w:val="0061627F"/>
    <w:rsid w:val="00626F83"/>
    <w:rsid w:val="006334F4"/>
    <w:rsid w:val="006353BF"/>
    <w:rsid w:val="006362ED"/>
    <w:rsid w:val="00651C2C"/>
    <w:rsid w:val="0065504C"/>
    <w:rsid w:val="00657F36"/>
    <w:rsid w:val="00661EF8"/>
    <w:rsid w:val="00664109"/>
    <w:rsid w:val="00666B45"/>
    <w:rsid w:val="00691E12"/>
    <w:rsid w:val="00692CB3"/>
    <w:rsid w:val="00694D4B"/>
    <w:rsid w:val="0069625B"/>
    <w:rsid w:val="006A0ED8"/>
    <w:rsid w:val="006A36EC"/>
    <w:rsid w:val="006A3791"/>
    <w:rsid w:val="006A3CC0"/>
    <w:rsid w:val="006B41EC"/>
    <w:rsid w:val="006B6E08"/>
    <w:rsid w:val="006D36F1"/>
    <w:rsid w:val="006D4CAC"/>
    <w:rsid w:val="006E5683"/>
    <w:rsid w:val="006E57D6"/>
    <w:rsid w:val="006F6BAC"/>
    <w:rsid w:val="00705D4C"/>
    <w:rsid w:val="007325E0"/>
    <w:rsid w:val="00735E6A"/>
    <w:rsid w:val="007375C6"/>
    <w:rsid w:val="00737705"/>
    <w:rsid w:val="00746499"/>
    <w:rsid w:val="0074674C"/>
    <w:rsid w:val="007518FC"/>
    <w:rsid w:val="00754548"/>
    <w:rsid w:val="007606E9"/>
    <w:rsid w:val="00783017"/>
    <w:rsid w:val="007838ED"/>
    <w:rsid w:val="00785E39"/>
    <w:rsid w:val="0078642A"/>
    <w:rsid w:val="007911D3"/>
    <w:rsid w:val="007A2563"/>
    <w:rsid w:val="007A45D1"/>
    <w:rsid w:val="007A5C2D"/>
    <w:rsid w:val="007B15A5"/>
    <w:rsid w:val="007B3BEF"/>
    <w:rsid w:val="007C1935"/>
    <w:rsid w:val="007D6301"/>
    <w:rsid w:val="007E1B37"/>
    <w:rsid w:val="007E1C23"/>
    <w:rsid w:val="007E64CA"/>
    <w:rsid w:val="007E790C"/>
    <w:rsid w:val="007E7B9E"/>
    <w:rsid w:val="007E7CB0"/>
    <w:rsid w:val="00800D3F"/>
    <w:rsid w:val="00802D55"/>
    <w:rsid w:val="008040DD"/>
    <w:rsid w:val="008066A3"/>
    <w:rsid w:val="008068E1"/>
    <w:rsid w:val="00810226"/>
    <w:rsid w:val="0081335B"/>
    <w:rsid w:val="0081616A"/>
    <w:rsid w:val="00820342"/>
    <w:rsid w:val="00823BB7"/>
    <w:rsid w:val="008243AF"/>
    <w:rsid w:val="00824F5C"/>
    <w:rsid w:val="00833AB3"/>
    <w:rsid w:val="00834692"/>
    <w:rsid w:val="00835C59"/>
    <w:rsid w:val="00840C99"/>
    <w:rsid w:val="00841A99"/>
    <w:rsid w:val="00841B6C"/>
    <w:rsid w:val="00852FC7"/>
    <w:rsid w:val="008531BF"/>
    <w:rsid w:val="008553BA"/>
    <w:rsid w:val="00861210"/>
    <w:rsid w:val="00863E08"/>
    <w:rsid w:val="008649C7"/>
    <w:rsid w:val="008649EE"/>
    <w:rsid w:val="00867045"/>
    <w:rsid w:val="008709A9"/>
    <w:rsid w:val="00872858"/>
    <w:rsid w:val="0088199F"/>
    <w:rsid w:val="00893E7A"/>
    <w:rsid w:val="008A1957"/>
    <w:rsid w:val="008B04FD"/>
    <w:rsid w:val="008B754E"/>
    <w:rsid w:val="008C1202"/>
    <w:rsid w:val="008C4FBC"/>
    <w:rsid w:val="008D1693"/>
    <w:rsid w:val="008D449D"/>
    <w:rsid w:val="008D49AB"/>
    <w:rsid w:val="008D5793"/>
    <w:rsid w:val="008E0209"/>
    <w:rsid w:val="008F13E3"/>
    <w:rsid w:val="008F1665"/>
    <w:rsid w:val="00900E53"/>
    <w:rsid w:val="00903A3F"/>
    <w:rsid w:val="009135E7"/>
    <w:rsid w:val="00921992"/>
    <w:rsid w:val="00925FA2"/>
    <w:rsid w:val="00944957"/>
    <w:rsid w:val="00945320"/>
    <w:rsid w:val="00950EEE"/>
    <w:rsid w:val="0095307F"/>
    <w:rsid w:val="009535B4"/>
    <w:rsid w:val="00953F08"/>
    <w:rsid w:val="00954986"/>
    <w:rsid w:val="00957397"/>
    <w:rsid w:val="009604B7"/>
    <w:rsid w:val="0097424F"/>
    <w:rsid w:val="009761DD"/>
    <w:rsid w:val="00976254"/>
    <w:rsid w:val="00977C10"/>
    <w:rsid w:val="009914EA"/>
    <w:rsid w:val="009956C8"/>
    <w:rsid w:val="00995715"/>
    <w:rsid w:val="00996890"/>
    <w:rsid w:val="009A025D"/>
    <w:rsid w:val="009A41A2"/>
    <w:rsid w:val="009B5580"/>
    <w:rsid w:val="009B5CC9"/>
    <w:rsid w:val="009C090D"/>
    <w:rsid w:val="009C3F84"/>
    <w:rsid w:val="009C5119"/>
    <w:rsid w:val="009C786A"/>
    <w:rsid w:val="009D1045"/>
    <w:rsid w:val="009E3402"/>
    <w:rsid w:val="009E5465"/>
    <w:rsid w:val="009E6148"/>
    <w:rsid w:val="009F0B1F"/>
    <w:rsid w:val="009F1B77"/>
    <w:rsid w:val="009F33A6"/>
    <w:rsid w:val="009F6A41"/>
    <w:rsid w:val="009F72B1"/>
    <w:rsid w:val="00A06D58"/>
    <w:rsid w:val="00A13D11"/>
    <w:rsid w:val="00A20037"/>
    <w:rsid w:val="00A24E4A"/>
    <w:rsid w:val="00A268B9"/>
    <w:rsid w:val="00A30A1D"/>
    <w:rsid w:val="00A32DF0"/>
    <w:rsid w:val="00A41058"/>
    <w:rsid w:val="00A4122C"/>
    <w:rsid w:val="00A44798"/>
    <w:rsid w:val="00A44C05"/>
    <w:rsid w:val="00A50CF9"/>
    <w:rsid w:val="00A528EC"/>
    <w:rsid w:val="00A57B1F"/>
    <w:rsid w:val="00A615D8"/>
    <w:rsid w:val="00A7297D"/>
    <w:rsid w:val="00A8142C"/>
    <w:rsid w:val="00A81D54"/>
    <w:rsid w:val="00A82871"/>
    <w:rsid w:val="00A82BB3"/>
    <w:rsid w:val="00A94B97"/>
    <w:rsid w:val="00AA1ABA"/>
    <w:rsid w:val="00AA4DCE"/>
    <w:rsid w:val="00AB5616"/>
    <w:rsid w:val="00AC65DD"/>
    <w:rsid w:val="00AD080C"/>
    <w:rsid w:val="00AD23F4"/>
    <w:rsid w:val="00AE15E8"/>
    <w:rsid w:val="00AE3209"/>
    <w:rsid w:val="00AF1C3E"/>
    <w:rsid w:val="00AF3BFE"/>
    <w:rsid w:val="00AF442A"/>
    <w:rsid w:val="00B01976"/>
    <w:rsid w:val="00B04C8C"/>
    <w:rsid w:val="00B06576"/>
    <w:rsid w:val="00B10FBC"/>
    <w:rsid w:val="00B12736"/>
    <w:rsid w:val="00B12D23"/>
    <w:rsid w:val="00B13D13"/>
    <w:rsid w:val="00B20D7D"/>
    <w:rsid w:val="00B22AD9"/>
    <w:rsid w:val="00B2487C"/>
    <w:rsid w:val="00B26437"/>
    <w:rsid w:val="00B27CEA"/>
    <w:rsid w:val="00B342BA"/>
    <w:rsid w:val="00B42755"/>
    <w:rsid w:val="00B452D1"/>
    <w:rsid w:val="00B462EB"/>
    <w:rsid w:val="00B47D5D"/>
    <w:rsid w:val="00B505C0"/>
    <w:rsid w:val="00B57C73"/>
    <w:rsid w:val="00B600B2"/>
    <w:rsid w:val="00B6273A"/>
    <w:rsid w:val="00B64A08"/>
    <w:rsid w:val="00B64A49"/>
    <w:rsid w:val="00B72111"/>
    <w:rsid w:val="00B75301"/>
    <w:rsid w:val="00B76552"/>
    <w:rsid w:val="00B93E00"/>
    <w:rsid w:val="00B949E5"/>
    <w:rsid w:val="00B97395"/>
    <w:rsid w:val="00BA01ED"/>
    <w:rsid w:val="00BA783C"/>
    <w:rsid w:val="00BA7BAA"/>
    <w:rsid w:val="00BB48CF"/>
    <w:rsid w:val="00BC230C"/>
    <w:rsid w:val="00BC33ED"/>
    <w:rsid w:val="00BC7B78"/>
    <w:rsid w:val="00BC7F1E"/>
    <w:rsid w:val="00BD7201"/>
    <w:rsid w:val="00BE0D65"/>
    <w:rsid w:val="00BE17F6"/>
    <w:rsid w:val="00BE7222"/>
    <w:rsid w:val="00BF26AB"/>
    <w:rsid w:val="00BF6FAD"/>
    <w:rsid w:val="00C07E2C"/>
    <w:rsid w:val="00C15846"/>
    <w:rsid w:val="00C1645D"/>
    <w:rsid w:val="00C165BE"/>
    <w:rsid w:val="00C17702"/>
    <w:rsid w:val="00C25E4E"/>
    <w:rsid w:val="00C40130"/>
    <w:rsid w:val="00C4311F"/>
    <w:rsid w:val="00C4446A"/>
    <w:rsid w:val="00C46A3B"/>
    <w:rsid w:val="00C47730"/>
    <w:rsid w:val="00C51436"/>
    <w:rsid w:val="00C52FAB"/>
    <w:rsid w:val="00C548D2"/>
    <w:rsid w:val="00C54925"/>
    <w:rsid w:val="00C555E5"/>
    <w:rsid w:val="00C614D9"/>
    <w:rsid w:val="00C65E31"/>
    <w:rsid w:val="00C7017A"/>
    <w:rsid w:val="00C710A6"/>
    <w:rsid w:val="00C81A45"/>
    <w:rsid w:val="00C837F0"/>
    <w:rsid w:val="00C910D9"/>
    <w:rsid w:val="00C91B2F"/>
    <w:rsid w:val="00C9395F"/>
    <w:rsid w:val="00C945EB"/>
    <w:rsid w:val="00C97AE9"/>
    <w:rsid w:val="00CA2ACC"/>
    <w:rsid w:val="00CA2D58"/>
    <w:rsid w:val="00CA3761"/>
    <w:rsid w:val="00CA7103"/>
    <w:rsid w:val="00CB38D7"/>
    <w:rsid w:val="00CB52A8"/>
    <w:rsid w:val="00CB5D34"/>
    <w:rsid w:val="00CB5EC8"/>
    <w:rsid w:val="00CC41B5"/>
    <w:rsid w:val="00CD0FD8"/>
    <w:rsid w:val="00CD1E69"/>
    <w:rsid w:val="00CE7F4D"/>
    <w:rsid w:val="00CF78E3"/>
    <w:rsid w:val="00CF7CCD"/>
    <w:rsid w:val="00D040A0"/>
    <w:rsid w:val="00D05509"/>
    <w:rsid w:val="00D07E71"/>
    <w:rsid w:val="00D116D4"/>
    <w:rsid w:val="00D11AE9"/>
    <w:rsid w:val="00D126EF"/>
    <w:rsid w:val="00D1270F"/>
    <w:rsid w:val="00D229C6"/>
    <w:rsid w:val="00D25CC5"/>
    <w:rsid w:val="00D26A80"/>
    <w:rsid w:val="00D319E0"/>
    <w:rsid w:val="00D34355"/>
    <w:rsid w:val="00D36917"/>
    <w:rsid w:val="00D431FB"/>
    <w:rsid w:val="00D458D3"/>
    <w:rsid w:val="00D51DA6"/>
    <w:rsid w:val="00D630E6"/>
    <w:rsid w:val="00D639A0"/>
    <w:rsid w:val="00D67937"/>
    <w:rsid w:val="00D738CD"/>
    <w:rsid w:val="00D73AC6"/>
    <w:rsid w:val="00D74020"/>
    <w:rsid w:val="00D77440"/>
    <w:rsid w:val="00D85BFB"/>
    <w:rsid w:val="00D8758F"/>
    <w:rsid w:val="00D90610"/>
    <w:rsid w:val="00D923F9"/>
    <w:rsid w:val="00D9610C"/>
    <w:rsid w:val="00DB21BC"/>
    <w:rsid w:val="00DB7A2F"/>
    <w:rsid w:val="00DC0382"/>
    <w:rsid w:val="00DC15EF"/>
    <w:rsid w:val="00DD4167"/>
    <w:rsid w:val="00DD485F"/>
    <w:rsid w:val="00DD5BBC"/>
    <w:rsid w:val="00DD7F44"/>
    <w:rsid w:val="00DE4E7A"/>
    <w:rsid w:val="00DE5A07"/>
    <w:rsid w:val="00DF0DF3"/>
    <w:rsid w:val="00DF288B"/>
    <w:rsid w:val="00DF5470"/>
    <w:rsid w:val="00E02649"/>
    <w:rsid w:val="00E13E52"/>
    <w:rsid w:val="00E1564D"/>
    <w:rsid w:val="00E15CC0"/>
    <w:rsid w:val="00E2035D"/>
    <w:rsid w:val="00E214B7"/>
    <w:rsid w:val="00E26788"/>
    <w:rsid w:val="00E2754C"/>
    <w:rsid w:val="00E36BDC"/>
    <w:rsid w:val="00E423A7"/>
    <w:rsid w:val="00E4473D"/>
    <w:rsid w:val="00E44E2F"/>
    <w:rsid w:val="00E51099"/>
    <w:rsid w:val="00E609C6"/>
    <w:rsid w:val="00E6508D"/>
    <w:rsid w:val="00E67B35"/>
    <w:rsid w:val="00E71E10"/>
    <w:rsid w:val="00E81C29"/>
    <w:rsid w:val="00E84013"/>
    <w:rsid w:val="00E937C2"/>
    <w:rsid w:val="00E9444A"/>
    <w:rsid w:val="00E95B3A"/>
    <w:rsid w:val="00E96177"/>
    <w:rsid w:val="00E9795E"/>
    <w:rsid w:val="00EA298C"/>
    <w:rsid w:val="00EA7A77"/>
    <w:rsid w:val="00EB5223"/>
    <w:rsid w:val="00EC79A7"/>
    <w:rsid w:val="00ED41F7"/>
    <w:rsid w:val="00ED728C"/>
    <w:rsid w:val="00ED7E2E"/>
    <w:rsid w:val="00EE1A2E"/>
    <w:rsid w:val="00EE39D8"/>
    <w:rsid w:val="00EE7E6A"/>
    <w:rsid w:val="00EF1DAC"/>
    <w:rsid w:val="00EF46AB"/>
    <w:rsid w:val="00EF7650"/>
    <w:rsid w:val="00F03E46"/>
    <w:rsid w:val="00F06178"/>
    <w:rsid w:val="00F07814"/>
    <w:rsid w:val="00F10A78"/>
    <w:rsid w:val="00F10D53"/>
    <w:rsid w:val="00F11A39"/>
    <w:rsid w:val="00F20C5C"/>
    <w:rsid w:val="00F22E90"/>
    <w:rsid w:val="00F22ED1"/>
    <w:rsid w:val="00F36090"/>
    <w:rsid w:val="00F40DF5"/>
    <w:rsid w:val="00F478A3"/>
    <w:rsid w:val="00F56669"/>
    <w:rsid w:val="00F56B73"/>
    <w:rsid w:val="00F61169"/>
    <w:rsid w:val="00F63815"/>
    <w:rsid w:val="00F646E6"/>
    <w:rsid w:val="00F67C89"/>
    <w:rsid w:val="00F71559"/>
    <w:rsid w:val="00F83E75"/>
    <w:rsid w:val="00F86DA7"/>
    <w:rsid w:val="00F91238"/>
    <w:rsid w:val="00F96116"/>
    <w:rsid w:val="00F97629"/>
    <w:rsid w:val="00FB0E42"/>
    <w:rsid w:val="00FC5296"/>
    <w:rsid w:val="00FD516A"/>
    <w:rsid w:val="00FD51C0"/>
    <w:rsid w:val="00FE5977"/>
    <w:rsid w:val="00FE6A12"/>
    <w:rsid w:val="00FF50AF"/>
    <w:rsid w:val="01493DD0"/>
    <w:rsid w:val="03401E2C"/>
    <w:rsid w:val="08820EE5"/>
    <w:rsid w:val="08FB5803"/>
    <w:rsid w:val="0C6D4A62"/>
    <w:rsid w:val="0CA43CE5"/>
    <w:rsid w:val="0D3D46B9"/>
    <w:rsid w:val="0D53740F"/>
    <w:rsid w:val="0F620FA7"/>
    <w:rsid w:val="0FEF7AE6"/>
    <w:rsid w:val="11F45062"/>
    <w:rsid w:val="129E4058"/>
    <w:rsid w:val="133140D8"/>
    <w:rsid w:val="179E53FE"/>
    <w:rsid w:val="183100A9"/>
    <w:rsid w:val="1C061E07"/>
    <w:rsid w:val="1CF76BEA"/>
    <w:rsid w:val="1DB00010"/>
    <w:rsid w:val="204F6B7D"/>
    <w:rsid w:val="20E6571C"/>
    <w:rsid w:val="21793862"/>
    <w:rsid w:val="22947586"/>
    <w:rsid w:val="22FC1D98"/>
    <w:rsid w:val="23B720F8"/>
    <w:rsid w:val="28372304"/>
    <w:rsid w:val="2BAC1E16"/>
    <w:rsid w:val="2DF074F8"/>
    <w:rsid w:val="2DF960D9"/>
    <w:rsid w:val="33541176"/>
    <w:rsid w:val="35985603"/>
    <w:rsid w:val="35A8501C"/>
    <w:rsid w:val="35D959AE"/>
    <w:rsid w:val="38C516F8"/>
    <w:rsid w:val="3DF32817"/>
    <w:rsid w:val="3E345AAD"/>
    <w:rsid w:val="402D2B22"/>
    <w:rsid w:val="410D3EBC"/>
    <w:rsid w:val="42485A14"/>
    <w:rsid w:val="441512C2"/>
    <w:rsid w:val="45893A1E"/>
    <w:rsid w:val="46877B3F"/>
    <w:rsid w:val="46C2653A"/>
    <w:rsid w:val="47C7140C"/>
    <w:rsid w:val="4C0E3751"/>
    <w:rsid w:val="4D1A4A33"/>
    <w:rsid w:val="4DCB18E5"/>
    <w:rsid w:val="4E504AB6"/>
    <w:rsid w:val="4F474B71"/>
    <w:rsid w:val="50502E09"/>
    <w:rsid w:val="513671B6"/>
    <w:rsid w:val="517540F3"/>
    <w:rsid w:val="525C39CB"/>
    <w:rsid w:val="56194B96"/>
    <w:rsid w:val="562C52A9"/>
    <w:rsid w:val="5680589F"/>
    <w:rsid w:val="579F55B2"/>
    <w:rsid w:val="590D300D"/>
    <w:rsid w:val="59E74906"/>
    <w:rsid w:val="5A9A6CC0"/>
    <w:rsid w:val="5D2A1E11"/>
    <w:rsid w:val="5E1C67B7"/>
    <w:rsid w:val="5F340651"/>
    <w:rsid w:val="5F3D3D6E"/>
    <w:rsid w:val="649300C9"/>
    <w:rsid w:val="64F90980"/>
    <w:rsid w:val="65776B13"/>
    <w:rsid w:val="67515AD2"/>
    <w:rsid w:val="68B20507"/>
    <w:rsid w:val="68CC1F23"/>
    <w:rsid w:val="6B167FAF"/>
    <w:rsid w:val="6C054315"/>
    <w:rsid w:val="6D692991"/>
    <w:rsid w:val="6E1D1292"/>
    <w:rsid w:val="704A2732"/>
    <w:rsid w:val="71184536"/>
    <w:rsid w:val="72734A09"/>
    <w:rsid w:val="72E15E16"/>
    <w:rsid w:val="7357666F"/>
    <w:rsid w:val="74857C71"/>
    <w:rsid w:val="75AF058E"/>
    <w:rsid w:val="7ECF793D"/>
    <w:rsid w:val="7F824703"/>
    <w:rsid w:val="7F891C87"/>
    <w:rsid w:val="7FEB4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 w:locked="1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locked/>
    <w:uiPriority w:val="0"/>
    <w:pPr>
      <w:tabs>
        <w:tab w:val="left" w:pos="360"/>
      </w:tabs>
    </w:pPr>
    <w:rPr>
      <w:rFonts w:eastAsia="方正仿宋_GBK"/>
    </w:rPr>
  </w:style>
  <w:style w:type="paragraph" w:styleId="4">
    <w:name w:val="Balloon Text"/>
    <w:basedOn w:val="1"/>
    <w:link w:val="11"/>
    <w:semiHidden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uiPriority w:val="0"/>
    <w:rPr>
      <w:rFonts w:cs="Times New Roman"/>
    </w:rPr>
  </w:style>
  <w:style w:type="character" w:customStyle="1" w:styleId="11">
    <w:name w:val="批注框文本 Char"/>
    <w:link w:val="4"/>
    <w:locked/>
    <w:uiPriority w:val="0"/>
    <w:rPr>
      <w:kern w:val="2"/>
      <w:sz w:val="18"/>
    </w:rPr>
  </w:style>
  <w:style w:type="character" w:customStyle="1" w:styleId="12">
    <w:name w:val="页眉 Char"/>
    <w:link w:val="6"/>
    <w:locked/>
    <w:uiPriority w:val="0"/>
    <w:rPr>
      <w:kern w:val="2"/>
      <w:sz w:val="18"/>
    </w:rPr>
  </w:style>
  <w:style w:type="character" w:customStyle="1" w:styleId="13">
    <w:name w:val="页脚 Char"/>
    <w:link w:val="5"/>
    <w:locked/>
    <w:uiPriority w:val="0"/>
    <w:rPr>
      <w:kern w:val="2"/>
      <w:sz w:val="18"/>
    </w:rPr>
  </w:style>
  <w:style w:type="paragraph" w:customStyle="1" w:styleId="14">
    <w:name w:val="_Style 9"/>
    <w:basedOn w:val="1"/>
    <w:uiPriority w:val="0"/>
    <w:pPr>
      <w:widowControl/>
      <w:spacing w:after="160" w:line="240" w:lineRule="exact"/>
      <w:jc w:val="left"/>
    </w:pPr>
    <w:rPr>
      <w:kern w:val="0"/>
      <w:sz w:val="20"/>
      <w:szCs w:val="20"/>
      <w:lang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emf"/><Relationship Id="rId13" Type="http://schemas.openxmlformats.org/officeDocument/2006/relationships/image" Target="media/image8.emf"/><Relationship Id="rId12" Type="http://schemas.openxmlformats.org/officeDocument/2006/relationships/image" Target="media/image7.emf"/><Relationship Id="rId11" Type="http://schemas.openxmlformats.org/officeDocument/2006/relationships/image" Target="media/image6.emf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17</Pages>
  <Words>557</Words>
  <Characters>3180</Characters>
  <Lines>26</Lines>
  <Paragraphs>7</Paragraphs>
  <TotalTime>5</TotalTime>
  <ScaleCrop>false</ScaleCrop>
  <LinksUpToDate>false</LinksUpToDate>
  <CharactersWithSpaces>3730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2021-11-24T03:01:00Z</dcterms:created>
  <dc:creator>asus2</dc:creator>
  <cp:lastModifiedBy>刘东</cp:lastModifiedBy>
  <cp:lastPrinted>2021-11-24T02:33:00Z</cp:lastPrinted>
  <dcterms:modified xsi:type="dcterms:W3CDTF">2021-12-20T07:05:12Z</dcterms:modified>
  <dc:title>北碚府函〔2017〕号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D8CE60E1BA9E472787411CF40CE8AF38</vt:lpwstr>
  </property>
</Properties>
</file>