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检查时间：2023年08月15日 - 2023年09月14日。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50"/>
        <w:gridCol w:w="2144"/>
        <w:gridCol w:w="1620"/>
        <w:gridCol w:w="2055"/>
        <w:gridCol w:w="16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84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重庆市北碚区恒丰农业生产资料有限公司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重庆市北碚区恒丰农业生产资料有限公司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2023-08-28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北碚区黄春江农资经营部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2023-09-12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北碚区宇柏农资经营部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北碚区幺店子农资经营部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2023-09-12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重庆润物农资有限责任公司偏岩一店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北碚区农之友农资经营部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北碚区艳子农资经营部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北碚区芳圆农资经营部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北碚龙刚兽药店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重庆瑞鹏肖氏宠物医院有限公司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2023-08-24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孙仁惠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乳品质量安全生鲜乳收购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乳品质量安全奶畜养殖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重庆瑞派名望启航动物医院有限公司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2023-08-24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吴景成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北碚区汤姆宠物服务馆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2023-08-24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重庆市苓茏苑农业开发有限公司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重庆韵致生态农业有限公司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重庆立栗蔬菜种植专业合作社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黄玲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北碚区歇马镇江周果树种植场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重庆云朵农业开发有限公司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重庆杨奇峰葡萄种植股份合作社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重庆雅森园林景观设计工程有限公司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重庆何前云农业开发有限公司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重庆十八号农业专业合作社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重庆市北碚区静观花木园林有限公司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重庆双润蔬菜专业合作社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重庆诗进葡萄种植股份合作社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重庆傲欣农业有限公司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重庆市平耀果蔬种植股份合作社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谭学海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重庆市北碚区长生桥蔬菜有限公司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重庆市北碚区绿桥蔬菜种植场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重庆映卉果蔬种植专业合作社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2023-09-12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2023-08-22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2023-08-18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农机跨区作业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2023-08-18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农机跨区作业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2023-09-12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重庆市北碚区童家溪镇(所辖区域)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2023-09-14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2023-08-18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2023-08-17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2023-09-07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2023-09-07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2023-08-21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2023-08-17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重庆市北碚区天府镇(所辖区域)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2023-09-13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2023-08-15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2023-08-30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2023-09-06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p>
      <w:pPr>
        <w:rPr>
          <w:rFonts w:hint="eastAsia"/>
        </w:rPr>
      </w:pPr>
    </w:p>
    <w:p/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D"/>
    <w:rsid w:val="0019600D"/>
    <w:rsid w:val="00381C10"/>
    <w:rsid w:val="0041570B"/>
    <w:rsid w:val="0042701D"/>
    <w:rsid w:val="007B73F4"/>
    <w:rsid w:val="00C116E0"/>
    <w:rsid w:val="125A29F0"/>
    <w:rsid w:val="228B5C73"/>
    <w:rsid w:val="2AE067C8"/>
    <w:rsid w:val="2E2A177D"/>
    <w:rsid w:val="476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15</TotalTime>
  <ScaleCrop>false</ScaleCrop>
  <LinksUpToDate>false</LinksUpToDate>
  <CharactersWithSpaces>494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2022-06-13T07:28:00Z</dcterms:created>
  <dc:creator>小 民哥</dc:creator>
  <cp:lastModifiedBy>Administrator</cp:lastModifiedBy>
  <cp:lastPrinted>2023-09-14T07:49:29Z</cp:lastPrinted>
  <dcterms:modified xsi:type="dcterms:W3CDTF">2023-09-14T07:59:57Z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1A1886C851A84AE2AD17584102BCAE4C</vt:lpwstr>
  </property>
</Properties>
</file>