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 w:lineRule="auto"/>
        <w:jc w:val="center"/>
      </w:pPr>
      <w:r>
        <w:rPr>
          <w:rFonts w:hint="eastAsia" w:ascii="宋体" w:hAnsi="宋体"/>
          <w:color w:val="000000"/>
          <w:sz w:val="32"/>
          <w:szCs w:val="32"/>
        </w:rPr>
        <w:t>目录</w:t>
      </w:r>
      <w:r>
        <w:rPr>
          <w:rFonts w:ascii="宋体" w:hAnsi="宋体"/>
          <w:color w:val="000000"/>
          <w:sz w:val="32"/>
          <w:szCs w:val="32"/>
        </w:rPr>
        <w:fldChar w:fldCharType="begin"/>
      </w:r>
      <w:r>
        <w:rPr>
          <w:rFonts w:hint="eastAsia" w:ascii="宋体" w:hAnsi="宋体"/>
          <w:color w:val="000000"/>
          <w:sz w:val="32"/>
          <w:szCs w:val="32"/>
        </w:rPr>
        <w:instrText xml:space="preserve">TOC \o "1-3" \h \z \u</w:instrText>
      </w:r>
      <w:r>
        <w:rPr>
          <w:rFonts w:ascii="宋体" w:hAnsi="宋体"/>
          <w:color w:val="000000"/>
          <w:sz w:val="32"/>
          <w:szCs w:val="32"/>
        </w:rPr>
        <w:fldChar w:fldCharType="separate"/>
      </w:r>
    </w:p>
    <w:p>
      <w:pPr>
        <w:pStyle w:val="13"/>
        <w:tabs>
          <w:tab w:val="right" w:leader="dot" w:pos="8947"/>
        </w:tabs>
        <w:rPr>
          <w:rFonts w:asciiTheme="minorHAnsi" w:hAnsiTheme="minorHAnsi" w:eastAsiaTheme="minorEastAsia" w:cstheme="minorBidi"/>
        </w:rPr>
      </w:pPr>
      <w:r>
        <w:fldChar w:fldCharType="begin"/>
      </w:r>
      <w:r>
        <w:instrText xml:space="preserve"> HYPERLINK \l "_Toc18397386" </w:instrText>
      </w:r>
      <w:r>
        <w:fldChar w:fldCharType="separate"/>
      </w:r>
      <w:r>
        <w:rPr>
          <w:rStyle w:val="23"/>
          <w:rFonts w:hint="eastAsia"/>
        </w:rPr>
        <w:t>第一部分：报告摘要</w:t>
      </w:r>
      <w:r>
        <w:tab/>
      </w:r>
      <w:r>
        <w:fldChar w:fldCharType="begin"/>
      </w:r>
      <w:r>
        <w:instrText xml:space="preserve"> PAGEREF _Toc18397386 \h </w:instrText>
      </w:r>
      <w:r>
        <w:fldChar w:fldCharType="separate"/>
      </w:r>
      <w:r>
        <w:t>1</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"_Toc18397387" </w:instrText>
      </w:r>
      <w:r>
        <w:fldChar w:fldCharType="separate"/>
      </w:r>
      <w:r>
        <w:rPr>
          <w:rStyle w:val="23"/>
          <w:rFonts w:hint="eastAsia"/>
        </w:rPr>
        <w:t>一、项目基本情况</w:t>
      </w:r>
      <w:r>
        <w:tab/>
      </w:r>
      <w:r>
        <w:fldChar w:fldCharType="begin"/>
      </w:r>
      <w:r>
        <w:instrText xml:space="preserve"> PAGEREF _Toc18397387 \h </w:instrText>
      </w:r>
      <w:r>
        <w:fldChar w:fldCharType="separate"/>
      </w:r>
      <w:r>
        <w:t>1</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"_Toc18397388" </w:instrText>
      </w:r>
      <w:r>
        <w:fldChar w:fldCharType="separate"/>
      </w:r>
      <w:r>
        <w:rPr>
          <w:rStyle w:val="23"/>
          <w:rFonts w:hint="eastAsia"/>
        </w:rPr>
        <w:t>二、绩效评价结论</w:t>
      </w:r>
      <w:r>
        <w:tab/>
      </w:r>
      <w:r>
        <w:fldChar w:fldCharType="begin"/>
      </w:r>
      <w:r>
        <w:instrText xml:space="preserve"> PAGEREF _Toc18397388 \h </w:instrText>
      </w:r>
      <w:r>
        <w:fldChar w:fldCharType="separate"/>
      </w:r>
      <w:r>
        <w:t>1</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"_Toc18397389" </w:instrText>
      </w:r>
      <w:r>
        <w:fldChar w:fldCharType="separate"/>
      </w:r>
      <w:r>
        <w:rPr>
          <w:rStyle w:val="23"/>
          <w:rFonts w:hint="eastAsia"/>
        </w:rPr>
        <w:t>三、存在的问题及原因分析</w:t>
      </w:r>
      <w:r>
        <w:tab/>
      </w:r>
      <w:r>
        <w:fldChar w:fldCharType="begin"/>
      </w:r>
      <w:r>
        <w:instrText xml:space="preserve"> PAGEREF _Toc18397389 \h </w:instrText>
      </w:r>
      <w:r>
        <w:fldChar w:fldCharType="separate"/>
      </w:r>
      <w:r>
        <w:t>2</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"_Toc18397390" </w:instrText>
      </w:r>
      <w:r>
        <w:fldChar w:fldCharType="separate"/>
      </w:r>
      <w:r>
        <w:rPr>
          <w:rStyle w:val="23"/>
          <w:rFonts w:hint="eastAsia"/>
        </w:rPr>
        <w:t>四、对策及建议</w:t>
      </w:r>
      <w:r>
        <w:tab/>
      </w:r>
      <w:r>
        <w:fldChar w:fldCharType="begin"/>
      </w:r>
      <w:r>
        <w:instrText xml:space="preserve"> PAGEREF _Toc18397390 \h </w:instrText>
      </w:r>
      <w:r>
        <w:fldChar w:fldCharType="separate"/>
      </w:r>
      <w:r>
        <w:t>3</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"_Toc18397391" </w:instrText>
      </w:r>
      <w:r>
        <w:fldChar w:fldCharType="separate"/>
      </w:r>
      <w:r>
        <w:rPr>
          <w:rStyle w:val="23"/>
          <w:rFonts w:hint="eastAsia"/>
        </w:rPr>
        <w:t>第二部分：报告正文</w:t>
      </w:r>
      <w:r>
        <w:tab/>
      </w:r>
      <w:r>
        <w:fldChar w:fldCharType="begin"/>
      </w:r>
      <w:r>
        <w:instrText xml:space="preserve"> PAGEREF _Toc18397391 \h </w:instrText>
      </w:r>
      <w:r>
        <w:fldChar w:fldCharType="separate"/>
      </w:r>
      <w:r>
        <w:t>4</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"_Toc18397392" </w:instrText>
      </w:r>
      <w:r>
        <w:fldChar w:fldCharType="separate"/>
      </w:r>
      <w:r>
        <w:rPr>
          <w:rStyle w:val="23"/>
          <w:rFonts w:hint="eastAsia"/>
        </w:rPr>
        <w:t>一、绩效评价项目基本情况</w:t>
      </w:r>
      <w:r>
        <w:tab/>
      </w:r>
      <w:r>
        <w:fldChar w:fldCharType="begin"/>
      </w:r>
      <w:r>
        <w:instrText xml:space="preserve"> PAGEREF _Toc18397392 \h </w:instrText>
      </w:r>
      <w:r>
        <w:fldChar w:fldCharType="separate"/>
      </w:r>
      <w:r>
        <w:t>4</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"_Toc18397393" </w:instrText>
      </w:r>
      <w:r>
        <w:fldChar w:fldCharType="separate"/>
      </w:r>
      <w:r>
        <w:rPr>
          <w:rStyle w:val="23"/>
          <w:rFonts w:hint="eastAsia"/>
        </w:rPr>
        <w:t>（一）项目名称</w:t>
      </w:r>
      <w:r>
        <w:tab/>
      </w:r>
      <w:r>
        <w:fldChar w:fldCharType="begin"/>
      </w:r>
      <w:r>
        <w:instrText xml:space="preserve"> PAGEREF _Toc18397393 \h </w:instrText>
      </w:r>
      <w:r>
        <w:fldChar w:fldCharType="separate"/>
      </w:r>
      <w:r>
        <w:t>4</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"_Toc18397394" </w:instrText>
      </w:r>
      <w:r>
        <w:fldChar w:fldCharType="separate"/>
      </w:r>
      <w:r>
        <w:rPr>
          <w:rStyle w:val="23"/>
          <w:rFonts w:hint="eastAsia"/>
        </w:rPr>
        <w:t>（二）项目范围</w:t>
      </w:r>
      <w:r>
        <w:tab/>
      </w:r>
      <w:r>
        <w:fldChar w:fldCharType="begin"/>
      </w:r>
      <w:r>
        <w:instrText xml:space="preserve"> PAGEREF _Toc18397394 \h </w:instrText>
      </w:r>
      <w:r>
        <w:fldChar w:fldCharType="separate"/>
      </w:r>
      <w:r>
        <w:t>4</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"_Toc18397395" </w:instrText>
      </w:r>
      <w:r>
        <w:fldChar w:fldCharType="separate"/>
      </w:r>
      <w:r>
        <w:rPr>
          <w:rStyle w:val="23"/>
          <w:rFonts w:hint="eastAsia" w:ascii="宋体" w:hAnsi="宋体"/>
        </w:rPr>
        <w:t>（三）项目资金主要使用范围</w:t>
      </w:r>
      <w:r>
        <w:tab/>
      </w:r>
      <w:r>
        <w:fldChar w:fldCharType="begin"/>
      </w:r>
      <w:r>
        <w:instrText xml:space="preserve"> PAGEREF _Toc18397395 \h </w:instrText>
      </w:r>
      <w:r>
        <w:fldChar w:fldCharType="separate"/>
      </w:r>
      <w:r>
        <w:t>4</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"_Toc18397396" </w:instrText>
      </w:r>
      <w:r>
        <w:fldChar w:fldCharType="separate"/>
      </w:r>
      <w:r>
        <w:rPr>
          <w:rStyle w:val="23"/>
          <w:rFonts w:hint="eastAsia"/>
        </w:rPr>
        <w:t>（四）项目实施情况</w:t>
      </w:r>
      <w:r>
        <w:tab/>
      </w:r>
      <w:r>
        <w:fldChar w:fldCharType="begin"/>
      </w:r>
      <w:r>
        <w:instrText xml:space="preserve"> PAGEREF _Toc18397396 \h </w:instrText>
      </w:r>
      <w:r>
        <w:fldChar w:fldCharType="separate"/>
      </w:r>
      <w:r>
        <w:t>4</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"_Toc18397397" </w:instrText>
      </w:r>
      <w:r>
        <w:fldChar w:fldCharType="separate"/>
      </w:r>
      <w:r>
        <w:rPr>
          <w:rStyle w:val="23"/>
          <w:rFonts w:hint="eastAsia"/>
        </w:rPr>
        <w:t>（五）项目目标</w:t>
      </w:r>
      <w:r>
        <w:tab/>
      </w:r>
      <w:r>
        <w:fldChar w:fldCharType="begin"/>
      </w:r>
      <w:r>
        <w:instrText xml:space="preserve"> PAGEREF _Toc18397397 \h </w:instrText>
      </w:r>
      <w:r>
        <w:fldChar w:fldCharType="separate"/>
      </w:r>
      <w:r>
        <w:t>5</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"_Toc18397398" </w:instrText>
      </w:r>
      <w:r>
        <w:fldChar w:fldCharType="separate"/>
      </w:r>
      <w:r>
        <w:rPr>
          <w:rStyle w:val="23"/>
          <w:rFonts w:hint="eastAsia"/>
        </w:rPr>
        <w:t>二、绩效评价的组织实施</w:t>
      </w:r>
      <w:r>
        <w:tab/>
      </w:r>
      <w:r>
        <w:fldChar w:fldCharType="begin"/>
      </w:r>
      <w:r>
        <w:instrText xml:space="preserve"> PAGEREF _Toc18397398 \h </w:instrText>
      </w:r>
      <w:r>
        <w:fldChar w:fldCharType="separate"/>
      </w:r>
      <w:r>
        <w:t>5</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"_Toc18397399" </w:instrText>
      </w:r>
      <w:r>
        <w:fldChar w:fldCharType="separate"/>
      </w:r>
      <w:r>
        <w:rPr>
          <w:rStyle w:val="23"/>
          <w:rFonts w:hint="eastAsia"/>
        </w:rPr>
        <w:t>（一）绩效评价目的</w:t>
      </w:r>
      <w:r>
        <w:tab/>
      </w:r>
      <w:r>
        <w:fldChar w:fldCharType="begin"/>
      </w:r>
      <w:r>
        <w:instrText xml:space="preserve"> PAGEREF _Toc18397399 \h </w:instrText>
      </w:r>
      <w:r>
        <w:fldChar w:fldCharType="separate"/>
      </w:r>
      <w:r>
        <w:t>5</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"_Toc18397400" </w:instrText>
      </w:r>
      <w:r>
        <w:fldChar w:fldCharType="separate"/>
      </w:r>
      <w:r>
        <w:rPr>
          <w:rStyle w:val="23"/>
          <w:rFonts w:hint="eastAsia"/>
        </w:rPr>
        <w:t>（二）绩效评价组织管理</w:t>
      </w:r>
      <w:r>
        <w:tab/>
      </w:r>
      <w:r>
        <w:fldChar w:fldCharType="begin"/>
      </w:r>
      <w:r>
        <w:instrText xml:space="preserve"> PAGEREF _Toc18397400 \h </w:instrText>
      </w:r>
      <w:r>
        <w:fldChar w:fldCharType="separate"/>
      </w:r>
      <w:r>
        <w:t>5</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"_Toc18397401" </w:instrText>
      </w:r>
      <w:r>
        <w:fldChar w:fldCharType="separate"/>
      </w:r>
      <w:r>
        <w:rPr>
          <w:rStyle w:val="23"/>
          <w:rFonts w:hint="eastAsia"/>
        </w:rPr>
        <w:t>（三）绩效评价重点内容</w:t>
      </w:r>
      <w:r>
        <w:tab/>
      </w:r>
      <w:r>
        <w:fldChar w:fldCharType="begin"/>
      </w:r>
      <w:r>
        <w:instrText xml:space="preserve"> PAGEREF _Toc18397401 \h </w:instrText>
      </w:r>
      <w:r>
        <w:fldChar w:fldCharType="separate"/>
      </w:r>
      <w:r>
        <w:t>5</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"_Toc18397402" </w:instrText>
      </w:r>
      <w:r>
        <w:fldChar w:fldCharType="separate"/>
      </w:r>
      <w:r>
        <w:rPr>
          <w:rStyle w:val="23"/>
          <w:rFonts w:hint="eastAsia"/>
        </w:rPr>
        <w:t>（四）绩效评价主要依据</w:t>
      </w:r>
      <w:r>
        <w:tab/>
      </w:r>
      <w:r>
        <w:fldChar w:fldCharType="begin"/>
      </w:r>
      <w:r>
        <w:instrText xml:space="preserve"> PAGEREF _Toc18397402 \h </w:instrText>
      </w:r>
      <w:r>
        <w:fldChar w:fldCharType="separate"/>
      </w:r>
      <w:r>
        <w:t>5</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"_Toc18397403" </w:instrText>
      </w:r>
      <w:r>
        <w:fldChar w:fldCharType="separate"/>
      </w:r>
      <w:r>
        <w:rPr>
          <w:rStyle w:val="23"/>
          <w:rFonts w:hint="eastAsia"/>
        </w:rPr>
        <w:t>（五）绩效评价基本程序</w:t>
      </w:r>
      <w:r>
        <w:tab/>
      </w:r>
      <w:r>
        <w:fldChar w:fldCharType="begin"/>
      </w:r>
      <w:r>
        <w:instrText xml:space="preserve"> PAGEREF _Toc18397403 \h </w:instrText>
      </w:r>
      <w:r>
        <w:fldChar w:fldCharType="separate"/>
      </w:r>
      <w:r>
        <w:t>6</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"_Toc18397404" </w:instrText>
      </w:r>
      <w:r>
        <w:fldChar w:fldCharType="separate"/>
      </w:r>
      <w:r>
        <w:rPr>
          <w:rStyle w:val="23"/>
          <w:rFonts w:hint="eastAsia"/>
        </w:rPr>
        <w:t>三、绩效评价指标体系、评价标准和评价方法</w:t>
      </w:r>
      <w:r>
        <w:tab/>
      </w:r>
      <w:r>
        <w:fldChar w:fldCharType="begin"/>
      </w:r>
      <w:r>
        <w:instrText xml:space="preserve"> PAGEREF _Toc18397404 \h </w:instrText>
      </w:r>
      <w:r>
        <w:fldChar w:fldCharType="separate"/>
      </w:r>
      <w:r>
        <w:t>7</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"_Toc18397405" </w:instrText>
      </w:r>
      <w:r>
        <w:fldChar w:fldCharType="separate"/>
      </w:r>
      <w:r>
        <w:rPr>
          <w:rStyle w:val="23"/>
          <w:rFonts w:hint="eastAsia"/>
        </w:rPr>
        <w:t>（一）绩效评价指标体系及评价标准</w:t>
      </w:r>
      <w:r>
        <w:tab/>
      </w:r>
      <w:r>
        <w:fldChar w:fldCharType="begin"/>
      </w:r>
      <w:r>
        <w:instrText xml:space="preserve"> PAGEREF _Toc18397405 \h </w:instrText>
      </w:r>
      <w:r>
        <w:fldChar w:fldCharType="separate"/>
      </w:r>
      <w:r>
        <w:t>7</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"_Toc18397406" </w:instrText>
      </w:r>
      <w:r>
        <w:fldChar w:fldCharType="separate"/>
      </w:r>
      <w:r>
        <w:rPr>
          <w:rStyle w:val="23"/>
          <w:rFonts w:hint="eastAsia"/>
        </w:rPr>
        <w:t>（二）绩效评价方法</w:t>
      </w:r>
      <w:r>
        <w:tab/>
      </w:r>
      <w:r>
        <w:fldChar w:fldCharType="begin"/>
      </w:r>
      <w:r>
        <w:instrText xml:space="preserve"> PAGEREF _Toc18397406 \h </w:instrText>
      </w:r>
      <w:r>
        <w:fldChar w:fldCharType="separate"/>
      </w:r>
      <w:r>
        <w:t>7</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"_Toc18397407" </w:instrText>
      </w:r>
      <w:r>
        <w:fldChar w:fldCharType="separate"/>
      </w:r>
      <w:r>
        <w:rPr>
          <w:rStyle w:val="23"/>
          <w:rFonts w:hint="eastAsia"/>
        </w:rPr>
        <w:t>四、项目基本情况</w:t>
      </w:r>
      <w:r>
        <w:tab/>
      </w:r>
      <w:r>
        <w:fldChar w:fldCharType="begin"/>
      </w:r>
      <w:r>
        <w:instrText xml:space="preserve"> PAGEREF _Toc18397407 \h </w:instrText>
      </w:r>
      <w:r>
        <w:fldChar w:fldCharType="separate"/>
      </w:r>
      <w:r>
        <w:t>8</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"_Toc18397408" </w:instrText>
      </w:r>
      <w:r>
        <w:fldChar w:fldCharType="separate"/>
      </w:r>
      <w:r>
        <w:rPr>
          <w:rStyle w:val="23"/>
          <w:rFonts w:hint="eastAsia"/>
        </w:rPr>
        <w:t>（一）项目实施及完成情况</w:t>
      </w:r>
      <w:r>
        <w:tab/>
      </w:r>
      <w:r>
        <w:fldChar w:fldCharType="begin"/>
      </w:r>
      <w:r>
        <w:instrText xml:space="preserve"> PAGEREF _Toc18397408 \h </w:instrText>
      </w:r>
      <w:r>
        <w:fldChar w:fldCharType="separate"/>
      </w:r>
      <w:r>
        <w:t>8</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"_Toc18397409" </w:instrText>
      </w:r>
      <w:r>
        <w:fldChar w:fldCharType="separate"/>
      </w:r>
      <w:r>
        <w:rPr>
          <w:rStyle w:val="23"/>
          <w:rFonts w:hint="eastAsia"/>
        </w:rPr>
        <w:t>（二）资金到位、使用、结余情况</w:t>
      </w:r>
      <w:r>
        <w:tab/>
      </w:r>
      <w:r>
        <w:fldChar w:fldCharType="begin"/>
      </w:r>
      <w:r>
        <w:instrText xml:space="preserve"> PAGEREF _Toc18397409 \h </w:instrText>
      </w:r>
      <w:r>
        <w:fldChar w:fldCharType="separate"/>
      </w:r>
      <w:r>
        <w:t>9</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"_Toc18397410" </w:instrText>
      </w:r>
      <w:r>
        <w:fldChar w:fldCharType="separate"/>
      </w:r>
      <w:r>
        <w:rPr>
          <w:rStyle w:val="23"/>
          <w:rFonts w:hint="eastAsia"/>
        </w:rPr>
        <w:t>五、评价与分析</w:t>
      </w:r>
      <w:r>
        <w:tab/>
      </w:r>
      <w:r>
        <w:fldChar w:fldCharType="begin"/>
      </w:r>
      <w:r>
        <w:instrText xml:space="preserve"> PAGEREF _Toc18397410 \h </w:instrText>
      </w:r>
      <w:r>
        <w:fldChar w:fldCharType="separate"/>
      </w:r>
      <w:r>
        <w:t>10</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"_Toc18397411" </w:instrText>
      </w:r>
      <w:r>
        <w:fldChar w:fldCharType="separate"/>
      </w:r>
      <w:r>
        <w:rPr>
          <w:rStyle w:val="23"/>
          <w:rFonts w:hint="eastAsia"/>
        </w:rPr>
        <w:t>（一）项目产出</w:t>
      </w:r>
      <w:r>
        <w:tab/>
      </w:r>
      <w:r>
        <w:fldChar w:fldCharType="begin"/>
      </w:r>
      <w:r>
        <w:instrText xml:space="preserve"> PAGEREF _Toc18397411 \h </w:instrText>
      </w:r>
      <w:r>
        <w:fldChar w:fldCharType="separate"/>
      </w:r>
      <w:r>
        <w:t>10</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"_Toc18397412" </w:instrText>
      </w:r>
      <w:r>
        <w:fldChar w:fldCharType="separate"/>
      </w:r>
      <w:r>
        <w:rPr>
          <w:rStyle w:val="23"/>
          <w:rFonts w:hint="eastAsia"/>
        </w:rPr>
        <w:t>（二）项目效益</w:t>
      </w:r>
      <w:r>
        <w:tab/>
      </w:r>
      <w:r>
        <w:fldChar w:fldCharType="begin"/>
      </w:r>
      <w:r>
        <w:instrText xml:space="preserve"> PAGEREF _Toc18397412 \h </w:instrText>
      </w:r>
      <w:r>
        <w:fldChar w:fldCharType="separate"/>
      </w:r>
      <w:r>
        <w:t>10</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"_Toc18397413" </w:instrText>
      </w:r>
      <w:r>
        <w:fldChar w:fldCharType="separate"/>
      </w:r>
      <w:r>
        <w:rPr>
          <w:rStyle w:val="23"/>
          <w:rFonts w:hint="eastAsia"/>
        </w:rPr>
        <w:t>（三）满意度</w:t>
      </w:r>
      <w:r>
        <w:tab/>
      </w:r>
      <w:r>
        <w:fldChar w:fldCharType="begin"/>
      </w:r>
      <w:r>
        <w:instrText xml:space="preserve"> PAGEREF _Toc18397413 \h </w:instrText>
      </w:r>
      <w:r>
        <w:fldChar w:fldCharType="separate"/>
      </w:r>
      <w:r>
        <w:t>11</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"_Toc18397414" </w:instrText>
      </w:r>
      <w:r>
        <w:fldChar w:fldCharType="separate"/>
      </w:r>
      <w:r>
        <w:rPr>
          <w:rStyle w:val="23"/>
          <w:rFonts w:hint="eastAsia"/>
        </w:rPr>
        <w:t>（四）项目管理</w:t>
      </w:r>
      <w:r>
        <w:tab/>
      </w:r>
      <w:r>
        <w:fldChar w:fldCharType="begin"/>
      </w:r>
      <w:r>
        <w:instrText xml:space="preserve"> PAGEREF _Toc18397414 \h </w:instrText>
      </w:r>
      <w:r>
        <w:fldChar w:fldCharType="separate"/>
      </w:r>
      <w:r>
        <w:t>12</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"_Toc18397415" </w:instrText>
      </w:r>
      <w:r>
        <w:fldChar w:fldCharType="separate"/>
      </w:r>
      <w:r>
        <w:rPr>
          <w:rStyle w:val="23"/>
          <w:rFonts w:hint="eastAsia" w:ascii="宋体" w:hAnsi="宋体"/>
        </w:rPr>
        <w:t>六、总体结论</w:t>
      </w:r>
      <w:r>
        <w:tab/>
      </w:r>
      <w:r>
        <w:fldChar w:fldCharType="begin"/>
      </w:r>
      <w:r>
        <w:instrText xml:space="preserve"> PAGEREF _Toc18397415 \h </w:instrText>
      </w:r>
      <w:r>
        <w:fldChar w:fldCharType="separate"/>
      </w:r>
      <w:r>
        <w:t>14</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"_Toc18397416" </w:instrText>
      </w:r>
      <w:r>
        <w:fldChar w:fldCharType="separate"/>
      </w:r>
      <w:r>
        <w:rPr>
          <w:rStyle w:val="23"/>
          <w:rFonts w:hint="eastAsia"/>
        </w:rPr>
        <w:t>（一）评分等级</w:t>
      </w:r>
      <w:r>
        <w:tab/>
      </w:r>
      <w:r>
        <w:fldChar w:fldCharType="begin"/>
      </w:r>
      <w:r>
        <w:instrText xml:space="preserve"> PAGEREF _Toc18397416 \h </w:instrText>
      </w:r>
      <w:r>
        <w:fldChar w:fldCharType="separate"/>
      </w:r>
      <w:r>
        <w:t>14</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"_Toc18397417" </w:instrText>
      </w:r>
      <w:r>
        <w:fldChar w:fldCharType="separate"/>
      </w:r>
      <w:r>
        <w:rPr>
          <w:rStyle w:val="23"/>
          <w:rFonts w:hint="eastAsia"/>
        </w:rPr>
        <w:t>（二）存在的问题及原因分析</w:t>
      </w:r>
      <w:r>
        <w:tab/>
      </w:r>
      <w:r>
        <w:fldChar w:fldCharType="begin"/>
      </w:r>
      <w:r>
        <w:instrText xml:space="preserve"> PAGEREF _Toc18397417 \h </w:instrText>
      </w:r>
      <w:r>
        <w:fldChar w:fldCharType="separate"/>
      </w:r>
      <w:r>
        <w:t>14</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"_Toc18397418" </w:instrText>
      </w:r>
      <w:r>
        <w:fldChar w:fldCharType="separate"/>
      </w:r>
      <w:r>
        <w:rPr>
          <w:rStyle w:val="23"/>
          <w:rFonts w:hint="eastAsia" w:ascii="宋体" w:hAnsi="宋体"/>
        </w:rPr>
        <w:t>七、对策与建议</w:t>
      </w:r>
      <w:r>
        <w:tab/>
      </w:r>
      <w:r>
        <w:fldChar w:fldCharType="begin"/>
      </w:r>
      <w:r>
        <w:instrText xml:space="preserve"> PAGEREF _Toc18397418 \h </w:instrText>
      </w:r>
      <w:r>
        <w:fldChar w:fldCharType="separate"/>
      </w:r>
      <w:r>
        <w:t>15</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"_Toc18397419" </w:instrText>
      </w:r>
      <w:r>
        <w:fldChar w:fldCharType="separate"/>
      </w:r>
      <w:r>
        <w:rPr>
          <w:rStyle w:val="23"/>
          <w:rFonts w:hint="eastAsia"/>
        </w:rPr>
        <w:t>（一）加快北碚区乡镇污水处理设施建设及改造</w:t>
      </w:r>
      <w:r>
        <w:tab/>
      </w:r>
      <w:r>
        <w:fldChar w:fldCharType="begin"/>
      </w:r>
      <w:r>
        <w:instrText xml:space="preserve"> PAGEREF _Toc18397419 \h </w:instrText>
      </w:r>
      <w:r>
        <w:fldChar w:fldCharType="separate"/>
      </w:r>
      <w:r>
        <w:t>15</w:t>
      </w:r>
      <w:r>
        <w:fldChar w:fldCharType="end"/>
      </w:r>
      <w:r>
        <w:fldChar w:fldCharType="end"/>
      </w:r>
    </w:p>
    <w:p>
      <w:pPr>
        <w:pStyle w:val="14"/>
        <w:tabs>
          <w:tab w:val="right" w:leader="dot" w:pos="8947"/>
        </w:tabs>
        <w:rPr>
          <w:rFonts w:asciiTheme="minorHAnsi" w:hAnsiTheme="minorHAnsi" w:eastAsiaTheme="minorEastAsia" w:cstheme="minorBidi"/>
        </w:rPr>
      </w:pPr>
      <w:r>
        <w:fldChar w:fldCharType="begin"/>
      </w:r>
      <w:r>
        <w:instrText xml:space="preserve"> HYPERLINK \l "_Toc18397420" </w:instrText>
      </w:r>
      <w:r>
        <w:fldChar w:fldCharType="separate"/>
      </w:r>
      <w:r>
        <w:rPr>
          <w:rStyle w:val="23"/>
          <w:rFonts w:hint="eastAsia"/>
        </w:rPr>
        <w:t>（二）重新商讨合同定价</w:t>
      </w:r>
      <w:r>
        <w:tab/>
      </w:r>
      <w:r>
        <w:fldChar w:fldCharType="begin"/>
      </w:r>
      <w:r>
        <w:instrText xml:space="preserve"> PAGEREF _Toc18397420 \h </w:instrText>
      </w:r>
      <w:r>
        <w:fldChar w:fldCharType="separate"/>
      </w:r>
      <w:r>
        <w:t>15</w:t>
      </w:r>
      <w:r>
        <w:fldChar w:fldCharType="end"/>
      </w:r>
      <w:r>
        <w:fldChar w:fldCharType="end"/>
      </w:r>
    </w:p>
    <w:p>
      <w:pPr>
        <w:pStyle w:val="13"/>
        <w:tabs>
          <w:tab w:val="right" w:leader="dot" w:pos="8947"/>
        </w:tabs>
        <w:rPr>
          <w:rFonts w:asciiTheme="minorHAnsi" w:hAnsiTheme="minorHAnsi" w:eastAsiaTheme="minorEastAsia" w:cstheme="minorBidi"/>
        </w:rPr>
      </w:pPr>
      <w:r>
        <w:fldChar w:fldCharType="begin"/>
      </w:r>
      <w:r>
        <w:instrText xml:space="preserve"> HYPERLINK \l "_Toc18397421" </w:instrText>
      </w:r>
      <w:r>
        <w:fldChar w:fldCharType="separate"/>
      </w:r>
      <w:r>
        <w:rPr>
          <w:rStyle w:val="23"/>
          <w:rFonts w:hint="eastAsia"/>
        </w:rPr>
        <w:t>第三部分：</w:t>
      </w:r>
      <w:r>
        <w:rPr>
          <w:rStyle w:val="23"/>
          <w:rFonts w:hint="eastAsia"/>
          <w:kern w:val="0"/>
        </w:rPr>
        <w:t>绩效评价指标体系</w:t>
      </w:r>
      <w:r>
        <w:tab/>
      </w:r>
      <w:r>
        <w:fldChar w:fldCharType="begin"/>
      </w:r>
      <w:r>
        <w:instrText xml:space="preserve"> PAGEREF _Toc18397421 \h </w:instrText>
      </w:r>
      <w:r>
        <w:fldChar w:fldCharType="separate"/>
      </w:r>
      <w:r>
        <w:t>16</w:t>
      </w:r>
      <w:r>
        <w:fldChar w:fldCharType="end"/>
      </w:r>
      <w:r>
        <w:fldChar w:fldCharType="end"/>
      </w:r>
    </w:p>
    <w:p>
      <w:pPr>
        <w:jc w:val="center"/>
        <w:rPr>
          <w:rFonts w:ascii="宋体" w:hAnsi="宋体"/>
          <w:color w:val="000000"/>
          <w:sz w:val="32"/>
          <w:szCs w:val="32"/>
        </w:rPr>
      </w:pPr>
      <w:r>
        <w:rPr>
          <w:rFonts w:ascii="宋体" w:hAnsi="宋体"/>
          <w:color w:val="000000"/>
          <w:sz w:val="32"/>
          <w:szCs w:val="32"/>
        </w:rPr>
        <w:fldChar w:fldCharType="end"/>
      </w:r>
    </w:p>
    <w:p>
      <w:pPr>
        <w:rPr>
          <w:rFonts w:ascii="宋体" w:hAnsi="宋体"/>
          <w:color w:val="000000"/>
          <w:sz w:val="32"/>
          <w:szCs w:val="32"/>
        </w:rPr>
      </w:pPr>
    </w:p>
    <w:p>
      <w:r>
        <w:rPr>
          <w:rFonts w:hint="eastAsia"/>
        </w:rPr>
        <w:t>附件：北碚区2019年预算绩效评价项目评分表-2018年第1-3季度乡镇污水处理服务费项目</w:t>
      </w:r>
    </w:p>
    <w:p>
      <w:pPr>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531" w:header="851" w:footer="992" w:gutter="0"/>
          <w:pgNumType w:start="0"/>
          <w:cols w:space="425" w:num="1"/>
          <w:titlePg/>
          <w:docGrid w:type="lines" w:linePitch="312" w:charSpace="0"/>
        </w:sectPr>
      </w:pPr>
    </w:p>
    <w:p>
      <w:pPr>
        <w:jc w:val="center"/>
        <w:rPr>
          <w:rFonts w:ascii="宋体" w:hAnsi="宋体"/>
          <w:b/>
          <w:sz w:val="32"/>
          <w:szCs w:val="32"/>
        </w:rPr>
      </w:pPr>
      <w:r>
        <w:rPr>
          <w:rFonts w:hint="eastAsia" w:ascii="宋体" w:hAnsi="宋体"/>
          <w:b/>
          <w:sz w:val="32"/>
          <w:szCs w:val="32"/>
        </w:rPr>
        <w:t>北碚区2019年预算绩效评价项目</w:t>
      </w:r>
    </w:p>
    <w:p>
      <w:pPr>
        <w:widowControl/>
        <w:jc w:val="center"/>
        <w:rPr>
          <w:rFonts w:ascii="宋体" w:hAnsi="宋体"/>
          <w:b/>
          <w:sz w:val="32"/>
          <w:szCs w:val="32"/>
        </w:rPr>
      </w:pPr>
      <w:r>
        <w:rPr>
          <w:rFonts w:hint="eastAsia" w:ascii="宋体" w:hAnsi="宋体"/>
          <w:b/>
          <w:sz w:val="32"/>
          <w:szCs w:val="32"/>
        </w:rPr>
        <w:t>2018年第1-3季度乡镇污水处理服务费</w:t>
      </w:r>
    </w:p>
    <w:p>
      <w:pPr>
        <w:widowControl/>
        <w:ind w:firstLine="720"/>
        <w:jc w:val="center"/>
        <w:rPr>
          <w:rFonts w:ascii="宋体" w:hAnsi="宋体"/>
          <w:b/>
          <w:sz w:val="32"/>
          <w:szCs w:val="32"/>
        </w:rPr>
      </w:pPr>
      <w:r>
        <w:rPr>
          <w:rFonts w:hint="eastAsia" w:ascii="宋体" w:hAnsi="宋体"/>
          <w:b/>
          <w:sz w:val="32"/>
          <w:szCs w:val="32"/>
        </w:rPr>
        <w:t>项目绩效评价报告</w:t>
      </w:r>
    </w:p>
    <w:p>
      <w:pPr>
        <w:widowControl/>
        <w:ind w:firstLine="720"/>
        <w:jc w:val="right"/>
        <w:rPr>
          <w:rFonts w:ascii="宋体" w:hAnsi="宋体"/>
          <w:sz w:val="24"/>
          <w:szCs w:val="24"/>
        </w:rPr>
      </w:pPr>
      <w:r>
        <w:rPr>
          <w:rFonts w:hint="eastAsia" w:ascii="宋体" w:hAnsi="宋体"/>
          <w:sz w:val="24"/>
          <w:szCs w:val="24"/>
        </w:rPr>
        <w:t>众环渝综字（2019）0044号</w:t>
      </w:r>
    </w:p>
    <w:p>
      <w:pPr>
        <w:pStyle w:val="16"/>
      </w:pPr>
      <w:bookmarkStart w:id="0" w:name="_Toc18397386"/>
      <w:bookmarkStart w:id="1" w:name="_Toc528663537"/>
      <w:r>
        <w:rPr>
          <w:rFonts w:hint="eastAsia"/>
        </w:rPr>
        <w:t>第一部分：报告摘要</w:t>
      </w:r>
      <w:bookmarkEnd w:id="0"/>
      <w:bookmarkEnd w:id="1"/>
    </w:p>
    <w:p>
      <w:pPr>
        <w:pStyle w:val="2"/>
        <w:spacing w:before="0" w:after="0" w:line="360" w:lineRule="auto"/>
        <w:ind w:left="562"/>
        <w:rPr>
          <w:b w:val="0"/>
          <w:sz w:val="28"/>
          <w:szCs w:val="28"/>
        </w:rPr>
      </w:pPr>
      <w:bookmarkStart w:id="2" w:name="_Toc527122328"/>
      <w:bookmarkStart w:id="3" w:name="_Toc528663538"/>
      <w:bookmarkStart w:id="4" w:name="_Toc18397387"/>
      <w:r>
        <w:rPr>
          <w:rFonts w:hint="eastAsia"/>
          <w:sz w:val="28"/>
          <w:szCs w:val="28"/>
        </w:rPr>
        <w:t>一、</w:t>
      </w:r>
      <w:r>
        <w:rPr>
          <w:sz w:val="28"/>
          <w:szCs w:val="28"/>
        </w:rPr>
        <w:t>项目基本情况</w:t>
      </w:r>
      <w:bookmarkEnd w:id="2"/>
      <w:bookmarkEnd w:id="3"/>
      <w:bookmarkEnd w:id="4"/>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2018年第1-3季度乡镇污水处理服务费项目是根据重庆市北碚区人民政府与重庆市环保投资有限公司签订的《乡镇污水处理设施建设运营合同》，2018年项目预算资金总额为698.76万元，主要用于支付2018年第1-3季度北碚区7个乡镇污水处理设施的污水处理服务费，涵盖污水处理经营成本补偿和合理的投资回报。相关污水处理设施明细详见下表：</w:t>
      </w:r>
    </w:p>
    <w:tbl>
      <w:tblPr>
        <w:tblStyle w:val="18"/>
        <w:tblW w:w="5000" w:type="pct"/>
        <w:tblInd w:w="0" w:type="dxa"/>
        <w:tblLayout w:type="autofit"/>
        <w:tblCellMar>
          <w:top w:w="0" w:type="dxa"/>
          <w:left w:w="108" w:type="dxa"/>
          <w:bottom w:w="0" w:type="dxa"/>
          <w:right w:w="108" w:type="dxa"/>
        </w:tblCellMar>
      </w:tblPr>
      <w:tblGrid>
        <w:gridCol w:w="864"/>
        <w:gridCol w:w="3721"/>
        <w:gridCol w:w="2115"/>
        <w:gridCol w:w="1176"/>
        <w:gridCol w:w="1297"/>
      </w:tblGrid>
      <w:tr>
        <w:tblPrEx>
          <w:tblCellMar>
            <w:top w:w="0" w:type="dxa"/>
            <w:left w:w="108" w:type="dxa"/>
            <w:bottom w:w="0" w:type="dxa"/>
            <w:right w:w="108" w:type="dxa"/>
          </w:tblCellMar>
        </w:tblPrEx>
        <w:trPr>
          <w:trHeight w:val="280" w:hRule="atLeast"/>
        </w:trPr>
        <w:tc>
          <w:tcPr>
            <w:tcW w:w="471" w:type="pct"/>
            <w:tcBorders>
              <w:top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2028" w:type="pct"/>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乡镇污水处理设施名称</w:t>
            </w:r>
          </w:p>
        </w:tc>
        <w:tc>
          <w:tcPr>
            <w:tcW w:w="1153" w:type="pct"/>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所属乡镇街道</w:t>
            </w:r>
          </w:p>
        </w:tc>
        <w:tc>
          <w:tcPr>
            <w:tcW w:w="641" w:type="pct"/>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建设情况</w:t>
            </w:r>
          </w:p>
        </w:tc>
        <w:tc>
          <w:tcPr>
            <w:tcW w:w="707" w:type="pct"/>
            <w:tcBorders>
              <w:top w:val="single" w:color="auto" w:sz="12" w:space="0"/>
              <w:left w:val="nil"/>
              <w:bottom w:val="single" w:color="auto" w:sz="4" w:space="0"/>
            </w:tcBorders>
            <w:vAlign w:val="bottom"/>
          </w:tcPr>
          <w:p>
            <w:pPr>
              <w:rPr>
                <w:rFonts w:cs="宋体" w:asciiTheme="minorEastAsia" w:hAnsiTheme="minorEastAsia" w:eastAsiaTheme="minorEastAsia"/>
                <w:szCs w:val="21"/>
              </w:rPr>
            </w:pPr>
            <w:r>
              <w:rPr>
                <w:rFonts w:hint="eastAsia" w:asciiTheme="minorEastAsia" w:hAnsiTheme="minorEastAsia" w:eastAsiaTheme="minorEastAsia"/>
                <w:szCs w:val="21"/>
              </w:rPr>
              <w:t>设计处理能力（万m³/d）</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0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东阳污水处理厂</w:t>
            </w:r>
          </w:p>
        </w:tc>
        <w:tc>
          <w:tcPr>
            <w:tcW w:w="115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东阳街道</w:t>
            </w:r>
          </w:p>
        </w:tc>
        <w:tc>
          <w:tcPr>
            <w:tcW w:w="64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已建</w:t>
            </w:r>
          </w:p>
        </w:tc>
        <w:tc>
          <w:tcPr>
            <w:tcW w:w="707" w:type="pct"/>
            <w:tcBorders>
              <w:top w:val="nil"/>
              <w:left w:val="nil"/>
              <w:bottom w:val="single" w:color="auto" w:sz="4" w:space="0"/>
            </w:tcBorders>
            <w:vAlign w:val="bottom"/>
          </w:tcPr>
          <w:p>
            <w:pPr>
              <w:jc w:val="right"/>
              <w:rPr>
                <w:rFonts w:cs="宋体" w:asciiTheme="minorEastAsia" w:hAnsiTheme="minorEastAsia" w:eastAsiaTheme="minorEastAsia"/>
                <w:szCs w:val="21"/>
              </w:rPr>
            </w:pPr>
            <w:r>
              <w:rPr>
                <w:rFonts w:hint="eastAsia" w:asciiTheme="minorEastAsia" w:hAnsiTheme="minorEastAsia" w:eastAsiaTheme="minorEastAsia"/>
                <w:szCs w:val="21"/>
              </w:rPr>
              <w:t>0.600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20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澄江污水处理厂</w:t>
            </w:r>
          </w:p>
        </w:tc>
        <w:tc>
          <w:tcPr>
            <w:tcW w:w="115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澄江镇</w:t>
            </w:r>
          </w:p>
        </w:tc>
        <w:tc>
          <w:tcPr>
            <w:tcW w:w="64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已建</w:t>
            </w:r>
          </w:p>
        </w:tc>
        <w:tc>
          <w:tcPr>
            <w:tcW w:w="707" w:type="pct"/>
            <w:tcBorders>
              <w:top w:val="nil"/>
              <w:left w:val="nil"/>
              <w:bottom w:val="single" w:color="auto" w:sz="4" w:space="0"/>
            </w:tcBorders>
            <w:vAlign w:val="bottom"/>
          </w:tcPr>
          <w:p>
            <w:pPr>
              <w:jc w:val="right"/>
              <w:rPr>
                <w:rFonts w:cs="宋体" w:asciiTheme="minorEastAsia" w:hAnsiTheme="minorEastAsia" w:eastAsiaTheme="minorEastAsia"/>
                <w:szCs w:val="21"/>
              </w:rPr>
            </w:pPr>
            <w:r>
              <w:rPr>
                <w:rFonts w:hint="eastAsia" w:asciiTheme="minorEastAsia" w:hAnsiTheme="minorEastAsia" w:eastAsiaTheme="minorEastAsia"/>
                <w:szCs w:val="21"/>
              </w:rPr>
              <w:t>0.120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20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柳荫污水处理厂</w:t>
            </w:r>
          </w:p>
        </w:tc>
        <w:tc>
          <w:tcPr>
            <w:tcW w:w="115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柳荫镇</w:t>
            </w:r>
          </w:p>
        </w:tc>
        <w:tc>
          <w:tcPr>
            <w:tcW w:w="64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已建</w:t>
            </w:r>
          </w:p>
        </w:tc>
        <w:tc>
          <w:tcPr>
            <w:tcW w:w="707" w:type="pct"/>
            <w:tcBorders>
              <w:top w:val="nil"/>
              <w:left w:val="nil"/>
              <w:bottom w:val="single" w:color="auto" w:sz="4" w:space="0"/>
            </w:tcBorders>
            <w:vAlign w:val="bottom"/>
          </w:tcPr>
          <w:p>
            <w:pPr>
              <w:jc w:val="right"/>
              <w:rPr>
                <w:rFonts w:cs="宋体" w:asciiTheme="minorEastAsia" w:hAnsiTheme="minorEastAsia" w:eastAsiaTheme="minorEastAsia"/>
                <w:szCs w:val="21"/>
              </w:rPr>
            </w:pPr>
            <w:r>
              <w:rPr>
                <w:rFonts w:hint="eastAsia" w:asciiTheme="minorEastAsia" w:hAnsiTheme="minorEastAsia" w:eastAsiaTheme="minorEastAsia"/>
                <w:szCs w:val="21"/>
              </w:rPr>
              <w:t>0.100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20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金刀峡污水处理厂</w:t>
            </w:r>
          </w:p>
        </w:tc>
        <w:tc>
          <w:tcPr>
            <w:tcW w:w="115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金刀峡镇</w:t>
            </w:r>
          </w:p>
        </w:tc>
        <w:tc>
          <w:tcPr>
            <w:tcW w:w="64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已建</w:t>
            </w:r>
          </w:p>
        </w:tc>
        <w:tc>
          <w:tcPr>
            <w:tcW w:w="707" w:type="pct"/>
            <w:tcBorders>
              <w:top w:val="nil"/>
              <w:left w:val="nil"/>
              <w:bottom w:val="single" w:color="auto" w:sz="4" w:space="0"/>
            </w:tcBorders>
            <w:vAlign w:val="bottom"/>
          </w:tcPr>
          <w:p>
            <w:pPr>
              <w:jc w:val="right"/>
              <w:rPr>
                <w:rFonts w:cs="宋体" w:asciiTheme="minorEastAsia" w:hAnsiTheme="minorEastAsia" w:eastAsiaTheme="minorEastAsia"/>
                <w:szCs w:val="21"/>
              </w:rPr>
            </w:pPr>
            <w:r>
              <w:rPr>
                <w:rFonts w:hint="eastAsia" w:asciiTheme="minorEastAsia" w:hAnsiTheme="minorEastAsia" w:eastAsiaTheme="minorEastAsia"/>
                <w:szCs w:val="21"/>
              </w:rPr>
              <w:t>0.100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20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三圣污水处理厂</w:t>
            </w:r>
          </w:p>
        </w:tc>
        <w:tc>
          <w:tcPr>
            <w:tcW w:w="115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三圣镇</w:t>
            </w:r>
          </w:p>
        </w:tc>
        <w:tc>
          <w:tcPr>
            <w:tcW w:w="64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已建</w:t>
            </w:r>
          </w:p>
        </w:tc>
        <w:tc>
          <w:tcPr>
            <w:tcW w:w="707" w:type="pct"/>
            <w:tcBorders>
              <w:top w:val="nil"/>
              <w:left w:val="nil"/>
              <w:bottom w:val="single" w:color="auto" w:sz="4" w:space="0"/>
            </w:tcBorders>
            <w:vAlign w:val="bottom"/>
          </w:tcPr>
          <w:p>
            <w:pPr>
              <w:jc w:val="right"/>
              <w:rPr>
                <w:rFonts w:cs="宋体" w:asciiTheme="minorEastAsia" w:hAnsiTheme="minorEastAsia" w:eastAsiaTheme="minorEastAsia"/>
                <w:szCs w:val="21"/>
              </w:rPr>
            </w:pPr>
            <w:r>
              <w:rPr>
                <w:rFonts w:hint="eastAsia" w:asciiTheme="minorEastAsia" w:hAnsiTheme="minorEastAsia" w:eastAsiaTheme="minorEastAsia"/>
                <w:szCs w:val="21"/>
              </w:rPr>
              <w:t>0.080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20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台农园污水处理厂</w:t>
            </w:r>
          </w:p>
        </w:tc>
        <w:tc>
          <w:tcPr>
            <w:tcW w:w="115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静观镇</w:t>
            </w:r>
          </w:p>
        </w:tc>
        <w:tc>
          <w:tcPr>
            <w:tcW w:w="64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已建</w:t>
            </w:r>
          </w:p>
        </w:tc>
        <w:tc>
          <w:tcPr>
            <w:tcW w:w="707" w:type="pct"/>
            <w:tcBorders>
              <w:top w:val="nil"/>
              <w:left w:val="nil"/>
              <w:bottom w:val="single" w:color="auto" w:sz="4" w:space="0"/>
            </w:tcBorders>
            <w:vAlign w:val="bottom"/>
          </w:tcPr>
          <w:p>
            <w:pPr>
              <w:jc w:val="right"/>
              <w:rPr>
                <w:rFonts w:cs="宋体" w:asciiTheme="minorEastAsia" w:hAnsiTheme="minorEastAsia" w:eastAsiaTheme="minorEastAsia"/>
                <w:szCs w:val="21"/>
              </w:rPr>
            </w:pPr>
            <w:r>
              <w:rPr>
                <w:rFonts w:hint="eastAsia" w:asciiTheme="minorEastAsia" w:hAnsiTheme="minorEastAsia" w:eastAsiaTheme="minorEastAsia"/>
                <w:szCs w:val="21"/>
              </w:rPr>
              <w:t>0.055</w:t>
            </w:r>
          </w:p>
        </w:tc>
      </w:tr>
      <w:tr>
        <w:tblPrEx>
          <w:tblCellMar>
            <w:top w:w="0" w:type="dxa"/>
            <w:left w:w="108" w:type="dxa"/>
            <w:bottom w:w="0" w:type="dxa"/>
            <w:right w:w="108" w:type="dxa"/>
          </w:tblCellMar>
        </w:tblPrEx>
        <w:trPr>
          <w:trHeight w:val="280" w:hRule="atLeast"/>
        </w:trPr>
        <w:tc>
          <w:tcPr>
            <w:tcW w:w="471" w:type="pct"/>
            <w:tcBorders>
              <w:top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2028"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静观污水处理厂</w:t>
            </w:r>
          </w:p>
        </w:tc>
        <w:tc>
          <w:tcPr>
            <w:tcW w:w="1153"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静观镇</w:t>
            </w:r>
          </w:p>
        </w:tc>
        <w:tc>
          <w:tcPr>
            <w:tcW w:w="64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改建</w:t>
            </w:r>
          </w:p>
        </w:tc>
        <w:tc>
          <w:tcPr>
            <w:tcW w:w="707" w:type="pct"/>
            <w:tcBorders>
              <w:top w:val="single" w:color="auto" w:sz="4" w:space="0"/>
              <w:left w:val="nil"/>
              <w:bottom w:val="single" w:color="auto" w:sz="4" w:space="0"/>
            </w:tcBorders>
            <w:vAlign w:val="bottom"/>
          </w:tcPr>
          <w:p>
            <w:pPr>
              <w:jc w:val="right"/>
              <w:rPr>
                <w:rFonts w:cs="宋体" w:asciiTheme="minorEastAsia" w:hAnsiTheme="minorEastAsia" w:eastAsiaTheme="minorEastAsia"/>
                <w:szCs w:val="21"/>
              </w:rPr>
            </w:pPr>
            <w:r>
              <w:rPr>
                <w:rFonts w:hint="eastAsia" w:asciiTheme="minorEastAsia" w:hAnsiTheme="minorEastAsia" w:eastAsiaTheme="minorEastAsia"/>
                <w:szCs w:val="21"/>
              </w:rPr>
              <w:t>0.300</w:t>
            </w:r>
          </w:p>
        </w:tc>
      </w:tr>
      <w:tr>
        <w:tblPrEx>
          <w:tblCellMar>
            <w:top w:w="0" w:type="dxa"/>
            <w:left w:w="108" w:type="dxa"/>
            <w:bottom w:w="0" w:type="dxa"/>
            <w:right w:w="108" w:type="dxa"/>
          </w:tblCellMar>
        </w:tblPrEx>
        <w:trPr>
          <w:trHeight w:val="280" w:hRule="atLeast"/>
        </w:trPr>
        <w:tc>
          <w:tcPr>
            <w:tcW w:w="4293" w:type="pct"/>
            <w:gridSpan w:val="4"/>
            <w:tcBorders>
              <w:top w:val="nil"/>
              <w:bottom w:val="single" w:color="auto" w:sz="12"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合计：</w:t>
            </w:r>
          </w:p>
        </w:tc>
        <w:tc>
          <w:tcPr>
            <w:tcW w:w="707" w:type="pct"/>
            <w:tcBorders>
              <w:top w:val="nil"/>
              <w:left w:val="nil"/>
              <w:bottom w:val="single" w:color="auto" w:sz="12" w:space="0"/>
            </w:tcBorders>
            <w:vAlign w:val="bottom"/>
          </w:tcPr>
          <w:p>
            <w:pPr>
              <w:jc w:val="right"/>
              <w:rPr>
                <w:rFonts w:cs="宋体" w:asciiTheme="minorEastAsia" w:hAnsiTheme="minorEastAsia" w:eastAsiaTheme="minorEastAsia"/>
                <w:szCs w:val="21"/>
              </w:rPr>
            </w:pPr>
            <w:r>
              <w:rPr>
                <w:rFonts w:hint="eastAsia" w:asciiTheme="minorEastAsia" w:hAnsiTheme="minorEastAsia" w:eastAsiaTheme="minorEastAsia"/>
                <w:szCs w:val="21"/>
              </w:rPr>
              <w:t>1.355</w:t>
            </w:r>
          </w:p>
        </w:tc>
      </w:tr>
    </w:tbl>
    <w:p>
      <w:pPr>
        <w:pStyle w:val="2"/>
        <w:spacing w:before="0" w:after="0" w:line="360" w:lineRule="auto"/>
        <w:ind w:firstLine="562" w:firstLineChars="200"/>
        <w:rPr>
          <w:rFonts w:asciiTheme="minorEastAsia" w:hAnsiTheme="minorEastAsia" w:eastAsiaTheme="minorEastAsia"/>
          <w:sz w:val="28"/>
          <w:szCs w:val="28"/>
        </w:rPr>
      </w:pPr>
      <w:bookmarkStart w:id="5" w:name="_Toc527122329"/>
      <w:bookmarkStart w:id="6" w:name="_Toc528663539"/>
      <w:bookmarkStart w:id="7" w:name="_Toc18397388"/>
      <w:r>
        <w:rPr>
          <w:rFonts w:hint="eastAsia" w:asciiTheme="minorEastAsia" w:hAnsiTheme="minorEastAsia" w:eastAsiaTheme="minorEastAsia"/>
          <w:sz w:val="28"/>
          <w:szCs w:val="28"/>
        </w:rPr>
        <w:t>二、绩效评价结论</w:t>
      </w:r>
      <w:bookmarkEnd w:id="5"/>
      <w:bookmarkEnd w:id="6"/>
      <w:bookmarkEnd w:id="7"/>
    </w:p>
    <w:p>
      <w:pPr>
        <w:spacing w:line="540" w:lineRule="exact"/>
        <w:ind w:firstLine="482" w:firstLineChars="200"/>
        <w:jc w:val="left"/>
        <w:rPr>
          <w:rFonts w:asciiTheme="minorEastAsia" w:hAnsiTheme="minorEastAsia" w:eastAsiaTheme="minorEastAsia"/>
          <w:b/>
          <w:sz w:val="24"/>
          <w:szCs w:val="24"/>
        </w:rPr>
      </w:pPr>
      <w:bookmarkStart w:id="8" w:name="_Toc527122330"/>
      <w:r>
        <w:rPr>
          <w:rFonts w:hint="eastAsia" w:asciiTheme="minorEastAsia" w:hAnsiTheme="minorEastAsia" w:eastAsiaTheme="minorEastAsia"/>
          <w:b/>
          <w:sz w:val="24"/>
          <w:szCs w:val="24"/>
        </w:rPr>
        <w:t>（一）评分结果</w:t>
      </w:r>
      <w:bookmarkEnd w:id="8"/>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依据北碚区2018年第1-3季度乡镇污水处理服务费项目《绩效评价指标体系》，项目绩效评价得分：81.20分，绩效评价等次为：良好。具体评分结果见下表：</w:t>
      </w:r>
    </w:p>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绩效评分结果表</w:t>
      </w:r>
    </w:p>
    <w:tbl>
      <w:tblPr>
        <w:tblStyle w:val="18"/>
        <w:tblW w:w="8948" w:type="dxa"/>
        <w:jc w:val="center"/>
        <w:tblLayout w:type="autofit"/>
        <w:tblCellMar>
          <w:top w:w="0" w:type="dxa"/>
          <w:left w:w="108" w:type="dxa"/>
          <w:bottom w:w="0" w:type="dxa"/>
          <w:right w:w="108" w:type="dxa"/>
        </w:tblCellMar>
      </w:tblPr>
      <w:tblGrid>
        <w:gridCol w:w="2273"/>
        <w:gridCol w:w="3240"/>
        <w:gridCol w:w="1734"/>
        <w:gridCol w:w="1701"/>
      </w:tblGrid>
      <w:tr>
        <w:tblPrEx>
          <w:tblCellMar>
            <w:top w:w="0" w:type="dxa"/>
            <w:left w:w="108" w:type="dxa"/>
            <w:bottom w:w="0" w:type="dxa"/>
            <w:right w:w="108" w:type="dxa"/>
          </w:tblCellMar>
        </w:tblPrEx>
        <w:trPr>
          <w:trHeight w:val="454" w:hRule="exact"/>
          <w:tblHeader/>
          <w:jc w:val="center"/>
        </w:trPr>
        <w:tc>
          <w:tcPr>
            <w:tcW w:w="2273" w:type="dxa"/>
            <w:tcBorders>
              <w:top w:val="single" w:color="auto" w:sz="4" w:space="0"/>
              <w:left w:val="single" w:color="auto" w:sz="4" w:space="0"/>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一级指标</w:t>
            </w:r>
          </w:p>
        </w:tc>
        <w:tc>
          <w:tcPr>
            <w:tcW w:w="3240" w:type="dxa"/>
            <w:tcBorders>
              <w:top w:val="single" w:color="auto" w:sz="4" w:space="0"/>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二级指标</w:t>
            </w:r>
          </w:p>
        </w:tc>
        <w:tc>
          <w:tcPr>
            <w:tcW w:w="1734" w:type="dxa"/>
            <w:tcBorders>
              <w:top w:val="single" w:color="auto" w:sz="4" w:space="0"/>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标准分</w:t>
            </w:r>
          </w:p>
        </w:tc>
        <w:tc>
          <w:tcPr>
            <w:tcW w:w="1701" w:type="dxa"/>
            <w:tcBorders>
              <w:top w:val="single" w:color="auto" w:sz="4" w:space="0"/>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考评分</w:t>
            </w:r>
          </w:p>
        </w:tc>
      </w:tr>
      <w:tr>
        <w:tblPrEx>
          <w:tblCellMar>
            <w:top w:w="0" w:type="dxa"/>
            <w:left w:w="108" w:type="dxa"/>
            <w:bottom w:w="0" w:type="dxa"/>
            <w:right w:w="108" w:type="dxa"/>
          </w:tblCellMar>
        </w:tblPrEx>
        <w:trPr>
          <w:trHeight w:val="454" w:hRule="exact"/>
          <w:jc w:val="center"/>
        </w:trPr>
        <w:tc>
          <w:tcPr>
            <w:tcW w:w="2273" w:type="dxa"/>
            <w:tcBorders>
              <w:top w:val="nil"/>
              <w:left w:val="single" w:color="auto" w:sz="4" w:space="0"/>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A</w:t>
            </w:r>
            <w:r>
              <w:rPr>
                <w:rFonts w:hint="eastAsia" w:cs="宋体" w:asciiTheme="minorEastAsia" w:hAnsiTheme="minorEastAsia" w:eastAsiaTheme="minorEastAsia"/>
                <w:b/>
                <w:bCs/>
                <w:kern w:val="0"/>
                <w:szCs w:val="21"/>
              </w:rPr>
              <w:t>产出</w:t>
            </w:r>
          </w:p>
        </w:tc>
        <w:tc>
          <w:tcPr>
            <w:tcW w:w="3240" w:type="dxa"/>
            <w:tcBorders>
              <w:top w:val="single" w:color="auto" w:sz="4" w:space="0"/>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A1</w:t>
            </w:r>
            <w:r>
              <w:rPr>
                <w:rFonts w:hint="eastAsia" w:cs="宋体" w:asciiTheme="minorEastAsia" w:hAnsiTheme="minorEastAsia" w:eastAsiaTheme="minorEastAsia"/>
                <w:kern w:val="0"/>
                <w:szCs w:val="21"/>
              </w:rPr>
              <w:t>项目产出</w:t>
            </w:r>
          </w:p>
        </w:tc>
        <w:tc>
          <w:tcPr>
            <w:tcW w:w="1734"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30.00 </w:t>
            </w:r>
          </w:p>
        </w:tc>
        <w:tc>
          <w:tcPr>
            <w:tcW w:w="1701"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19.2</w:t>
            </w:r>
            <w:r>
              <w:rPr>
                <w:rFonts w:cs="宋体" w:asciiTheme="minorEastAsia" w:hAnsiTheme="minorEastAsia" w:eastAsiaTheme="minorEastAsia"/>
                <w:kern w:val="0"/>
                <w:szCs w:val="21"/>
              </w:rPr>
              <w:t>0</w:t>
            </w:r>
          </w:p>
        </w:tc>
      </w:tr>
      <w:tr>
        <w:tblPrEx>
          <w:tblCellMar>
            <w:top w:w="0" w:type="dxa"/>
            <w:left w:w="108" w:type="dxa"/>
            <w:bottom w:w="0" w:type="dxa"/>
            <w:right w:w="108" w:type="dxa"/>
          </w:tblCellMar>
        </w:tblPrEx>
        <w:trPr>
          <w:trHeight w:val="454" w:hRule="exact"/>
          <w:jc w:val="center"/>
        </w:trPr>
        <w:tc>
          <w:tcPr>
            <w:tcW w:w="5513" w:type="dxa"/>
            <w:gridSpan w:val="2"/>
            <w:tcBorders>
              <w:top w:val="single" w:color="auto" w:sz="4" w:space="0"/>
              <w:left w:val="single" w:color="auto" w:sz="4" w:space="0"/>
              <w:bottom w:val="single" w:color="auto" w:sz="4" w:space="0"/>
              <w:right w:val="single" w:color="000000"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小计</w:t>
            </w:r>
          </w:p>
        </w:tc>
        <w:tc>
          <w:tcPr>
            <w:tcW w:w="1734" w:type="dxa"/>
            <w:tcBorders>
              <w:top w:val="nil"/>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30.00</w:t>
            </w:r>
          </w:p>
        </w:tc>
        <w:tc>
          <w:tcPr>
            <w:tcW w:w="1701" w:type="dxa"/>
            <w:tcBorders>
              <w:top w:val="nil"/>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19.20</w:t>
            </w:r>
          </w:p>
        </w:tc>
      </w:tr>
      <w:tr>
        <w:tblPrEx>
          <w:tblCellMar>
            <w:top w:w="0" w:type="dxa"/>
            <w:left w:w="108" w:type="dxa"/>
            <w:bottom w:w="0" w:type="dxa"/>
            <w:right w:w="108" w:type="dxa"/>
          </w:tblCellMar>
        </w:tblPrEx>
        <w:trPr>
          <w:trHeight w:val="454" w:hRule="exact"/>
          <w:jc w:val="center"/>
        </w:trPr>
        <w:tc>
          <w:tcPr>
            <w:tcW w:w="2273" w:type="dxa"/>
            <w:tcBorders>
              <w:top w:val="nil"/>
              <w:left w:val="single" w:color="auto" w:sz="4" w:space="0"/>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B</w:t>
            </w:r>
            <w:r>
              <w:rPr>
                <w:rFonts w:hint="eastAsia" w:cs="宋体" w:asciiTheme="minorEastAsia" w:hAnsiTheme="minorEastAsia" w:eastAsiaTheme="minorEastAsia"/>
                <w:b/>
                <w:bCs/>
                <w:kern w:val="0"/>
                <w:szCs w:val="21"/>
              </w:rPr>
              <w:t>效果</w:t>
            </w:r>
          </w:p>
        </w:tc>
        <w:tc>
          <w:tcPr>
            <w:tcW w:w="3240" w:type="dxa"/>
            <w:tcBorders>
              <w:top w:val="single" w:color="auto" w:sz="4" w:space="0"/>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B1</w:t>
            </w:r>
            <w:r>
              <w:rPr>
                <w:rFonts w:hint="eastAsia" w:cs="宋体" w:asciiTheme="minorEastAsia" w:hAnsiTheme="minorEastAsia" w:eastAsiaTheme="minorEastAsia"/>
                <w:kern w:val="0"/>
                <w:szCs w:val="21"/>
              </w:rPr>
              <w:t>项目效益</w:t>
            </w:r>
          </w:p>
        </w:tc>
        <w:tc>
          <w:tcPr>
            <w:tcW w:w="1734"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30.00 </w:t>
            </w:r>
          </w:p>
        </w:tc>
        <w:tc>
          <w:tcPr>
            <w:tcW w:w="1701"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26.00</w:t>
            </w:r>
          </w:p>
        </w:tc>
      </w:tr>
      <w:tr>
        <w:tblPrEx>
          <w:tblCellMar>
            <w:top w:w="0" w:type="dxa"/>
            <w:left w:w="108" w:type="dxa"/>
            <w:bottom w:w="0" w:type="dxa"/>
            <w:right w:w="108" w:type="dxa"/>
          </w:tblCellMar>
        </w:tblPrEx>
        <w:trPr>
          <w:trHeight w:val="454" w:hRule="exact"/>
          <w:jc w:val="center"/>
        </w:trPr>
        <w:tc>
          <w:tcPr>
            <w:tcW w:w="5513" w:type="dxa"/>
            <w:gridSpan w:val="2"/>
            <w:tcBorders>
              <w:top w:val="single" w:color="auto" w:sz="4" w:space="0"/>
              <w:left w:val="single" w:color="auto" w:sz="4" w:space="0"/>
              <w:bottom w:val="single" w:color="auto" w:sz="4" w:space="0"/>
              <w:right w:val="single" w:color="000000"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小计</w:t>
            </w:r>
          </w:p>
        </w:tc>
        <w:tc>
          <w:tcPr>
            <w:tcW w:w="1734" w:type="dxa"/>
            <w:tcBorders>
              <w:top w:val="nil"/>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 xml:space="preserve">30.00 </w:t>
            </w:r>
          </w:p>
        </w:tc>
        <w:tc>
          <w:tcPr>
            <w:tcW w:w="1701" w:type="dxa"/>
            <w:tcBorders>
              <w:top w:val="nil"/>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26</w:t>
            </w:r>
            <w:r>
              <w:rPr>
                <w:rFonts w:cs="宋体" w:asciiTheme="minorEastAsia" w:hAnsiTheme="minorEastAsia" w:eastAsiaTheme="minorEastAsia"/>
                <w:b/>
                <w:bCs/>
                <w:kern w:val="0"/>
                <w:szCs w:val="21"/>
              </w:rPr>
              <w:t xml:space="preserve">.00 </w:t>
            </w:r>
          </w:p>
        </w:tc>
      </w:tr>
      <w:tr>
        <w:tblPrEx>
          <w:tblCellMar>
            <w:top w:w="0" w:type="dxa"/>
            <w:left w:w="108" w:type="dxa"/>
            <w:bottom w:w="0" w:type="dxa"/>
            <w:right w:w="108" w:type="dxa"/>
          </w:tblCellMar>
        </w:tblPrEx>
        <w:trPr>
          <w:trHeight w:val="454" w:hRule="exact"/>
          <w:jc w:val="center"/>
        </w:trPr>
        <w:tc>
          <w:tcPr>
            <w:tcW w:w="2273" w:type="dxa"/>
            <w:tcBorders>
              <w:top w:val="nil"/>
              <w:left w:val="single" w:color="auto" w:sz="4" w:space="0"/>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C</w:t>
            </w:r>
            <w:r>
              <w:rPr>
                <w:rFonts w:hint="eastAsia" w:cs="宋体" w:asciiTheme="minorEastAsia" w:hAnsiTheme="minorEastAsia" w:eastAsiaTheme="minorEastAsia"/>
                <w:b/>
                <w:bCs/>
                <w:kern w:val="0"/>
                <w:szCs w:val="21"/>
              </w:rPr>
              <w:t>满意度</w:t>
            </w:r>
          </w:p>
        </w:tc>
        <w:tc>
          <w:tcPr>
            <w:tcW w:w="3240" w:type="dxa"/>
            <w:tcBorders>
              <w:top w:val="single" w:color="auto" w:sz="4" w:space="0"/>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C1</w:t>
            </w:r>
            <w:r>
              <w:rPr>
                <w:rFonts w:hint="eastAsia" w:cs="宋体" w:asciiTheme="minorEastAsia" w:hAnsiTheme="minorEastAsia" w:eastAsiaTheme="minorEastAsia"/>
                <w:kern w:val="0"/>
                <w:szCs w:val="21"/>
              </w:rPr>
              <w:t>满意度</w:t>
            </w:r>
          </w:p>
        </w:tc>
        <w:tc>
          <w:tcPr>
            <w:tcW w:w="1734"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 xml:space="preserve">10.00 </w:t>
            </w:r>
          </w:p>
        </w:tc>
        <w:tc>
          <w:tcPr>
            <w:tcW w:w="1701"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9.00</w:t>
            </w:r>
          </w:p>
        </w:tc>
      </w:tr>
      <w:tr>
        <w:tblPrEx>
          <w:tblCellMar>
            <w:top w:w="0" w:type="dxa"/>
            <w:left w:w="108" w:type="dxa"/>
            <w:bottom w:w="0" w:type="dxa"/>
            <w:right w:w="108" w:type="dxa"/>
          </w:tblCellMar>
        </w:tblPrEx>
        <w:trPr>
          <w:trHeight w:val="454" w:hRule="exact"/>
          <w:jc w:val="center"/>
        </w:trPr>
        <w:tc>
          <w:tcPr>
            <w:tcW w:w="5513" w:type="dxa"/>
            <w:gridSpan w:val="2"/>
            <w:tcBorders>
              <w:top w:val="single" w:color="auto" w:sz="4" w:space="0"/>
              <w:left w:val="single" w:color="auto" w:sz="4" w:space="0"/>
              <w:bottom w:val="single" w:color="auto" w:sz="4" w:space="0"/>
              <w:right w:val="single" w:color="000000"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小计</w:t>
            </w:r>
          </w:p>
        </w:tc>
        <w:tc>
          <w:tcPr>
            <w:tcW w:w="1734" w:type="dxa"/>
            <w:tcBorders>
              <w:top w:val="nil"/>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 xml:space="preserve">10.00 </w:t>
            </w:r>
          </w:p>
        </w:tc>
        <w:tc>
          <w:tcPr>
            <w:tcW w:w="1701" w:type="dxa"/>
            <w:tcBorders>
              <w:top w:val="nil"/>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9</w:t>
            </w:r>
            <w:r>
              <w:rPr>
                <w:rFonts w:cs="宋体" w:asciiTheme="minorEastAsia" w:hAnsiTheme="minorEastAsia" w:eastAsiaTheme="minorEastAsia"/>
                <w:b/>
                <w:bCs/>
                <w:kern w:val="0"/>
                <w:szCs w:val="21"/>
              </w:rPr>
              <w:t xml:space="preserve">.00 </w:t>
            </w:r>
          </w:p>
        </w:tc>
      </w:tr>
      <w:tr>
        <w:tblPrEx>
          <w:tblCellMar>
            <w:top w:w="0" w:type="dxa"/>
            <w:left w:w="108" w:type="dxa"/>
            <w:bottom w:w="0" w:type="dxa"/>
            <w:right w:w="108" w:type="dxa"/>
          </w:tblCellMar>
        </w:tblPrEx>
        <w:trPr>
          <w:trHeight w:val="454" w:hRule="exact"/>
          <w:jc w:val="center"/>
        </w:trPr>
        <w:tc>
          <w:tcPr>
            <w:tcW w:w="2273" w:type="dxa"/>
            <w:vMerge w:val="restart"/>
            <w:tcBorders>
              <w:top w:val="nil"/>
              <w:left w:val="single" w:color="auto" w:sz="4" w:space="0"/>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D</w:t>
            </w:r>
            <w:r>
              <w:rPr>
                <w:rFonts w:hint="eastAsia" w:cs="宋体" w:asciiTheme="minorEastAsia" w:hAnsiTheme="minorEastAsia" w:eastAsiaTheme="minorEastAsia"/>
                <w:b/>
                <w:bCs/>
                <w:kern w:val="0"/>
                <w:szCs w:val="21"/>
              </w:rPr>
              <w:t>管理</w:t>
            </w:r>
          </w:p>
        </w:tc>
        <w:tc>
          <w:tcPr>
            <w:tcW w:w="3240" w:type="dxa"/>
            <w:tcBorders>
              <w:top w:val="single" w:color="auto" w:sz="4" w:space="0"/>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D1</w:t>
            </w:r>
            <w:r>
              <w:rPr>
                <w:rFonts w:hint="eastAsia" w:cs="宋体" w:asciiTheme="minorEastAsia" w:hAnsiTheme="minorEastAsia" w:eastAsiaTheme="minorEastAsia"/>
                <w:kern w:val="0"/>
                <w:szCs w:val="21"/>
              </w:rPr>
              <w:t>决策管理</w:t>
            </w:r>
          </w:p>
        </w:tc>
        <w:tc>
          <w:tcPr>
            <w:tcW w:w="1734"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r>
              <w:rPr>
                <w:rFonts w:cs="宋体" w:asciiTheme="minorEastAsia" w:hAnsiTheme="minorEastAsia" w:eastAsiaTheme="minorEastAsia"/>
                <w:kern w:val="0"/>
                <w:szCs w:val="21"/>
              </w:rPr>
              <w:t xml:space="preserve">.00 </w:t>
            </w:r>
          </w:p>
        </w:tc>
        <w:tc>
          <w:tcPr>
            <w:tcW w:w="1701"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3.00</w:t>
            </w:r>
          </w:p>
        </w:tc>
      </w:tr>
      <w:tr>
        <w:tblPrEx>
          <w:tblCellMar>
            <w:top w:w="0" w:type="dxa"/>
            <w:left w:w="108" w:type="dxa"/>
            <w:bottom w:w="0" w:type="dxa"/>
            <w:right w:w="108" w:type="dxa"/>
          </w:tblCellMar>
        </w:tblPrEx>
        <w:trPr>
          <w:trHeight w:val="454" w:hRule="exact"/>
          <w:jc w:val="center"/>
        </w:trPr>
        <w:tc>
          <w:tcPr>
            <w:tcW w:w="2273" w:type="dxa"/>
            <w:vMerge w:val="continue"/>
            <w:tcBorders>
              <w:top w:val="nil"/>
              <w:left w:val="single" w:color="auto" w:sz="4" w:space="0"/>
              <w:bottom w:val="single" w:color="auto" w:sz="4" w:space="0"/>
              <w:right w:val="single" w:color="auto" w:sz="4" w:space="0"/>
            </w:tcBorders>
            <w:vAlign w:val="center"/>
          </w:tcPr>
          <w:p>
            <w:pPr>
              <w:widowControl/>
              <w:ind w:firstLine="482"/>
              <w:jc w:val="left"/>
              <w:rPr>
                <w:rFonts w:cs="宋体" w:asciiTheme="minorEastAsia" w:hAnsiTheme="minorEastAsia" w:eastAsiaTheme="minorEastAsia"/>
                <w:b/>
                <w:bCs/>
                <w:kern w:val="0"/>
                <w:szCs w:val="21"/>
              </w:rPr>
            </w:pPr>
          </w:p>
        </w:tc>
        <w:tc>
          <w:tcPr>
            <w:tcW w:w="3240" w:type="dxa"/>
            <w:tcBorders>
              <w:top w:val="single" w:color="auto" w:sz="4" w:space="0"/>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D2</w:t>
            </w:r>
            <w:r>
              <w:rPr>
                <w:rFonts w:hint="eastAsia" w:cs="宋体" w:asciiTheme="minorEastAsia" w:hAnsiTheme="minorEastAsia" w:eastAsiaTheme="minorEastAsia"/>
                <w:kern w:val="0"/>
                <w:szCs w:val="21"/>
              </w:rPr>
              <w:t>资金管理</w:t>
            </w:r>
          </w:p>
        </w:tc>
        <w:tc>
          <w:tcPr>
            <w:tcW w:w="1734"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w:t>
            </w:r>
            <w:r>
              <w:rPr>
                <w:rFonts w:cs="宋体" w:asciiTheme="minorEastAsia" w:hAnsiTheme="minorEastAsia" w:eastAsiaTheme="minorEastAsia"/>
                <w:kern w:val="0"/>
                <w:szCs w:val="21"/>
              </w:rPr>
              <w:t xml:space="preserve">.00 </w:t>
            </w:r>
          </w:p>
        </w:tc>
        <w:tc>
          <w:tcPr>
            <w:tcW w:w="1701"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14.00</w:t>
            </w:r>
          </w:p>
        </w:tc>
      </w:tr>
      <w:tr>
        <w:tblPrEx>
          <w:tblCellMar>
            <w:top w:w="0" w:type="dxa"/>
            <w:left w:w="108" w:type="dxa"/>
            <w:bottom w:w="0" w:type="dxa"/>
            <w:right w:w="108" w:type="dxa"/>
          </w:tblCellMar>
        </w:tblPrEx>
        <w:trPr>
          <w:trHeight w:val="454" w:hRule="exact"/>
          <w:jc w:val="center"/>
        </w:trPr>
        <w:tc>
          <w:tcPr>
            <w:tcW w:w="2273" w:type="dxa"/>
            <w:vMerge w:val="continue"/>
            <w:tcBorders>
              <w:top w:val="nil"/>
              <w:left w:val="single" w:color="auto" w:sz="4" w:space="0"/>
              <w:bottom w:val="single" w:color="auto" w:sz="4" w:space="0"/>
              <w:right w:val="single" w:color="auto" w:sz="4" w:space="0"/>
            </w:tcBorders>
            <w:vAlign w:val="center"/>
          </w:tcPr>
          <w:p>
            <w:pPr>
              <w:widowControl/>
              <w:ind w:firstLine="482"/>
              <w:jc w:val="left"/>
              <w:rPr>
                <w:rFonts w:cs="宋体" w:asciiTheme="minorEastAsia" w:hAnsiTheme="minorEastAsia" w:eastAsiaTheme="minorEastAsia"/>
                <w:b/>
                <w:bCs/>
                <w:kern w:val="0"/>
                <w:szCs w:val="21"/>
              </w:rPr>
            </w:pPr>
          </w:p>
        </w:tc>
        <w:tc>
          <w:tcPr>
            <w:tcW w:w="3240" w:type="dxa"/>
            <w:tcBorders>
              <w:top w:val="single" w:color="auto" w:sz="4" w:space="0"/>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D3</w:t>
            </w:r>
            <w:r>
              <w:rPr>
                <w:rFonts w:hint="eastAsia" w:cs="宋体" w:asciiTheme="minorEastAsia" w:hAnsiTheme="minorEastAsia" w:eastAsiaTheme="minorEastAsia"/>
                <w:kern w:val="0"/>
                <w:szCs w:val="21"/>
              </w:rPr>
              <w:t>业务管理</w:t>
            </w:r>
          </w:p>
        </w:tc>
        <w:tc>
          <w:tcPr>
            <w:tcW w:w="1734"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r>
              <w:rPr>
                <w:rFonts w:cs="宋体" w:asciiTheme="minorEastAsia" w:hAnsiTheme="minorEastAsia" w:eastAsiaTheme="minorEastAsia"/>
                <w:kern w:val="0"/>
                <w:szCs w:val="21"/>
              </w:rPr>
              <w:t xml:space="preserve">.00 </w:t>
            </w:r>
          </w:p>
        </w:tc>
        <w:tc>
          <w:tcPr>
            <w:tcW w:w="1701" w:type="dxa"/>
            <w:tcBorders>
              <w:top w:val="nil"/>
              <w:left w:val="nil"/>
              <w:bottom w:val="single" w:color="auto" w:sz="4" w:space="0"/>
              <w:right w:val="single" w:color="auto" w:sz="4" w:space="0"/>
            </w:tcBorders>
            <w:vAlign w:val="center"/>
          </w:tcPr>
          <w:p>
            <w:pPr>
              <w:widowControl/>
              <w:ind w:firstLine="48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10.00</w:t>
            </w:r>
          </w:p>
        </w:tc>
      </w:tr>
      <w:tr>
        <w:tblPrEx>
          <w:tblCellMar>
            <w:top w:w="0" w:type="dxa"/>
            <w:left w:w="108" w:type="dxa"/>
            <w:bottom w:w="0" w:type="dxa"/>
            <w:right w:w="108" w:type="dxa"/>
          </w:tblCellMar>
        </w:tblPrEx>
        <w:trPr>
          <w:trHeight w:val="454" w:hRule="exact"/>
          <w:jc w:val="center"/>
        </w:trPr>
        <w:tc>
          <w:tcPr>
            <w:tcW w:w="5513" w:type="dxa"/>
            <w:gridSpan w:val="2"/>
            <w:tcBorders>
              <w:top w:val="single" w:color="auto" w:sz="4" w:space="0"/>
              <w:left w:val="single" w:color="auto" w:sz="4" w:space="0"/>
              <w:bottom w:val="single" w:color="auto" w:sz="4" w:space="0"/>
              <w:right w:val="single" w:color="000000"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小计</w:t>
            </w:r>
          </w:p>
        </w:tc>
        <w:tc>
          <w:tcPr>
            <w:tcW w:w="1734" w:type="dxa"/>
            <w:tcBorders>
              <w:top w:val="nil"/>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 xml:space="preserve">30.00 </w:t>
            </w:r>
          </w:p>
        </w:tc>
        <w:tc>
          <w:tcPr>
            <w:tcW w:w="1701" w:type="dxa"/>
            <w:tcBorders>
              <w:top w:val="nil"/>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27</w:t>
            </w:r>
            <w:r>
              <w:rPr>
                <w:rFonts w:cs="宋体" w:asciiTheme="minorEastAsia" w:hAnsiTheme="minorEastAsia" w:eastAsiaTheme="minorEastAsia"/>
                <w:b/>
                <w:bCs/>
                <w:kern w:val="0"/>
                <w:szCs w:val="21"/>
              </w:rPr>
              <w:t xml:space="preserve">.00 </w:t>
            </w:r>
          </w:p>
        </w:tc>
      </w:tr>
      <w:tr>
        <w:tblPrEx>
          <w:tblCellMar>
            <w:top w:w="0" w:type="dxa"/>
            <w:left w:w="108" w:type="dxa"/>
            <w:bottom w:w="0" w:type="dxa"/>
            <w:right w:w="108" w:type="dxa"/>
          </w:tblCellMar>
        </w:tblPrEx>
        <w:trPr>
          <w:trHeight w:val="454" w:hRule="exact"/>
          <w:jc w:val="center"/>
        </w:trPr>
        <w:tc>
          <w:tcPr>
            <w:tcW w:w="5513" w:type="dxa"/>
            <w:gridSpan w:val="2"/>
            <w:tcBorders>
              <w:top w:val="single" w:color="auto" w:sz="4" w:space="0"/>
              <w:left w:val="single" w:color="auto" w:sz="4" w:space="0"/>
              <w:bottom w:val="single" w:color="auto" w:sz="4" w:space="0"/>
              <w:right w:val="single" w:color="000000"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合计</w:t>
            </w:r>
          </w:p>
        </w:tc>
        <w:tc>
          <w:tcPr>
            <w:tcW w:w="1734" w:type="dxa"/>
            <w:tcBorders>
              <w:top w:val="nil"/>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 xml:space="preserve">100.00 </w:t>
            </w:r>
          </w:p>
        </w:tc>
        <w:tc>
          <w:tcPr>
            <w:tcW w:w="1701" w:type="dxa"/>
            <w:tcBorders>
              <w:top w:val="nil"/>
              <w:left w:val="nil"/>
              <w:bottom w:val="single" w:color="auto" w:sz="4" w:space="0"/>
              <w:right w:val="single" w:color="auto" w:sz="4" w:space="0"/>
            </w:tcBorders>
            <w:vAlign w:val="center"/>
          </w:tcPr>
          <w:p>
            <w:pPr>
              <w:widowControl/>
              <w:ind w:firstLine="482"/>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81</w:t>
            </w:r>
            <w:r>
              <w:rPr>
                <w:rFonts w:cs="宋体" w:asciiTheme="minorEastAsia" w:hAnsiTheme="minorEastAsia" w:eastAsiaTheme="minorEastAsia"/>
                <w:b/>
                <w:bCs/>
                <w:kern w:val="0"/>
                <w:szCs w:val="21"/>
              </w:rPr>
              <w:t>.</w:t>
            </w:r>
            <w:r>
              <w:rPr>
                <w:rFonts w:hint="eastAsia" w:cs="宋体" w:asciiTheme="minorEastAsia" w:hAnsiTheme="minorEastAsia" w:eastAsiaTheme="minorEastAsia"/>
                <w:b/>
                <w:bCs/>
                <w:kern w:val="0"/>
                <w:szCs w:val="21"/>
              </w:rPr>
              <w:t>2</w:t>
            </w:r>
            <w:r>
              <w:rPr>
                <w:rFonts w:cs="宋体" w:asciiTheme="minorEastAsia" w:hAnsiTheme="minorEastAsia" w:eastAsiaTheme="minorEastAsia"/>
                <w:b/>
                <w:bCs/>
                <w:kern w:val="0"/>
                <w:szCs w:val="21"/>
              </w:rPr>
              <w:t xml:space="preserve">0 </w:t>
            </w:r>
          </w:p>
        </w:tc>
      </w:tr>
    </w:tbl>
    <w:p>
      <w:pPr>
        <w:spacing w:line="540" w:lineRule="exact"/>
        <w:ind w:firstLine="482" w:firstLineChars="200"/>
        <w:jc w:val="left"/>
        <w:rPr>
          <w:rFonts w:asciiTheme="minorEastAsia" w:hAnsiTheme="minorEastAsia" w:eastAsiaTheme="minorEastAsia"/>
          <w:b/>
          <w:sz w:val="24"/>
          <w:szCs w:val="24"/>
        </w:rPr>
      </w:pPr>
      <w:bookmarkStart w:id="9" w:name="_Toc527122331"/>
      <w:r>
        <w:rPr>
          <w:rFonts w:hint="eastAsia" w:asciiTheme="minorEastAsia" w:hAnsiTheme="minorEastAsia" w:eastAsiaTheme="minorEastAsia"/>
          <w:b/>
          <w:sz w:val="24"/>
          <w:szCs w:val="24"/>
        </w:rPr>
        <w:t>（二）总体结论</w:t>
      </w:r>
      <w:bookmarkEnd w:id="9"/>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从调查情况来看，项目产生了一定的经济效益和社会效益，公众满意度较高，但实际污水处理量未达到预期导致项目产出较低，项目经费产生的效果不理想，决策依据的合理性有待提高。</w:t>
      </w:r>
    </w:p>
    <w:p>
      <w:pPr>
        <w:pStyle w:val="2"/>
        <w:spacing w:before="0" w:after="0" w:line="560" w:lineRule="exact"/>
        <w:ind w:firstLine="562" w:firstLineChars="200"/>
        <w:rPr>
          <w:rFonts w:asciiTheme="minorEastAsia" w:hAnsiTheme="minorEastAsia" w:eastAsiaTheme="minorEastAsia"/>
          <w:sz w:val="28"/>
          <w:szCs w:val="28"/>
        </w:rPr>
      </w:pPr>
      <w:bookmarkStart w:id="10" w:name="_Toc527122336"/>
      <w:bookmarkStart w:id="11" w:name="_Toc528663540"/>
      <w:bookmarkStart w:id="12" w:name="_Toc18397389"/>
      <w:r>
        <w:rPr>
          <w:rFonts w:hint="eastAsia" w:asciiTheme="minorEastAsia" w:hAnsiTheme="minorEastAsia" w:eastAsiaTheme="minorEastAsia"/>
          <w:sz w:val="28"/>
          <w:szCs w:val="28"/>
        </w:rPr>
        <w:t>三、存在的问题</w:t>
      </w:r>
      <w:bookmarkEnd w:id="10"/>
      <w:bookmarkEnd w:id="11"/>
      <w:r>
        <w:rPr>
          <w:rFonts w:hint="eastAsia" w:asciiTheme="minorEastAsia" w:hAnsiTheme="minorEastAsia" w:eastAsiaTheme="minorEastAsia"/>
          <w:sz w:val="28"/>
          <w:szCs w:val="28"/>
        </w:rPr>
        <w:t>及原因分析</w:t>
      </w:r>
      <w:bookmarkEnd w:id="12"/>
    </w:p>
    <w:p>
      <w:pPr>
        <w:spacing w:line="360" w:lineRule="auto"/>
        <w:ind w:firstLine="482" w:firstLineChars="200"/>
        <w:jc w:val="left"/>
        <w:rPr>
          <w:rFonts w:asciiTheme="minorEastAsia" w:hAnsiTheme="minorEastAsia" w:eastAsiaTheme="minorEastAsia"/>
          <w:b/>
          <w:sz w:val="24"/>
          <w:szCs w:val="24"/>
        </w:rPr>
      </w:pPr>
      <w:bookmarkStart w:id="13" w:name="_Toc528663541"/>
      <w:bookmarkStart w:id="14" w:name="_Toc527122340"/>
      <w:r>
        <w:rPr>
          <w:rFonts w:hint="eastAsia" w:asciiTheme="minorEastAsia" w:hAnsiTheme="minorEastAsia" w:eastAsiaTheme="minorEastAsia"/>
          <w:b/>
          <w:sz w:val="24"/>
          <w:szCs w:val="24"/>
        </w:rPr>
        <w:t>（一）项目产出较低。</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相关乡镇污水处理设施实际污水处理量远低于合同约定的保底营运负荷量，项目实际完成率低。2018年1-3季度保底营运负荷2,592,135.00立方米，实际污水处理量722,590.92立方米，仅为保底营运负荷的27.88%。</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产生上述问题的主要原因：我国对小城镇污水处理厂的设计尚无专门的规范，污水处理设施普遍存在设计缺陷，管网覆盖不足，导致污水收集率不高，污水处理能力利用不足，实际污水处理量远低于保底营运负荷量。</w:t>
      </w:r>
    </w:p>
    <w:p>
      <w:pPr>
        <w:spacing w:line="360" w:lineRule="auto"/>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（二）项目开展的依据不够合理</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重庆市北碚区人民政府与重庆市环保投资有限公司签订的《乡镇污水处理设施建设运营合同》确定的污水处理量不够科学，导致财政资金利用效率不高。</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协议，北碚区7个乡镇污水处理设施按保底负荷（污水处理设施设计负荷的90%）乘以固定单价计算污水处理服务费。2018年1-3季度区生态环境局核定并支付乡镇污水处理服务费5,849,257.05元，按实际污水处理量乘以约定单价计算的污水处理服务费为1,647,731.74元，差额为4,201,525.31元。</w:t>
      </w:r>
    </w:p>
    <w:p>
      <w:pPr>
        <w:pStyle w:val="2"/>
        <w:spacing w:before="0" w:after="0"/>
        <w:ind w:left="420"/>
        <w:rPr>
          <w:rFonts w:asciiTheme="minorEastAsia" w:hAnsiTheme="minorEastAsia" w:eastAsiaTheme="minorEastAsia"/>
          <w:sz w:val="28"/>
          <w:szCs w:val="28"/>
        </w:rPr>
      </w:pPr>
      <w:bookmarkStart w:id="15" w:name="_Toc18397390"/>
      <w:r>
        <w:rPr>
          <w:rFonts w:hint="eastAsia" w:asciiTheme="minorEastAsia" w:hAnsiTheme="minorEastAsia" w:eastAsiaTheme="minorEastAsia"/>
          <w:sz w:val="28"/>
          <w:szCs w:val="28"/>
        </w:rPr>
        <w:t>四、对策及</w:t>
      </w:r>
      <w:r>
        <w:rPr>
          <w:rFonts w:asciiTheme="minorEastAsia" w:hAnsiTheme="minorEastAsia" w:eastAsiaTheme="minorEastAsia"/>
          <w:sz w:val="28"/>
          <w:szCs w:val="28"/>
        </w:rPr>
        <w:t>建议</w:t>
      </w:r>
      <w:bookmarkEnd w:id="13"/>
      <w:bookmarkEnd w:id="14"/>
      <w:bookmarkEnd w:id="15"/>
    </w:p>
    <w:p>
      <w:pPr>
        <w:spacing w:line="56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（一）加快北碚区乡镇污水处理设施建设及改造</w:t>
      </w:r>
    </w:p>
    <w:p>
      <w:pPr>
        <w:spacing w:line="56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建议加快北碚区乡镇污水处理设施建设及改造，改善污水处理设施存在设计缺陷，扩大污水管网覆盖面，提高污水收集率，充分利用污水处理能力。加强政府相关部门与第三方运营企业之间的协作以及对污水处理厂的日常运营监管，改善污水处理厂处理能力利用不足的问题。让项目能够持续改善北碚区乡镇人居环境，实现政府和广大人民群众对污水治理的美好愿景。</w:t>
      </w:r>
    </w:p>
    <w:p>
      <w:pPr>
        <w:spacing w:line="360" w:lineRule="auto"/>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（二）重新商讨合同定价</w:t>
      </w:r>
    </w:p>
    <w:p>
      <w:pPr>
        <w:spacing w:line="360" w:lineRule="auto"/>
        <w:ind w:firstLine="480" w:firstLineChars="200"/>
        <w:jc w:val="left"/>
        <w:rPr>
          <w:rFonts w:asciiTheme="minorEastAsia" w:hAnsiTheme="minorEastAsia" w:eastAsiaTheme="minorEastAsia"/>
          <w:sz w:val="32"/>
          <w:szCs w:val="32"/>
        </w:rPr>
      </w:pPr>
      <w:r>
        <w:rPr>
          <w:rFonts w:hint="eastAsia" w:asciiTheme="minorEastAsia" w:hAnsiTheme="minorEastAsia" w:eastAsiaTheme="minorEastAsia"/>
          <w:bCs/>
          <w:sz w:val="24"/>
          <w:szCs w:val="24"/>
        </w:rPr>
        <w:t>建议北碚区人民政府与重庆市环保投资有限公司结合各乡镇污水处理设施运行效率等实际情况，重新审视《乡镇污水处理设施建设运营合同》约定的计费依据、调价原则是否合理，适当调整现有污水处理服务费计费依据，合理确定乡镇污水处理资金支出规模，</w:t>
      </w:r>
      <w:r>
        <w:rPr>
          <w:rFonts w:hint="eastAsia" w:asciiTheme="minorEastAsia" w:hAnsiTheme="minorEastAsia" w:eastAsiaTheme="minorEastAsia"/>
          <w:sz w:val="24"/>
          <w:szCs w:val="24"/>
        </w:rPr>
        <w:t>提高财政资金利用效率</w:t>
      </w:r>
      <w:r>
        <w:rPr>
          <w:rFonts w:hint="eastAsia" w:asciiTheme="minorEastAsia" w:hAnsiTheme="minorEastAsia" w:eastAsiaTheme="minorEastAsia"/>
          <w:bCs/>
          <w:sz w:val="24"/>
          <w:szCs w:val="24"/>
        </w:rPr>
        <w:t>。</w:t>
      </w:r>
      <w:bookmarkStart w:id="16" w:name="_Toc528663542"/>
    </w:p>
    <w:p>
      <w:pPr>
        <w:spacing w:line="360" w:lineRule="auto"/>
        <w:ind w:firstLine="640" w:firstLineChars="200"/>
        <w:jc w:val="left"/>
        <w:rPr>
          <w:rFonts w:asciiTheme="minorEastAsia" w:hAnsiTheme="minorEastAsia" w:eastAsiaTheme="minorEastAsia"/>
          <w:sz w:val="32"/>
          <w:szCs w:val="32"/>
        </w:rPr>
      </w:pPr>
    </w:p>
    <w:p>
      <w:pPr>
        <w:spacing w:line="360" w:lineRule="auto"/>
        <w:ind w:firstLine="640" w:firstLineChars="200"/>
        <w:jc w:val="left"/>
        <w:rPr>
          <w:rFonts w:asciiTheme="minorEastAsia" w:hAnsiTheme="minorEastAsia" w:eastAsiaTheme="minorEastAsia"/>
          <w:sz w:val="32"/>
          <w:szCs w:val="32"/>
        </w:rPr>
      </w:pPr>
    </w:p>
    <w:p>
      <w:pPr>
        <w:spacing w:line="360" w:lineRule="auto"/>
        <w:ind w:firstLine="640" w:firstLineChars="200"/>
        <w:jc w:val="left"/>
        <w:rPr>
          <w:rFonts w:asciiTheme="minorEastAsia" w:hAnsiTheme="minorEastAsia" w:eastAsiaTheme="minorEastAsia"/>
          <w:sz w:val="32"/>
          <w:szCs w:val="32"/>
        </w:rPr>
      </w:pPr>
    </w:p>
    <w:p>
      <w:pPr>
        <w:spacing w:line="360" w:lineRule="auto"/>
        <w:ind w:firstLine="640" w:firstLineChars="200"/>
        <w:jc w:val="left"/>
        <w:rPr>
          <w:rFonts w:asciiTheme="minorEastAsia" w:hAnsiTheme="minorEastAsia" w:eastAsiaTheme="minorEastAsia"/>
          <w:sz w:val="32"/>
          <w:szCs w:val="32"/>
        </w:rPr>
      </w:pPr>
    </w:p>
    <w:p>
      <w:pPr>
        <w:spacing w:line="360" w:lineRule="auto"/>
        <w:ind w:firstLine="640" w:firstLineChars="200"/>
        <w:jc w:val="left"/>
        <w:rPr>
          <w:rFonts w:asciiTheme="minorEastAsia" w:hAnsiTheme="minorEastAsia" w:eastAsiaTheme="minorEastAsia"/>
          <w:sz w:val="32"/>
          <w:szCs w:val="32"/>
        </w:rPr>
      </w:pPr>
    </w:p>
    <w:p>
      <w:pPr>
        <w:spacing w:line="360" w:lineRule="auto"/>
        <w:ind w:firstLine="640" w:firstLineChars="200"/>
        <w:jc w:val="left"/>
        <w:rPr>
          <w:rFonts w:asciiTheme="minorEastAsia" w:hAnsiTheme="minorEastAsia" w:eastAsiaTheme="minorEastAsia"/>
          <w:sz w:val="32"/>
          <w:szCs w:val="32"/>
        </w:rPr>
      </w:pPr>
    </w:p>
    <w:p>
      <w:pPr>
        <w:spacing w:line="360" w:lineRule="auto"/>
        <w:ind w:firstLine="640" w:firstLineChars="200"/>
        <w:jc w:val="left"/>
        <w:rPr>
          <w:rFonts w:asciiTheme="minorEastAsia" w:hAnsiTheme="minorEastAsia" w:eastAsiaTheme="minorEastAsia"/>
          <w:sz w:val="32"/>
          <w:szCs w:val="32"/>
        </w:rPr>
      </w:pPr>
    </w:p>
    <w:p>
      <w:pPr>
        <w:spacing w:line="360" w:lineRule="auto"/>
        <w:ind w:firstLine="640" w:firstLineChars="200"/>
        <w:jc w:val="left"/>
        <w:rPr>
          <w:rFonts w:asciiTheme="minorEastAsia" w:hAnsiTheme="minorEastAsia" w:eastAsiaTheme="minorEastAsia"/>
          <w:sz w:val="32"/>
          <w:szCs w:val="32"/>
        </w:rPr>
      </w:pPr>
    </w:p>
    <w:p>
      <w:pPr>
        <w:spacing w:line="360" w:lineRule="auto"/>
        <w:ind w:firstLine="640" w:firstLineChars="200"/>
        <w:jc w:val="left"/>
        <w:rPr>
          <w:rFonts w:asciiTheme="minorEastAsia" w:hAnsiTheme="minorEastAsia" w:eastAsiaTheme="minorEastAsia"/>
          <w:sz w:val="32"/>
          <w:szCs w:val="32"/>
        </w:rPr>
      </w:pPr>
    </w:p>
    <w:p>
      <w:pPr>
        <w:spacing w:line="360" w:lineRule="auto"/>
        <w:ind w:firstLine="640" w:firstLineChars="200"/>
        <w:jc w:val="left"/>
        <w:rPr>
          <w:rFonts w:asciiTheme="minorEastAsia" w:hAnsiTheme="minorEastAsia" w:eastAsiaTheme="minorEastAsia"/>
          <w:sz w:val="32"/>
          <w:szCs w:val="32"/>
        </w:rPr>
      </w:pPr>
    </w:p>
    <w:p>
      <w:pPr>
        <w:spacing w:line="360" w:lineRule="auto"/>
        <w:ind w:firstLine="640" w:firstLineChars="200"/>
        <w:jc w:val="left"/>
        <w:rPr>
          <w:rFonts w:asciiTheme="minorEastAsia" w:hAnsiTheme="minorEastAsia" w:eastAsiaTheme="minorEastAsia"/>
          <w:sz w:val="32"/>
          <w:szCs w:val="32"/>
        </w:rPr>
      </w:pPr>
    </w:p>
    <w:p>
      <w:pPr>
        <w:spacing w:line="360" w:lineRule="auto"/>
        <w:jc w:val="left"/>
        <w:rPr>
          <w:rFonts w:asciiTheme="minorEastAsia" w:hAnsiTheme="minorEastAsia" w:eastAsiaTheme="minorEastAsia"/>
          <w:sz w:val="32"/>
          <w:szCs w:val="32"/>
        </w:rPr>
      </w:pPr>
    </w:p>
    <w:p>
      <w:pPr>
        <w:spacing w:line="360" w:lineRule="auto"/>
        <w:ind w:firstLine="643" w:firstLineChars="20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北碚区2019年预算绩效评价项目</w:t>
      </w:r>
    </w:p>
    <w:p>
      <w:pPr>
        <w:widowControl/>
        <w:ind w:firstLine="72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2018年第1-3季度乡镇污水处理服务费项目绩效评价报告</w:t>
      </w:r>
    </w:p>
    <w:p>
      <w:pPr>
        <w:pStyle w:val="16"/>
        <w:rPr>
          <w:rFonts w:asciiTheme="minorEastAsia" w:hAnsiTheme="minorEastAsia" w:eastAsiaTheme="minorEastAsia"/>
        </w:rPr>
      </w:pPr>
      <w:bookmarkStart w:id="17" w:name="_Toc18397391"/>
      <w:r>
        <w:rPr>
          <w:rFonts w:hint="eastAsia" w:asciiTheme="minorEastAsia" w:hAnsiTheme="minorEastAsia" w:eastAsiaTheme="minorEastAsia"/>
        </w:rPr>
        <w:t>第二部分：报告正文</w:t>
      </w:r>
      <w:bookmarkEnd w:id="16"/>
      <w:bookmarkEnd w:id="17"/>
    </w:p>
    <w:p>
      <w:pPr>
        <w:pStyle w:val="2"/>
        <w:spacing w:before="0" w:after="0" w:line="560" w:lineRule="exact"/>
        <w:ind w:left="562"/>
        <w:rPr>
          <w:rFonts w:asciiTheme="minorEastAsia" w:hAnsiTheme="minorEastAsia" w:eastAsiaTheme="minorEastAsia"/>
          <w:sz w:val="28"/>
          <w:szCs w:val="28"/>
        </w:rPr>
      </w:pPr>
      <w:bookmarkStart w:id="18" w:name="_Toc528663543"/>
      <w:bookmarkStart w:id="19" w:name="_Toc18397392"/>
      <w:r>
        <w:rPr>
          <w:rFonts w:hint="eastAsia" w:asciiTheme="minorEastAsia" w:hAnsiTheme="minorEastAsia" w:eastAsiaTheme="minorEastAsia"/>
          <w:sz w:val="28"/>
          <w:szCs w:val="28"/>
        </w:rPr>
        <w:t>一、绩效评价项目</w:t>
      </w:r>
      <w:bookmarkEnd w:id="18"/>
      <w:r>
        <w:rPr>
          <w:rFonts w:hint="eastAsia" w:asciiTheme="minorEastAsia" w:hAnsiTheme="minorEastAsia" w:eastAsiaTheme="minorEastAsia"/>
          <w:sz w:val="28"/>
          <w:szCs w:val="28"/>
        </w:rPr>
        <w:t>基本情况</w:t>
      </w:r>
      <w:bookmarkEnd w:id="19"/>
    </w:p>
    <w:p>
      <w:pPr>
        <w:pStyle w:val="3"/>
        <w:spacing w:before="0" w:after="0" w:line="560" w:lineRule="exact"/>
        <w:ind w:left="420"/>
        <w:rPr>
          <w:rFonts w:asciiTheme="minorEastAsia" w:hAnsiTheme="minorEastAsia" w:eastAsiaTheme="minorEastAsia"/>
          <w:sz w:val="24"/>
          <w:szCs w:val="24"/>
        </w:rPr>
      </w:pPr>
      <w:bookmarkStart w:id="20" w:name="_Toc527122345"/>
      <w:bookmarkStart w:id="21" w:name="_Toc528663544"/>
      <w:bookmarkStart w:id="22" w:name="_Toc18397393"/>
      <w:r>
        <w:rPr>
          <w:rFonts w:hint="eastAsia" w:asciiTheme="minorEastAsia" w:hAnsiTheme="minorEastAsia" w:eastAsiaTheme="minorEastAsia"/>
          <w:sz w:val="24"/>
          <w:szCs w:val="24"/>
        </w:rPr>
        <w:t>（一）项目名称</w:t>
      </w:r>
      <w:bookmarkEnd w:id="20"/>
      <w:bookmarkEnd w:id="21"/>
      <w:bookmarkEnd w:id="22"/>
    </w:p>
    <w:p>
      <w:pPr>
        <w:spacing w:line="560" w:lineRule="exact"/>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2018年第1-3季度乡镇污水处理服务费项目绩效评价。</w:t>
      </w:r>
    </w:p>
    <w:p>
      <w:pPr>
        <w:pStyle w:val="3"/>
        <w:spacing w:before="0" w:after="0" w:line="560" w:lineRule="exact"/>
        <w:ind w:left="420"/>
        <w:rPr>
          <w:rFonts w:cs="仿宋_GB2312" w:asciiTheme="minorEastAsia" w:hAnsiTheme="minorEastAsia" w:eastAsiaTheme="minorEastAsia"/>
          <w:b w:val="0"/>
          <w:bCs w:val="0"/>
          <w:kern w:val="2"/>
          <w:sz w:val="24"/>
          <w:szCs w:val="24"/>
        </w:rPr>
      </w:pPr>
      <w:bookmarkStart w:id="23" w:name="_Toc527122346"/>
      <w:bookmarkStart w:id="24" w:name="_Toc528663545"/>
      <w:bookmarkStart w:id="25" w:name="_Toc18397394"/>
      <w:r>
        <w:rPr>
          <w:rFonts w:hint="eastAsia" w:asciiTheme="minorEastAsia" w:hAnsiTheme="minorEastAsia" w:eastAsiaTheme="minorEastAsia"/>
          <w:sz w:val="24"/>
          <w:szCs w:val="24"/>
        </w:rPr>
        <w:t>（二）项目</w:t>
      </w:r>
      <w:bookmarkEnd w:id="23"/>
      <w:bookmarkEnd w:id="24"/>
      <w:r>
        <w:rPr>
          <w:rFonts w:hint="eastAsia" w:asciiTheme="minorEastAsia" w:hAnsiTheme="minorEastAsia" w:eastAsiaTheme="minorEastAsia"/>
          <w:sz w:val="24"/>
          <w:szCs w:val="24"/>
        </w:rPr>
        <w:t>范围</w:t>
      </w:r>
      <w:bookmarkEnd w:id="25"/>
    </w:p>
    <w:p>
      <w:pPr>
        <w:spacing w:line="560" w:lineRule="exact"/>
        <w:ind w:firstLine="482"/>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项目涉及单位：重庆市北碚区生态环境局（以下简称区生态环境局）</w:t>
      </w:r>
      <w:r>
        <w:rPr>
          <w:rFonts w:hint="eastAsia" w:asciiTheme="minorEastAsia" w:hAnsiTheme="minorEastAsia" w:eastAsiaTheme="minorEastAsia"/>
          <w:sz w:val="24"/>
        </w:rPr>
        <w:t>。</w:t>
      </w:r>
    </w:p>
    <w:p>
      <w:pPr>
        <w:pStyle w:val="3"/>
        <w:spacing w:before="0" w:after="0" w:line="560" w:lineRule="exact"/>
        <w:ind w:firstLine="482" w:firstLineChars="200"/>
        <w:rPr>
          <w:rFonts w:asciiTheme="minorEastAsia" w:hAnsiTheme="minorEastAsia" w:eastAsiaTheme="minorEastAsia"/>
          <w:sz w:val="24"/>
          <w:szCs w:val="24"/>
        </w:rPr>
      </w:pPr>
      <w:bookmarkStart w:id="26" w:name="_Toc18397395"/>
      <w:bookmarkStart w:id="27" w:name="_Toc528661026"/>
      <w:r>
        <w:rPr>
          <w:rFonts w:hint="eastAsia" w:asciiTheme="minorEastAsia" w:hAnsiTheme="minorEastAsia" w:eastAsiaTheme="minorEastAsia"/>
          <w:sz w:val="24"/>
          <w:szCs w:val="24"/>
        </w:rPr>
        <w:t>（三）项目资金主要使用范围</w:t>
      </w:r>
      <w:bookmarkEnd w:id="26"/>
      <w:bookmarkEnd w:id="27"/>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重庆市北碚区人民政府与重庆市环保投资有限公司签订的《乡镇污水处理设施建设运营合同》，乡镇污水处理服务费用于北碚区7个街镇污水处理设施的污水处理服务费，涵盖污水处理经营成本补偿和合理的投资回报。设施明细详见下表：</w:t>
      </w:r>
    </w:p>
    <w:tbl>
      <w:tblPr>
        <w:tblStyle w:val="18"/>
        <w:tblW w:w="5000" w:type="pct"/>
        <w:tblInd w:w="0" w:type="dxa"/>
        <w:tblLayout w:type="autofit"/>
        <w:tblCellMar>
          <w:top w:w="0" w:type="dxa"/>
          <w:left w:w="108" w:type="dxa"/>
          <w:bottom w:w="0" w:type="dxa"/>
          <w:right w:w="108" w:type="dxa"/>
        </w:tblCellMar>
      </w:tblPr>
      <w:tblGrid>
        <w:gridCol w:w="864"/>
        <w:gridCol w:w="3355"/>
        <w:gridCol w:w="2124"/>
        <w:gridCol w:w="1277"/>
        <w:gridCol w:w="1553"/>
      </w:tblGrid>
      <w:tr>
        <w:tblPrEx>
          <w:tblCellMar>
            <w:top w:w="0" w:type="dxa"/>
            <w:left w:w="108" w:type="dxa"/>
            <w:bottom w:w="0" w:type="dxa"/>
            <w:right w:w="108" w:type="dxa"/>
          </w:tblCellMar>
        </w:tblPrEx>
        <w:trPr>
          <w:trHeight w:val="280" w:hRule="atLeast"/>
        </w:trPr>
        <w:tc>
          <w:tcPr>
            <w:tcW w:w="471" w:type="pct"/>
            <w:tcBorders>
              <w:top w:val="single" w:color="auto" w:sz="8"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序号</w:t>
            </w:r>
          </w:p>
        </w:tc>
        <w:tc>
          <w:tcPr>
            <w:tcW w:w="1829"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乡镇污水处理设施名称</w:t>
            </w:r>
          </w:p>
        </w:tc>
        <w:tc>
          <w:tcPr>
            <w:tcW w:w="1158"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所属乡镇街道</w:t>
            </w:r>
          </w:p>
        </w:tc>
        <w:tc>
          <w:tcPr>
            <w:tcW w:w="69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建设情况</w:t>
            </w:r>
          </w:p>
        </w:tc>
        <w:tc>
          <w:tcPr>
            <w:tcW w:w="846" w:type="pct"/>
            <w:tcBorders>
              <w:top w:val="single" w:color="auto" w:sz="8" w:space="0"/>
              <w:left w:val="nil"/>
              <w:bottom w:val="single" w:color="auto" w:sz="4" w:space="0"/>
            </w:tcBorders>
            <w:vAlign w:val="bottom"/>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设计处理能力（万m³/d）</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1829"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东阳污水处理厂</w:t>
            </w:r>
          </w:p>
        </w:tc>
        <w:tc>
          <w:tcPr>
            <w:tcW w:w="115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东阳街道</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0.600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1829"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澄江污水处理厂</w:t>
            </w:r>
          </w:p>
        </w:tc>
        <w:tc>
          <w:tcPr>
            <w:tcW w:w="115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澄江镇</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0.120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1829"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柳荫污水处理厂</w:t>
            </w:r>
          </w:p>
        </w:tc>
        <w:tc>
          <w:tcPr>
            <w:tcW w:w="115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柳荫镇</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0.100</w:t>
            </w:r>
          </w:p>
        </w:tc>
      </w:tr>
      <w:tr>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1829"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金刀峡污水处理厂</w:t>
            </w:r>
          </w:p>
        </w:tc>
        <w:tc>
          <w:tcPr>
            <w:tcW w:w="115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金刀峡镇</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0.100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829"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三圣污水处理厂</w:t>
            </w:r>
          </w:p>
        </w:tc>
        <w:tc>
          <w:tcPr>
            <w:tcW w:w="115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三圣镇</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0.080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1829"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台农园污水处理厂</w:t>
            </w:r>
          </w:p>
        </w:tc>
        <w:tc>
          <w:tcPr>
            <w:tcW w:w="115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静观镇</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0.055</w:t>
            </w:r>
          </w:p>
        </w:tc>
      </w:tr>
      <w:tr>
        <w:tblPrEx>
          <w:tblCellMar>
            <w:top w:w="0" w:type="dxa"/>
            <w:left w:w="108" w:type="dxa"/>
            <w:bottom w:w="0" w:type="dxa"/>
            <w:right w:w="108" w:type="dxa"/>
          </w:tblCellMar>
        </w:tblPrEx>
        <w:trPr>
          <w:trHeight w:val="280" w:hRule="atLeast"/>
        </w:trPr>
        <w:tc>
          <w:tcPr>
            <w:tcW w:w="471" w:type="pct"/>
            <w:tcBorders>
              <w:top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829"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静观污水处理厂</w:t>
            </w:r>
          </w:p>
        </w:tc>
        <w:tc>
          <w:tcPr>
            <w:tcW w:w="1158"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静观镇</w:t>
            </w:r>
          </w:p>
        </w:tc>
        <w:tc>
          <w:tcPr>
            <w:tcW w:w="696"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改建</w:t>
            </w:r>
          </w:p>
        </w:tc>
        <w:tc>
          <w:tcPr>
            <w:tcW w:w="846" w:type="pct"/>
            <w:tcBorders>
              <w:top w:val="single" w:color="auto" w:sz="4" w:space="0"/>
              <w:left w:val="nil"/>
              <w:bottom w:val="single" w:color="auto" w:sz="4" w:space="0"/>
            </w:tcBorders>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0.300</w:t>
            </w:r>
          </w:p>
        </w:tc>
      </w:tr>
      <w:tr>
        <w:trPr>
          <w:trHeight w:val="280" w:hRule="atLeast"/>
        </w:trPr>
        <w:tc>
          <w:tcPr>
            <w:tcW w:w="4154" w:type="pct"/>
            <w:gridSpan w:val="4"/>
            <w:tcBorders>
              <w:top w:val="nil"/>
              <w:bottom w:val="single" w:color="auto" w:sz="8"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合计</w:t>
            </w:r>
          </w:p>
        </w:tc>
        <w:tc>
          <w:tcPr>
            <w:tcW w:w="846" w:type="pct"/>
            <w:tcBorders>
              <w:top w:val="nil"/>
              <w:left w:val="nil"/>
              <w:bottom w:val="single" w:color="auto" w:sz="8" w:space="0"/>
            </w:tcBorders>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1.355</w:t>
            </w:r>
          </w:p>
        </w:tc>
      </w:tr>
    </w:tbl>
    <w:p>
      <w:pPr>
        <w:pStyle w:val="3"/>
        <w:spacing w:before="0" w:after="0" w:line="560" w:lineRule="exact"/>
        <w:ind w:left="420"/>
        <w:rPr>
          <w:rFonts w:asciiTheme="minorEastAsia" w:hAnsiTheme="minorEastAsia" w:eastAsiaTheme="minorEastAsia"/>
          <w:sz w:val="24"/>
          <w:szCs w:val="24"/>
        </w:rPr>
      </w:pPr>
      <w:bookmarkStart w:id="28" w:name="_Toc18397396"/>
      <w:bookmarkStart w:id="29" w:name="_Toc528663550"/>
      <w:r>
        <w:rPr>
          <w:rFonts w:hint="eastAsia" w:asciiTheme="minorEastAsia" w:hAnsiTheme="minorEastAsia" w:eastAsiaTheme="minorEastAsia"/>
          <w:sz w:val="24"/>
          <w:szCs w:val="24"/>
        </w:rPr>
        <w:t>（四）项目实施情况</w:t>
      </w:r>
      <w:bookmarkEnd w:id="28"/>
    </w:p>
    <w:p>
      <w:pPr>
        <w:spacing w:line="560" w:lineRule="exact"/>
        <w:ind w:firstLine="600" w:firstLineChars="250"/>
        <w:rPr>
          <w:rFonts w:cs="仿宋_GB2312" w:asciiTheme="minorEastAsia" w:hAnsiTheme="minorEastAsia" w:eastAsiaTheme="minorEastAsia"/>
          <w:sz w:val="24"/>
        </w:rPr>
      </w:pPr>
      <w:r>
        <w:rPr>
          <w:rFonts w:hint="eastAsia" w:cs="仿宋_GB2312" w:asciiTheme="minorEastAsia" w:hAnsiTheme="minorEastAsia" w:eastAsiaTheme="minorEastAsia"/>
          <w:sz w:val="24"/>
        </w:rPr>
        <w:t>2018年1-3季度，柳荫污水处理厂未处理污水，其余6个污水处理厂均正常运行，区生态环境局已按保底负荷及时足额支付乡镇污水处理服务费。每个运营月度结束后重庆市环保投资有限公司及时委托第三方单位对处理后的水质是否达标进行监测并将各污水处理设施的污水处理量报送区生态环境局，由区生态环境局对实际污水处理量进行核实并对处理后的水质进行定期监督性监测。区财政局按季度将核定后的污水处理服务费及时足额拨付给区生态环境局，区生态环境局收到污水处理服务费发票后及时支付给重庆市环保投资有限公司。</w:t>
      </w:r>
    </w:p>
    <w:p>
      <w:pPr>
        <w:pStyle w:val="3"/>
        <w:spacing w:before="0" w:after="0" w:line="560" w:lineRule="exact"/>
        <w:ind w:left="420"/>
        <w:rPr>
          <w:rFonts w:asciiTheme="minorEastAsia" w:hAnsiTheme="minorEastAsia" w:eastAsiaTheme="minorEastAsia"/>
          <w:sz w:val="24"/>
          <w:szCs w:val="24"/>
        </w:rPr>
      </w:pPr>
      <w:bookmarkStart w:id="30" w:name="_Toc18397397"/>
      <w:r>
        <w:rPr>
          <w:rFonts w:hint="eastAsia" w:asciiTheme="minorEastAsia" w:hAnsiTheme="minorEastAsia" w:eastAsiaTheme="minorEastAsia"/>
          <w:sz w:val="24"/>
          <w:szCs w:val="24"/>
        </w:rPr>
        <w:t>（五）项目目标</w:t>
      </w:r>
      <w:bookmarkEnd w:id="30"/>
    </w:p>
    <w:p>
      <w:pPr>
        <w:spacing w:line="560" w:lineRule="exact"/>
        <w:ind w:firstLine="480" w:firstLineChars="200"/>
        <w:rPr>
          <w:rFonts w:cs="仿宋_GB2312" w:asciiTheme="minorEastAsia" w:hAnsiTheme="minorEastAsia" w:eastAsiaTheme="minorEastAsia"/>
          <w:sz w:val="24"/>
          <w:szCs w:val="24"/>
        </w:rPr>
      </w:pPr>
      <w:r>
        <w:rPr>
          <w:rFonts w:hint="eastAsia" w:asciiTheme="minorEastAsia" w:hAnsiTheme="minorEastAsia" w:eastAsiaTheme="minorEastAsia"/>
          <w:sz w:val="24"/>
          <w:szCs w:val="24"/>
        </w:rPr>
        <w:t>加快城乡污水处理设施建设，提高污水处理能力和标准，促使城乡污水处理设施充分发挥环境效益、社会效益、经济效益；改善环境、减少污染物排放，提升城镇功能。</w:t>
      </w:r>
    </w:p>
    <w:p>
      <w:pPr>
        <w:pStyle w:val="2"/>
        <w:spacing w:before="0" w:after="0" w:line="560" w:lineRule="exact"/>
        <w:ind w:left="562"/>
        <w:rPr>
          <w:rFonts w:asciiTheme="minorEastAsia" w:hAnsiTheme="minorEastAsia" w:eastAsiaTheme="minorEastAsia"/>
          <w:sz w:val="28"/>
          <w:szCs w:val="28"/>
        </w:rPr>
      </w:pPr>
      <w:bookmarkStart w:id="31" w:name="_Toc18397398"/>
      <w:r>
        <w:rPr>
          <w:rFonts w:hint="eastAsia" w:asciiTheme="minorEastAsia" w:hAnsiTheme="minorEastAsia" w:eastAsiaTheme="minorEastAsia"/>
          <w:sz w:val="28"/>
          <w:szCs w:val="28"/>
        </w:rPr>
        <w:t>二、绩效评价的组织实施</w:t>
      </w:r>
      <w:bookmarkEnd w:id="29"/>
      <w:bookmarkEnd w:id="31"/>
    </w:p>
    <w:p>
      <w:pPr>
        <w:pStyle w:val="3"/>
        <w:spacing w:before="0" w:after="0" w:line="560" w:lineRule="exact"/>
        <w:ind w:left="420"/>
        <w:rPr>
          <w:rFonts w:asciiTheme="minorEastAsia" w:hAnsiTheme="minorEastAsia" w:eastAsiaTheme="minorEastAsia"/>
          <w:sz w:val="24"/>
          <w:szCs w:val="24"/>
        </w:rPr>
      </w:pPr>
      <w:bookmarkStart w:id="32" w:name="_Toc528663551"/>
      <w:bookmarkStart w:id="33" w:name="_Toc18397399"/>
      <w:r>
        <w:rPr>
          <w:rFonts w:hint="eastAsia" w:asciiTheme="minorEastAsia" w:hAnsiTheme="minorEastAsia" w:eastAsiaTheme="minorEastAsia"/>
          <w:sz w:val="24"/>
          <w:szCs w:val="24"/>
        </w:rPr>
        <w:t>（一）绩效评价目的</w:t>
      </w:r>
      <w:bookmarkEnd w:id="32"/>
      <w:bookmarkEnd w:id="33"/>
    </w:p>
    <w:p>
      <w:pPr>
        <w:spacing w:line="56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通过对项目产出、项目效益、公众满意度、项目管理四个方面的综合评价，总结经验规律，查找问题不足，提高财政专项资金使用成效，为完善北碚区财政资金管理提供决策参考。</w:t>
      </w:r>
    </w:p>
    <w:p>
      <w:pPr>
        <w:pStyle w:val="3"/>
        <w:spacing w:before="0" w:after="0" w:line="560" w:lineRule="exact"/>
        <w:ind w:left="420"/>
        <w:rPr>
          <w:rFonts w:asciiTheme="minorEastAsia" w:hAnsiTheme="minorEastAsia" w:eastAsiaTheme="minorEastAsia"/>
          <w:sz w:val="24"/>
          <w:szCs w:val="24"/>
        </w:rPr>
      </w:pPr>
      <w:bookmarkStart w:id="34" w:name="_Toc528663552"/>
      <w:bookmarkStart w:id="35" w:name="_Toc18397400"/>
      <w:r>
        <w:rPr>
          <w:rFonts w:hint="eastAsia" w:asciiTheme="minorEastAsia" w:hAnsiTheme="minorEastAsia" w:eastAsiaTheme="minorEastAsia"/>
          <w:sz w:val="24"/>
          <w:szCs w:val="24"/>
        </w:rPr>
        <w:t>（二）绩效评价组织管理</w:t>
      </w:r>
      <w:bookmarkEnd w:id="34"/>
      <w:bookmarkEnd w:id="35"/>
    </w:p>
    <w:p>
      <w:pPr>
        <w:autoSpaceDE w:val="0"/>
        <w:autoSpaceDN w:val="0"/>
        <w:adjustRightInd w:val="0"/>
        <w:spacing w:line="560" w:lineRule="exact"/>
        <w:ind w:firstLine="432" w:firstLineChars="180"/>
        <w:rPr>
          <w:rFonts w:asciiTheme="minorEastAsia" w:hAnsiTheme="minorEastAsia" w:eastAsiaTheme="minorEastAsia"/>
          <w:sz w:val="24"/>
          <w:szCs w:val="24"/>
        </w:rPr>
      </w:pPr>
      <w:bookmarkStart w:id="36" w:name="_Toc374553621"/>
      <w:bookmarkStart w:id="37" w:name="_Toc373830443"/>
      <w:bookmarkStart w:id="38" w:name="_Toc373740816"/>
      <w:bookmarkStart w:id="39" w:name="_Toc373830241"/>
      <w:bookmarkStart w:id="40" w:name="_Toc373744663"/>
      <w:bookmarkStart w:id="41" w:name="_Toc373740909"/>
      <w:bookmarkStart w:id="42" w:name="_Toc375561905"/>
      <w:bookmarkStart w:id="43" w:name="_Toc373741716"/>
      <w:bookmarkStart w:id="44" w:name="_Toc374021234"/>
      <w:bookmarkStart w:id="45" w:name="_Toc374609624"/>
      <w:bookmarkStart w:id="46" w:name="_Toc373741235"/>
      <w:bookmarkStart w:id="47" w:name="_Toc373740848"/>
      <w:r>
        <w:rPr>
          <w:rFonts w:hint="eastAsia" w:asciiTheme="minorEastAsia" w:hAnsiTheme="minorEastAsia" w:eastAsiaTheme="minorEastAsia"/>
          <w:sz w:val="24"/>
          <w:szCs w:val="24"/>
        </w:rPr>
        <w:t>本项目绩效评价工作由重庆市北碚区财政局统一组织，北碚区财政局经建科牵头，中审众环会计师事务所（特殊普通合伙）重庆分所参与，组成绩效评价工作组，具体负责绩效评价工作的实施和管理。</w:t>
      </w:r>
      <w:bookmarkEnd w:id="36"/>
      <w:bookmarkEnd w:id="37"/>
      <w:bookmarkEnd w:id="38"/>
      <w:bookmarkEnd w:id="39"/>
      <w:bookmarkEnd w:id="40"/>
      <w:bookmarkEnd w:id="41"/>
      <w:bookmarkEnd w:id="42"/>
      <w:bookmarkEnd w:id="43"/>
      <w:bookmarkEnd w:id="44"/>
      <w:bookmarkEnd w:id="45"/>
      <w:bookmarkEnd w:id="46"/>
      <w:bookmarkEnd w:id="47"/>
    </w:p>
    <w:p>
      <w:pPr>
        <w:pStyle w:val="3"/>
        <w:spacing w:before="0" w:after="0" w:line="560" w:lineRule="exact"/>
        <w:ind w:left="420"/>
        <w:rPr>
          <w:rFonts w:asciiTheme="minorEastAsia" w:hAnsiTheme="minorEastAsia" w:eastAsiaTheme="minorEastAsia"/>
          <w:sz w:val="24"/>
          <w:szCs w:val="24"/>
        </w:rPr>
      </w:pPr>
      <w:bookmarkStart w:id="48" w:name="_Toc528663553"/>
      <w:bookmarkStart w:id="49" w:name="_Toc18397401"/>
      <w:r>
        <w:rPr>
          <w:rFonts w:hint="eastAsia" w:asciiTheme="minorEastAsia" w:hAnsiTheme="minorEastAsia" w:eastAsiaTheme="minorEastAsia"/>
          <w:sz w:val="24"/>
          <w:szCs w:val="24"/>
        </w:rPr>
        <w:t>（三）绩效评价重点内容</w:t>
      </w:r>
      <w:bookmarkEnd w:id="48"/>
      <w:bookmarkEnd w:id="49"/>
    </w:p>
    <w:p>
      <w:pPr>
        <w:spacing w:line="56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本项目绩效评价重点是2018年第1-3季度乡镇污水处理服务费的投入情况和资金使用的有效性、合规性，以及所产生的社会效益。</w:t>
      </w:r>
    </w:p>
    <w:p>
      <w:pPr>
        <w:pStyle w:val="3"/>
        <w:spacing w:before="0" w:after="0" w:line="560" w:lineRule="exact"/>
        <w:ind w:left="420"/>
        <w:rPr>
          <w:rFonts w:asciiTheme="minorEastAsia" w:hAnsiTheme="minorEastAsia" w:eastAsiaTheme="minorEastAsia"/>
          <w:sz w:val="24"/>
          <w:szCs w:val="24"/>
        </w:rPr>
      </w:pPr>
      <w:bookmarkStart w:id="50" w:name="_Toc18397402"/>
      <w:bookmarkStart w:id="51" w:name="_Toc528663554"/>
      <w:r>
        <w:rPr>
          <w:rFonts w:hint="eastAsia" w:asciiTheme="minorEastAsia" w:hAnsiTheme="minorEastAsia" w:eastAsiaTheme="minorEastAsia"/>
          <w:sz w:val="24"/>
          <w:szCs w:val="24"/>
        </w:rPr>
        <w:t>（四）绩效评价主要依据</w:t>
      </w:r>
      <w:bookmarkEnd w:id="50"/>
      <w:bookmarkEnd w:id="51"/>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1.《中华人民共和国预算法》</w:t>
      </w:r>
    </w:p>
    <w:p>
      <w:pPr>
        <w:spacing w:line="560" w:lineRule="exact"/>
        <w:ind w:left="719" w:leftChars="228" w:hanging="240" w:hangingChars="10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2. 财政部关于印发《财政支出绩效评价管理暂行办法》的通知（财预〔2011〕285</w:t>
      </w:r>
    </w:p>
    <w:p>
      <w:pPr>
        <w:spacing w:line="560" w:lineRule="exact"/>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号）</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3《重庆市财政专项资金绩效评价管理暂行办法》（渝办发〔2011〕233号）</w:t>
      </w:r>
    </w:p>
    <w:p>
      <w:pPr>
        <w:spacing w:line="560" w:lineRule="exact"/>
        <w:ind w:left="719" w:leftChars="228" w:hanging="240" w:hangingChars="100"/>
        <w:rPr>
          <w:rFonts w:asciiTheme="minorEastAsia" w:hAnsiTheme="minorEastAsia" w:eastAsiaTheme="minorEastAsia"/>
          <w:bCs/>
          <w:sz w:val="24"/>
          <w:szCs w:val="24"/>
        </w:rPr>
      </w:pPr>
      <w:r>
        <w:rPr>
          <w:rFonts w:hint="eastAsia" w:asciiTheme="minorEastAsia" w:hAnsiTheme="minorEastAsia" w:eastAsiaTheme="minorEastAsia"/>
          <w:bCs/>
          <w:sz w:val="24"/>
          <w:szCs w:val="24"/>
        </w:rPr>
        <w:t>4《重庆市财政局关于进一步推进市级部门项目支出绩效评价工作的通知》（渝财</w:t>
      </w:r>
    </w:p>
    <w:p>
      <w:pPr>
        <w:spacing w:line="560" w:lineRule="exact"/>
        <w:rPr>
          <w:rFonts w:asciiTheme="minorEastAsia" w:hAnsiTheme="minorEastAsia" w:eastAsiaTheme="minorEastAsia"/>
          <w:bCs/>
          <w:sz w:val="24"/>
          <w:szCs w:val="24"/>
        </w:rPr>
      </w:pPr>
      <w:r>
        <w:rPr>
          <w:rFonts w:hint="eastAsia" w:asciiTheme="minorEastAsia" w:hAnsiTheme="minorEastAsia" w:eastAsiaTheme="minorEastAsia"/>
          <w:bCs/>
          <w:sz w:val="24"/>
          <w:szCs w:val="24"/>
        </w:rPr>
        <w:t>绩〔2013〕3号）</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5．《乡镇污水处理设施建设运营合同》</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6.《乡镇污水处理设施建设运营补充合同》</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7.《重庆市北碚区财政局关于下达2018年乡镇污水处理服务费预算的通知》</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8.《重庆市北碚区财政局关于下达2018年第2季度乡镇污水处理服务费预算的通知》</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9.《重庆市北碚区财政局关于下达2018年第3季度乡镇污水处理服务费预算的通知》</w:t>
      </w:r>
    </w:p>
    <w:p>
      <w:pPr>
        <w:pStyle w:val="3"/>
        <w:spacing w:before="0" w:after="0" w:line="560" w:lineRule="exact"/>
        <w:ind w:left="420"/>
        <w:rPr>
          <w:rFonts w:asciiTheme="minorEastAsia" w:hAnsiTheme="minorEastAsia" w:eastAsiaTheme="minorEastAsia"/>
          <w:sz w:val="24"/>
          <w:szCs w:val="24"/>
        </w:rPr>
      </w:pPr>
      <w:bookmarkStart w:id="52" w:name="_Toc528663555"/>
      <w:bookmarkStart w:id="53" w:name="_Toc18397403"/>
      <w:r>
        <w:rPr>
          <w:rFonts w:hint="eastAsia" w:asciiTheme="minorEastAsia" w:hAnsiTheme="minorEastAsia" w:eastAsiaTheme="minorEastAsia"/>
          <w:sz w:val="24"/>
          <w:szCs w:val="24"/>
        </w:rPr>
        <w:t>（五）绩效评价基本程序</w:t>
      </w:r>
      <w:bookmarkEnd w:id="52"/>
      <w:bookmarkEnd w:id="53"/>
    </w:p>
    <w:p>
      <w:pPr>
        <w:spacing w:line="560" w:lineRule="exact"/>
        <w:ind w:firstLine="480" w:firstLineChars="200"/>
        <w:jc w:val="left"/>
        <w:rPr>
          <w:rFonts w:cs="仿宋_GB2312" w:asciiTheme="minorEastAsia" w:hAnsiTheme="minorEastAsia" w:eastAsiaTheme="minorEastAsia"/>
          <w:sz w:val="24"/>
          <w:szCs w:val="24"/>
        </w:rPr>
      </w:pPr>
      <w:bookmarkStart w:id="54" w:name="_Toc527122360"/>
      <w:bookmarkStart w:id="55" w:name="_Toc528663556"/>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前期准备</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2019年6月24日-6月28日，完成绩效评价指标体系的初步设计。</w:t>
      </w:r>
    </w:p>
    <w:p>
      <w:pPr>
        <w:spacing w:line="560" w:lineRule="exact"/>
        <w:ind w:firstLine="480" w:firstLineChars="200"/>
        <w:jc w:val="lef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组织实施</w:t>
      </w:r>
    </w:p>
    <w:bookmarkEnd w:id="54"/>
    <w:p>
      <w:pPr>
        <w:spacing w:line="560" w:lineRule="exact"/>
        <w:ind w:firstLine="480" w:firstLineChars="200"/>
        <w:rPr>
          <w:rFonts w:asciiTheme="minorEastAsia" w:hAnsiTheme="minorEastAsia" w:eastAsiaTheme="minorEastAsia"/>
          <w:bCs/>
          <w:sz w:val="24"/>
          <w:szCs w:val="24"/>
        </w:rPr>
      </w:pPr>
      <w:bookmarkStart w:id="56" w:name="_Toc527122362"/>
      <w:r>
        <w:rPr>
          <w:rFonts w:hint="eastAsia" w:asciiTheme="minorEastAsia" w:hAnsiTheme="minorEastAsia" w:eastAsiaTheme="minorEastAsia"/>
          <w:bCs/>
          <w:sz w:val="24"/>
          <w:szCs w:val="24"/>
        </w:rPr>
        <w:t>2019年7月1日至7月12日，评价工作组进驻区生态环境局正式开展调研评价工作。</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现场调查阶段：2019年7月1日</w:t>
      </w:r>
      <w:r>
        <w:rPr>
          <w:rFonts w:asciiTheme="minorEastAsia" w:hAnsiTheme="minorEastAsia" w:eastAsiaTheme="minorEastAsia"/>
          <w:bCs/>
          <w:sz w:val="24"/>
          <w:szCs w:val="24"/>
        </w:rPr>
        <w:t>到区生态环境局进行基础信息调查，查看项目资料，了解基本情况，熟悉项目运作</w:t>
      </w:r>
      <w:r>
        <w:rPr>
          <w:rFonts w:hint="eastAsia" w:asciiTheme="minorEastAsia" w:hAnsiTheme="minorEastAsia" w:eastAsiaTheme="minorEastAsia"/>
          <w:bCs/>
          <w:sz w:val="24"/>
          <w:szCs w:val="24"/>
        </w:rPr>
        <w:t>。</w:t>
      </w:r>
    </w:p>
    <w:p>
      <w:pPr>
        <w:spacing w:line="560" w:lineRule="exact"/>
        <w:ind w:firstLine="480" w:firstLineChars="20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实质评价阶段：</w:t>
      </w:r>
      <w:r>
        <w:rPr>
          <w:rFonts w:asciiTheme="minorEastAsia" w:hAnsiTheme="minorEastAsia" w:eastAsiaTheme="minorEastAsia"/>
          <w:bCs/>
          <w:sz w:val="24"/>
          <w:szCs w:val="24"/>
        </w:rPr>
        <w:t>2018年</w:t>
      </w:r>
      <w:r>
        <w:rPr>
          <w:rFonts w:hint="eastAsia" w:asciiTheme="minorEastAsia" w:hAnsiTheme="minorEastAsia" w:eastAsiaTheme="minorEastAsia"/>
          <w:bCs/>
          <w:sz w:val="24"/>
          <w:szCs w:val="24"/>
        </w:rPr>
        <w:t>7</w:t>
      </w:r>
      <w:r>
        <w:rPr>
          <w:rFonts w:asciiTheme="minorEastAsia" w:hAnsiTheme="minorEastAsia" w:eastAsiaTheme="minorEastAsia"/>
          <w:bCs/>
          <w:sz w:val="24"/>
          <w:szCs w:val="24"/>
        </w:rPr>
        <w:t>月</w:t>
      </w:r>
      <w:r>
        <w:rPr>
          <w:rFonts w:hint="eastAsia" w:asciiTheme="minorEastAsia" w:hAnsiTheme="minorEastAsia" w:eastAsiaTheme="minorEastAsia"/>
          <w:bCs/>
          <w:sz w:val="24"/>
          <w:szCs w:val="24"/>
        </w:rPr>
        <w:t>3日至7月12日，进驻现场开展绩效评价工作。</w:t>
      </w:r>
    </w:p>
    <w:p>
      <w:pPr>
        <w:spacing w:line="560" w:lineRule="exact"/>
        <w:ind w:firstLine="480" w:firstLineChars="200"/>
        <w:jc w:val="lef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分析评价</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2019年7月16日至7月20日，</w:t>
      </w:r>
      <w:r>
        <w:rPr>
          <w:rFonts w:hint="eastAsia" w:asciiTheme="minorEastAsia" w:hAnsiTheme="minorEastAsia" w:eastAsiaTheme="minorEastAsia"/>
          <w:bCs/>
          <w:sz w:val="24"/>
          <w:szCs w:val="24"/>
        </w:rPr>
        <w:t>工作组整理工作底稿，对项目实施开展情况进行梳理总结，并对绩效评价指标体系的具体内容打分。</w:t>
      </w:r>
    </w:p>
    <w:p>
      <w:pPr>
        <w:spacing w:line="560" w:lineRule="exact"/>
        <w:ind w:firstLine="480" w:firstLineChars="200"/>
        <w:jc w:val="lef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形成报告</w:t>
      </w:r>
    </w:p>
    <w:p>
      <w:pPr>
        <w:spacing w:line="560" w:lineRule="exact"/>
        <w:ind w:firstLine="480" w:firstLineChars="200"/>
        <w:jc w:val="left"/>
        <w:rPr>
          <w:rFonts w:cs="仿宋_GB2312" w:asciiTheme="minorEastAsia" w:hAnsiTheme="minorEastAsia" w:eastAsiaTheme="minorEastAsia"/>
          <w:sz w:val="24"/>
          <w:szCs w:val="24"/>
        </w:rPr>
      </w:pPr>
      <w:r>
        <w:rPr>
          <w:rFonts w:hint="eastAsia" w:asciiTheme="minorEastAsia" w:hAnsiTheme="minorEastAsia" w:eastAsiaTheme="minorEastAsia"/>
          <w:bCs/>
          <w:sz w:val="24"/>
          <w:szCs w:val="24"/>
        </w:rPr>
        <w:t>2019年7月31日形成绩效评价初稿，送达相关部门征求意见，最终于2019年8月15日形成《北碚区2018年度预算绩效评价项目2018年第1-3季度乡镇污水处理服务费绩效评价报告》正式报告。</w:t>
      </w:r>
    </w:p>
    <w:bookmarkEnd w:id="56"/>
    <w:p>
      <w:pPr>
        <w:pStyle w:val="2"/>
        <w:spacing w:before="0" w:after="0" w:line="560" w:lineRule="exact"/>
        <w:ind w:left="562"/>
        <w:rPr>
          <w:rFonts w:asciiTheme="minorEastAsia" w:hAnsiTheme="minorEastAsia" w:eastAsiaTheme="minorEastAsia"/>
          <w:sz w:val="28"/>
          <w:szCs w:val="28"/>
        </w:rPr>
      </w:pPr>
      <w:bookmarkStart w:id="57" w:name="_Toc18397404"/>
      <w:r>
        <w:rPr>
          <w:rFonts w:hint="eastAsia" w:asciiTheme="minorEastAsia" w:hAnsiTheme="minorEastAsia" w:eastAsiaTheme="minorEastAsia"/>
          <w:sz w:val="28"/>
          <w:szCs w:val="28"/>
        </w:rPr>
        <w:t>三、绩效评价指标体系、评价标准和评价方法</w:t>
      </w:r>
      <w:bookmarkEnd w:id="55"/>
      <w:bookmarkEnd w:id="57"/>
    </w:p>
    <w:p>
      <w:pPr>
        <w:pStyle w:val="3"/>
        <w:spacing w:before="0" w:after="0" w:line="560" w:lineRule="exact"/>
        <w:ind w:left="420"/>
        <w:rPr>
          <w:rFonts w:asciiTheme="minorEastAsia" w:hAnsiTheme="minorEastAsia" w:eastAsiaTheme="minorEastAsia"/>
          <w:sz w:val="24"/>
          <w:szCs w:val="24"/>
        </w:rPr>
      </w:pPr>
      <w:bookmarkStart w:id="58" w:name="_Toc528663557"/>
      <w:bookmarkStart w:id="59" w:name="_Toc18397405"/>
      <w:r>
        <w:rPr>
          <w:rFonts w:hint="eastAsia" w:asciiTheme="minorEastAsia" w:hAnsiTheme="minorEastAsia" w:eastAsiaTheme="minorEastAsia"/>
          <w:sz w:val="24"/>
          <w:szCs w:val="24"/>
        </w:rPr>
        <w:t>（一）绩效评价指标体系及评价标准</w:t>
      </w:r>
      <w:bookmarkEnd w:id="58"/>
      <w:bookmarkEnd w:id="59"/>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评价工作组在前期调研、资料搜集、文献查阅基础上，拟定了绩效评价指标体系初稿，会同相关专家对指标进行沟通和商定，制定了指标体系及评价标准。整个指标体系共设有产出（30分）、效益（30分）、满意度（10分）、管理（30分）</w:t>
      </w:r>
      <w:r>
        <w:rPr>
          <w:rFonts w:asciiTheme="minorEastAsia" w:hAnsiTheme="minorEastAsia" w:eastAsiaTheme="minorEastAsia"/>
          <w:bCs/>
          <w:sz w:val="24"/>
          <w:szCs w:val="24"/>
        </w:rPr>
        <w:t>4</w:t>
      </w:r>
      <w:r>
        <w:rPr>
          <w:rFonts w:hint="eastAsia" w:asciiTheme="minorEastAsia" w:hAnsiTheme="minorEastAsia" w:eastAsiaTheme="minorEastAsia"/>
          <w:bCs/>
          <w:sz w:val="24"/>
          <w:szCs w:val="24"/>
        </w:rPr>
        <w:t>个一级指标，6个二级指标，14个三级指标，24个四级指标，对北碚区2018年第1-3季度乡镇污水处理服务费项目的总体绩效进行了全面系统的评价。</w:t>
      </w:r>
    </w:p>
    <w:p>
      <w:pPr>
        <w:autoSpaceDE w:val="0"/>
        <w:autoSpaceDN w:val="0"/>
        <w:adjustRightInd w:val="0"/>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评价工作组秉承科学规范、客观公正、定性定量的原则，参照计划标准、行业标准、历史标准相结合的方式开展绩效评价。</w:t>
      </w:r>
    </w:p>
    <w:p>
      <w:pPr>
        <w:autoSpaceDE w:val="0"/>
        <w:autoSpaceDN w:val="0"/>
        <w:adjustRightInd w:val="0"/>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绩效评价指标体系及评价标准详见本报告第三部分：绩效评价指标体系。</w:t>
      </w:r>
    </w:p>
    <w:p>
      <w:pPr>
        <w:pStyle w:val="3"/>
        <w:spacing w:before="0" w:after="0" w:line="560" w:lineRule="exact"/>
        <w:ind w:left="420"/>
        <w:rPr>
          <w:rFonts w:asciiTheme="minorEastAsia" w:hAnsiTheme="minorEastAsia" w:eastAsiaTheme="minorEastAsia"/>
          <w:sz w:val="24"/>
          <w:szCs w:val="24"/>
        </w:rPr>
      </w:pPr>
      <w:bookmarkStart w:id="60" w:name="_Toc528663558"/>
      <w:bookmarkStart w:id="61" w:name="_Toc18397406"/>
      <w:r>
        <w:rPr>
          <w:rFonts w:hint="eastAsia" w:asciiTheme="minorEastAsia" w:hAnsiTheme="minorEastAsia" w:eastAsiaTheme="minorEastAsia"/>
          <w:sz w:val="24"/>
          <w:szCs w:val="24"/>
        </w:rPr>
        <w:t>（二）绩效评价方法</w:t>
      </w:r>
      <w:bookmarkEnd w:id="60"/>
      <w:bookmarkEnd w:id="61"/>
    </w:p>
    <w:p>
      <w:pPr>
        <w:spacing w:line="560" w:lineRule="exact"/>
        <w:ind w:firstLine="482"/>
        <w:rPr>
          <w:rFonts w:asciiTheme="minorEastAsia" w:hAnsiTheme="minorEastAsia" w:eastAsiaTheme="minorEastAsia"/>
          <w:bCs/>
          <w:sz w:val="24"/>
          <w:szCs w:val="24"/>
        </w:rPr>
      </w:pPr>
      <w:r>
        <w:rPr>
          <w:rFonts w:hint="eastAsia" w:asciiTheme="minorEastAsia" w:hAnsiTheme="minorEastAsia" w:eastAsiaTheme="minorEastAsia"/>
          <w:bCs/>
          <w:sz w:val="24"/>
          <w:szCs w:val="24"/>
        </w:rPr>
        <w:t>此次评价采用</w:t>
      </w:r>
      <w:r>
        <w:rPr>
          <w:rFonts w:asciiTheme="minorEastAsia" w:hAnsiTheme="minorEastAsia" w:eastAsiaTheme="minorEastAsia"/>
          <w:bCs/>
          <w:sz w:val="24"/>
          <w:szCs w:val="24"/>
        </w:rPr>
        <w:t>查阅文献</w:t>
      </w:r>
      <w:r>
        <w:rPr>
          <w:rFonts w:hint="eastAsia" w:asciiTheme="minorEastAsia" w:hAnsiTheme="minorEastAsia" w:eastAsiaTheme="minorEastAsia"/>
          <w:bCs/>
          <w:sz w:val="24"/>
          <w:szCs w:val="24"/>
        </w:rPr>
        <w:t>、核实数据、随机调查等方式进行项目基础数据和信息采集，主要采取了以下几种评价方法。</w:t>
      </w:r>
    </w:p>
    <w:p>
      <w:pPr>
        <w:spacing w:line="560" w:lineRule="exact"/>
        <w:ind w:firstLine="482"/>
        <w:rPr>
          <w:rFonts w:asciiTheme="minorEastAsia" w:hAnsiTheme="minorEastAsia" w:eastAsiaTheme="minorEastAsia"/>
          <w:bCs/>
          <w:sz w:val="24"/>
          <w:szCs w:val="24"/>
        </w:rPr>
      </w:pPr>
      <w:r>
        <w:rPr>
          <w:rFonts w:asciiTheme="minorEastAsia" w:hAnsiTheme="minorEastAsia" w:eastAsiaTheme="minorEastAsia"/>
          <w:bCs/>
          <w:sz w:val="24"/>
          <w:szCs w:val="24"/>
        </w:rPr>
        <w:t>查阅文献</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通过在</w:t>
      </w:r>
      <w:r>
        <w:rPr>
          <w:rFonts w:hint="eastAsia" w:asciiTheme="minorEastAsia" w:hAnsiTheme="minorEastAsia" w:eastAsiaTheme="minorEastAsia"/>
          <w:bCs/>
          <w:sz w:val="24"/>
          <w:szCs w:val="24"/>
        </w:rPr>
        <w:t>区生态环境局</w:t>
      </w:r>
      <w:r>
        <w:rPr>
          <w:rFonts w:asciiTheme="minorEastAsia" w:hAnsiTheme="minorEastAsia" w:eastAsiaTheme="minorEastAsia"/>
          <w:bCs/>
          <w:sz w:val="24"/>
          <w:szCs w:val="24"/>
        </w:rPr>
        <w:t>查阅</w:t>
      </w:r>
      <w:r>
        <w:rPr>
          <w:rFonts w:hint="eastAsia" w:asciiTheme="minorEastAsia" w:hAnsiTheme="minorEastAsia" w:eastAsiaTheme="minorEastAsia"/>
          <w:bCs/>
          <w:sz w:val="24"/>
          <w:szCs w:val="24"/>
        </w:rPr>
        <w:t>合同及</w:t>
      </w:r>
      <w:r>
        <w:rPr>
          <w:rFonts w:asciiTheme="minorEastAsia" w:hAnsiTheme="minorEastAsia" w:eastAsiaTheme="minorEastAsia"/>
          <w:bCs/>
          <w:sz w:val="24"/>
          <w:szCs w:val="24"/>
        </w:rPr>
        <w:t>相关</w:t>
      </w:r>
      <w:r>
        <w:rPr>
          <w:rFonts w:hint="eastAsia" w:asciiTheme="minorEastAsia" w:hAnsiTheme="minorEastAsia" w:eastAsiaTheme="minorEastAsia"/>
          <w:bCs/>
          <w:sz w:val="24"/>
          <w:szCs w:val="24"/>
        </w:rPr>
        <w:t>预算</w:t>
      </w:r>
      <w:r>
        <w:rPr>
          <w:rFonts w:asciiTheme="minorEastAsia" w:hAnsiTheme="minorEastAsia" w:eastAsiaTheme="minorEastAsia"/>
          <w:bCs/>
          <w:sz w:val="24"/>
          <w:szCs w:val="24"/>
        </w:rPr>
        <w:t>文件对</w:t>
      </w:r>
      <w:r>
        <w:rPr>
          <w:rFonts w:hint="eastAsia" w:asciiTheme="minorEastAsia" w:hAnsiTheme="minorEastAsia" w:eastAsiaTheme="minorEastAsia"/>
          <w:bCs/>
          <w:sz w:val="24"/>
          <w:szCs w:val="24"/>
        </w:rPr>
        <w:t>2018年第1-3季度乡镇污水处理服务费</w:t>
      </w:r>
      <w:r>
        <w:rPr>
          <w:rFonts w:asciiTheme="minorEastAsia" w:hAnsiTheme="minorEastAsia" w:eastAsiaTheme="minorEastAsia"/>
          <w:bCs/>
          <w:sz w:val="24"/>
          <w:szCs w:val="24"/>
        </w:rPr>
        <w:t>的</w:t>
      </w:r>
      <w:r>
        <w:rPr>
          <w:rFonts w:hint="eastAsia" w:asciiTheme="minorEastAsia" w:hAnsiTheme="minorEastAsia" w:eastAsiaTheme="minorEastAsia"/>
          <w:bCs/>
          <w:sz w:val="24"/>
          <w:szCs w:val="24"/>
        </w:rPr>
        <w:t>预算</w:t>
      </w:r>
      <w:r>
        <w:rPr>
          <w:rFonts w:asciiTheme="minorEastAsia" w:hAnsiTheme="minorEastAsia" w:eastAsiaTheme="minorEastAsia"/>
          <w:bCs/>
          <w:sz w:val="24"/>
          <w:szCs w:val="24"/>
        </w:rPr>
        <w:t>安排</w:t>
      </w:r>
      <w:r>
        <w:rPr>
          <w:rFonts w:hint="eastAsia" w:asciiTheme="minorEastAsia" w:hAnsiTheme="minorEastAsia" w:eastAsiaTheme="minorEastAsia"/>
          <w:bCs/>
          <w:sz w:val="24"/>
          <w:szCs w:val="24"/>
        </w:rPr>
        <w:t>进行</w:t>
      </w:r>
      <w:r>
        <w:rPr>
          <w:rFonts w:asciiTheme="minorEastAsia" w:hAnsiTheme="minorEastAsia" w:eastAsiaTheme="minorEastAsia"/>
          <w:bCs/>
          <w:sz w:val="24"/>
          <w:szCs w:val="24"/>
        </w:rPr>
        <w:t>了解</w:t>
      </w:r>
      <w:r>
        <w:rPr>
          <w:rFonts w:hint="eastAsia" w:asciiTheme="minorEastAsia" w:hAnsiTheme="minorEastAsia" w:eastAsiaTheme="minorEastAsia"/>
          <w:bCs/>
          <w:sz w:val="24"/>
          <w:szCs w:val="24"/>
        </w:rPr>
        <w:t>。</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核实数据：通过区生态环境局的财务资料对2018年第1-3季度乡镇污水处理服务费支出明细进行核实。</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问卷调查法：共计发放调查问卷20份，其中有效问卷20份，问卷有效率100%。围绕北碚区乡镇居民对污水处理效果的满意度和对污水处理工作的满意度为重点事项开展问卷调查，获取第一手资料。</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访谈法：主要对区生态环境局污染防治科工作人员进行访谈，了解2018年第1-3季度乡镇污水处理服务费的具体情况，评价项目社会效益及可持续影响。</w:t>
      </w:r>
    </w:p>
    <w:p>
      <w:pPr>
        <w:pStyle w:val="2"/>
        <w:spacing w:before="0" w:after="0" w:line="560" w:lineRule="exact"/>
        <w:ind w:left="562"/>
        <w:rPr>
          <w:rFonts w:asciiTheme="minorEastAsia" w:hAnsiTheme="minorEastAsia" w:eastAsiaTheme="minorEastAsia"/>
          <w:sz w:val="28"/>
          <w:szCs w:val="28"/>
        </w:rPr>
      </w:pPr>
      <w:bookmarkStart w:id="62" w:name="_Toc18397407"/>
      <w:bookmarkStart w:id="63" w:name="_Toc528663559"/>
      <w:r>
        <w:rPr>
          <w:rFonts w:hint="eastAsia" w:asciiTheme="minorEastAsia" w:hAnsiTheme="minorEastAsia" w:eastAsiaTheme="minorEastAsia"/>
          <w:sz w:val="28"/>
          <w:szCs w:val="28"/>
        </w:rPr>
        <w:t>四、项目基本情况</w:t>
      </w:r>
      <w:bookmarkEnd w:id="62"/>
      <w:bookmarkEnd w:id="63"/>
    </w:p>
    <w:p>
      <w:pPr>
        <w:pStyle w:val="3"/>
        <w:spacing w:before="0" w:after="0" w:line="560" w:lineRule="exact"/>
        <w:ind w:left="420"/>
        <w:rPr>
          <w:rFonts w:asciiTheme="minorEastAsia" w:hAnsiTheme="minorEastAsia" w:eastAsiaTheme="minorEastAsia"/>
          <w:sz w:val="24"/>
          <w:szCs w:val="24"/>
        </w:rPr>
      </w:pPr>
      <w:bookmarkStart w:id="64" w:name="_Toc528663560"/>
      <w:bookmarkStart w:id="65" w:name="_Toc18397408"/>
      <w:r>
        <w:rPr>
          <w:rFonts w:hint="eastAsia" w:asciiTheme="minorEastAsia" w:hAnsiTheme="minorEastAsia" w:eastAsiaTheme="minorEastAsia"/>
          <w:sz w:val="24"/>
          <w:szCs w:val="24"/>
        </w:rPr>
        <w:t>（一）项目实施及完成情况</w:t>
      </w:r>
      <w:bookmarkEnd w:id="64"/>
      <w:bookmarkEnd w:id="65"/>
      <w:bookmarkStart w:id="66" w:name="_Toc528663561"/>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2018年1-3季度，柳荫污水处理厂未处理污水，其余6个污水处理厂均正常运行。每个运营月度结束后重庆市环保投资有限公司及时委托第三方单位对处理后的水质是否达标进行监测并将各污水处理设施的污水处理量报送区生态环境局，由区生态环境局对实际污水处理量进行核实并对处理后的水质进行定期监督性监测。区财政局按季度将核定后的污水处理服务费及时、足额拨付给区生态环境局，区生态环境局收到污水处理服务费发票后及时支付给重庆市环保投资有限公司。</w:t>
      </w:r>
    </w:p>
    <w:p>
      <w:pPr>
        <w:numPr>
          <w:ilvl w:val="0"/>
          <w:numId w:val="2"/>
        </w:numPr>
        <w:spacing w:line="5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涉及的乡镇污水处理设施</w:t>
      </w:r>
    </w:p>
    <w:tbl>
      <w:tblPr>
        <w:tblStyle w:val="18"/>
        <w:tblW w:w="5000" w:type="pct"/>
        <w:tblInd w:w="0" w:type="dxa"/>
        <w:tblLayout w:type="autofit"/>
        <w:tblCellMar>
          <w:top w:w="0" w:type="dxa"/>
          <w:left w:w="108" w:type="dxa"/>
          <w:bottom w:w="0" w:type="dxa"/>
          <w:right w:w="108" w:type="dxa"/>
        </w:tblCellMar>
      </w:tblPr>
      <w:tblGrid>
        <w:gridCol w:w="864"/>
        <w:gridCol w:w="3497"/>
        <w:gridCol w:w="1983"/>
        <w:gridCol w:w="1277"/>
        <w:gridCol w:w="1552"/>
      </w:tblGrid>
      <w:tr>
        <w:tblPrEx>
          <w:tblCellMar>
            <w:top w:w="0" w:type="dxa"/>
            <w:left w:w="108" w:type="dxa"/>
            <w:bottom w:w="0" w:type="dxa"/>
            <w:right w:w="108" w:type="dxa"/>
          </w:tblCellMar>
        </w:tblPrEx>
        <w:trPr>
          <w:trHeight w:val="280" w:hRule="atLeast"/>
        </w:trPr>
        <w:tc>
          <w:tcPr>
            <w:tcW w:w="471" w:type="pct"/>
            <w:tcBorders>
              <w:top w:val="single" w:color="auto" w:sz="8"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序号</w:t>
            </w:r>
          </w:p>
        </w:tc>
        <w:tc>
          <w:tcPr>
            <w:tcW w:w="190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乡镇污水处理设施名称</w:t>
            </w:r>
          </w:p>
        </w:tc>
        <w:tc>
          <w:tcPr>
            <w:tcW w:w="1081"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所属乡镇街道</w:t>
            </w:r>
          </w:p>
        </w:tc>
        <w:tc>
          <w:tcPr>
            <w:tcW w:w="69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建设情况</w:t>
            </w:r>
          </w:p>
        </w:tc>
        <w:tc>
          <w:tcPr>
            <w:tcW w:w="846" w:type="pct"/>
            <w:tcBorders>
              <w:top w:val="single" w:color="auto" w:sz="8" w:space="0"/>
              <w:left w:val="nil"/>
              <w:bottom w:val="single" w:color="auto" w:sz="4" w:space="0"/>
            </w:tcBorders>
            <w:vAlign w:val="bottom"/>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设计处理能力（万m³/d）</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190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东阳污水处理厂</w:t>
            </w:r>
          </w:p>
        </w:tc>
        <w:tc>
          <w:tcPr>
            <w:tcW w:w="108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东阳街道</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bottom"/>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0.600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190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澄江污水处理厂</w:t>
            </w:r>
          </w:p>
        </w:tc>
        <w:tc>
          <w:tcPr>
            <w:tcW w:w="108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澄江镇</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bottom"/>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0.120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190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柳荫污水处理厂</w:t>
            </w:r>
          </w:p>
        </w:tc>
        <w:tc>
          <w:tcPr>
            <w:tcW w:w="108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柳荫镇</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bottom"/>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0.100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190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金刀峡污水处理厂</w:t>
            </w:r>
          </w:p>
        </w:tc>
        <w:tc>
          <w:tcPr>
            <w:tcW w:w="108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金刀峡镇</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bottom"/>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0.100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90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三圣污水处理厂</w:t>
            </w:r>
          </w:p>
        </w:tc>
        <w:tc>
          <w:tcPr>
            <w:tcW w:w="108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三圣镇</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bottom"/>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0.080</w:t>
            </w:r>
          </w:p>
        </w:tc>
      </w:tr>
      <w:tr>
        <w:tblPrEx>
          <w:tblCellMar>
            <w:top w:w="0" w:type="dxa"/>
            <w:left w:w="108" w:type="dxa"/>
            <w:bottom w:w="0" w:type="dxa"/>
            <w:right w:w="108" w:type="dxa"/>
          </w:tblCellMar>
        </w:tblPrEx>
        <w:trPr>
          <w:trHeight w:val="280" w:hRule="atLeast"/>
        </w:trPr>
        <w:tc>
          <w:tcPr>
            <w:tcW w:w="471" w:type="pct"/>
            <w:tcBorders>
              <w:top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190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台农园污水处理厂</w:t>
            </w:r>
          </w:p>
        </w:tc>
        <w:tc>
          <w:tcPr>
            <w:tcW w:w="108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静观镇</w:t>
            </w:r>
          </w:p>
        </w:tc>
        <w:tc>
          <w:tcPr>
            <w:tcW w:w="696"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已建</w:t>
            </w:r>
          </w:p>
        </w:tc>
        <w:tc>
          <w:tcPr>
            <w:tcW w:w="846" w:type="pct"/>
            <w:tcBorders>
              <w:top w:val="nil"/>
              <w:left w:val="nil"/>
              <w:bottom w:val="single" w:color="auto" w:sz="4" w:space="0"/>
            </w:tcBorders>
            <w:vAlign w:val="bottom"/>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0.055</w:t>
            </w:r>
          </w:p>
        </w:tc>
      </w:tr>
      <w:tr>
        <w:tblPrEx>
          <w:tblCellMar>
            <w:top w:w="0" w:type="dxa"/>
            <w:left w:w="108" w:type="dxa"/>
            <w:bottom w:w="0" w:type="dxa"/>
            <w:right w:w="108" w:type="dxa"/>
          </w:tblCellMar>
        </w:tblPrEx>
        <w:trPr>
          <w:trHeight w:val="280" w:hRule="atLeast"/>
        </w:trPr>
        <w:tc>
          <w:tcPr>
            <w:tcW w:w="471" w:type="pct"/>
            <w:tcBorders>
              <w:top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906"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静观污水处理厂</w:t>
            </w:r>
          </w:p>
        </w:tc>
        <w:tc>
          <w:tcPr>
            <w:tcW w:w="108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静观镇</w:t>
            </w:r>
          </w:p>
        </w:tc>
        <w:tc>
          <w:tcPr>
            <w:tcW w:w="696"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改建</w:t>
            </w:r>
          </w:p>
        </w:tc>
        <w:tc>
          <w:tcPr>
            <w:tcW w:w="846" w:type="pct"/>
            <w:tcBorders>
              <w:top w:val="single" w:color="auto" w:sz="4" w:space="0"/>
              <w:left w:val="nil"/>
              <w:bottom w:val="single" w:color="auto" w:sz="4" w:space="0"/>
            </w:tcBorders>
            <w:vAlign w:val="bottom"/>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0.300</w:t>
            </w:r>
          </w:p>
        </w:tc>
      </w:tr>
      <w:tr>
        <w:tblPrEx>
          <w:tblCellMar>
            <w:top w:w="0" w:type="dxa"/>
            <w:left w:w="108" w:type="dxa"/>
            <w:bottom w:w="0" w:type="dxa"/>
            <w:right w:w="108" w:type="dxa"/>
          </w:tblCellMar>
        </w:tblPrEx>
        <w:trPr>
          <w:trHeight w:val="280" w:hRule="atLeast"/>
        </w:trPr>
        <w:tc>
          <w:tcPr>
            <w:tcW w:w="4154" w:type="pct"/>
            <w:gridSpan w:val="4"/>
            <w:tcBorders>
              <w:top w:val="nil"/>
              <w:bottom w:val="single" w:color="auto" w:sz="8" w:space="0"/>
              <w:right w:val="single" w:color="auto" w:sz="4" w:space="0"/>
            </w:tcBorders>
            <w:shd w:val="clear" w:color="auto" w:fill="auto"/>
            <w:noWrap/>
            <w:vAlign w:val="bottom"/>
          </w:tcPr>
          <w:p>
            <w:pPr>
              <w:widowControl/>
              <w:jc w:val="righ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合计：</w:t>
            </w:r>
          </w:p>
        </w:tc>
        <w:tc>
          <w:tcPr>
            <w:tcW w:w="846" w:type="pct"/>
            <w:tcBorders>
              <w:top w:val="nil"/>
              <w:left w:val="nil"/>
              <w:bottom w:val="single" w:color="auto" w:sz="8" w:space="0"/>
            </w:tcBorders>
            <w:vAlign w:val="bottom"/>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1.355</w:t>
            </w:r>
          </w:p>
        </w:tc>
      </w:tr>
    </w:tbl>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2.计费依据（协议依据）</w:t>
      </w:r>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污水处理服务费涵盖污水处理经营成本补偿和获取合理投资回报，具体包括人员工资及福利费、水电费、药剂费、污泥外运费、维修保养费、管理费等经营成本及折旧费、待摊费用、财务费用、应交税费及合理利润。</w:t>
      </w:r>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3.计算方式</w:t>
      </w:r>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采用现金流量分析法计算，通过测算项目建设及运营各年的现金流量净值。依照既定投资收益率基准来确定“污水处理服务费”收费单价。</w:t>
      </w:r>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4.计费标准</w:t>
      </w:r>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澄江、三圣、台农园污水处理厂按1.43元/m</w:t>
      </w:r>
      <w:r>
        <w:rPr>
          <w:rFonts w:cs="Calibri" w:asciiTheme="minorEastAsia" w:hAnsiTheme="minorEastAsia" w:eastAsiaTheme="minorEastAsia"/>
          <w:sz w:val="24"/>
          <w:szCs w:val="24"/>
        </w:rPr>
        <w:t>³</w:t>
      </w:r>
      <w:r>
        <w:rPr>
          <w:rFonts w:hint="eastAsia" w:asciiTheme="minorEastAsia" w:hAnsiTheme="minorEastAsia" w:eastAsiaTheme="minorEastAsia"/>
          <w:sz w:val="24"/>
          <w:szCs w:val="24"/>
        </w:rPr>
        <w:t>单价、90%负荷水量计算污水处理服务费。其他污水处理厂按扣除市级财政补贴0.6元/m</w:t>
      </w:r>
      <w:r>
        <w:rPr>
          <w:rFonts w:cs="Calibri" w:asciiTheme="minorEastAsia" w:hAnsiTheme="minorEastAsia" w:eastAsiaTheme="minorEastAsia"/>
          <w:sz w:val="24"/>
          <w:szCs w:val="24"/>
        </w:rPr>
        <w:t>³</w:t>
      </w:r>
      <w:r>
        <w:rPr>
          <w:rFonts w:hint="eastAsia" w:asciiTheme="minorEastAsia" w:hAnsiTheme="minorEastAsia" w:eastAsiaTheme="minorEastAsia"/>
          <w:sz w:val="24"/>
          <w:szCs w:val="24"/>
        </w:rPr>
        <w:t>后，按2.52元/m</w:t>
      </w:r>
      <w:r>
        <w:rPr>
          <w:rFonts w:cs="Calibri" w:asciiTheme="minorEastAsia" w:hAnsiTheme="minorEastAsia" w:eastAsiaTheme="minorEastAsia"/>
          <w:sz w:val="24"/>
          <w:szCs w:val="24"/>
        </w:rPr>
        <w:t>³单价</w:t>
      </w:r>
      <w:r>
        <w:rPr>
          <w:rFonts w:hint="eastAsia" w:cs="Calibri" w:asciiTheme="minorEastAsia" w:hAnsiTheme="minorEastAsia" w:eastAsiaTheme="minorEastAsia"/>
          <w:sz w:val="24"/>
          <w:szCs w:val="24"/>
        </w:rPr>
        <w:t>、90%保底负荷处理量计算污水处理服务费。</w:t>
      </w:r>
    </w:p>
    <w:p>
      <w:pPr>
        <w:pStyle w:val="3"/>
        <w:spacing w:before="0" w:after="0" w:line="560" w:lineRule="exact"/>
        <w:ind w:left="420"/>
        <w:rPr>
          <w:rFonts w:asciiTheme="minorEastAsia" w:hAnsiTheme="minorEastAsia" w:eastAsiaTheme="minorEastAsia"/>
          <w:sz w:val="24"/>
          <w:szCs w:val="24"/>
        </w:rPr>
      </w:pPr>
      <w:bookmarkStart w:id="67" w:name="_Toc18397409"/>
      <w:r>
        <w:rPr>
          <w:rFonts w:hint="eastAsia" w:asciiTheme="minorEastAsia" w:hAnsiTheme="minorEastAsia" w:eastAsiaTheme="minorEastAsia"/>
          <w:sz w:val="24"/>
          <w:szCs w:val="24"/>
        </w:rPr>
        <w:t>（二）</w:t>
      </w:r>
      <w:bookmarkEnd w:id="66"/>
      <w:r>
        <w:rPr>
          <w:rFonts w:hint="eastAsia" w:asciiTheme="minorEastAsia" w:hAnsiTheme="minorEastAsia" w:eastAsiaTheme="minorEastAsia"/>
          <w:sz w:val="24"/>
          <w:szCs w:val="24"/>
        </w:rPr>
        <w:t>资金到位、使用、结余情况</w:t>
      </w:r>
      <w:bookmarkEnd w:id="67"/>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2018年1-3季度北碚区财政局下达乡镇污水处理服务费预算金额共计6,987,575.30元，实际拨付金额共计6,987,575.30元。2018年1-3季度区生态环境局向重庆市环保投资有限公司支付乡镇污水处理服务费共计7,820,435.25元，其中使用区财政拨付金额6,987,575.30元，动用2017年结转资金832,859.95元，资金结余为0。</w:t>
      </w:r>
    </w:p>
    <w:p>
      <w:pPr>
        <w:spacing w:line="360" w:lineRule="auto"/>
        <w:ind w:firstLine="480" w:firstLineChars="200"/>
        <w:rPr>
          <w:rFonts w:asciiTheme="minorEastAsia" w:hAnsiTheme="minorEastAsia" w:eastAsiaTheme="minorEastAsia"/>
          <w:b/>
          <w:szCs w:val="21"/>
        </w:rPr>
      </w:pPr>
      <w:r>
        <w:rPr>
          <w:rFonts w:hint="eastAsia" w:asciiTheme="minorEastAsia" w:hAnsiTheme="minorEastAsia" w:eastAsiaTheme="minorEastAsia"/>
          <w:sz w:val="24"/>
          <w:szCs w:val="24"/>
        </w:rPr>
        <w:t xml:space="preserve">2018年1-3季度支付的乡镇污水处理服务费7,820,435.25元中包括2018年1-3季度核定金额5,849,257.05元及2017年第4季度核定金额1,971,178.20元。2018年1-3季度污水处理服务费核定金额明细详见下表。 </w:t>
      </w:r>
    </w:p>
    <w:tbl>
      <w:tblPr>
        <w:tblStyle w:val="18"/>
        <w:tblW w:w="4988"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1845"/>
        <w:gridCol w:w="1967"/>
        <w:gridCol w:w="1792"/>
        <w:gridCol w:w="167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22"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季 度</w:t>
            </w:r>
          </w:p>
        </w:tc>
        <w:tc>
          <w:tcPr>
            <w:tcW w:w="1008"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2018年预算金额（元）</w:t>
            </w:r>
          </w:p>
        </w:tc>
        <w:tc>
          <w:tcPr>
            <w:tcW w:w="1075"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实际拨入金额（元）</w:t>
            </w:r>
          </w:p>
        </w:tc>
        <w:tc>
          <w:tcPr>
            <w:tcW w:w="979" w:type="pct"/>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使用上年结转资金（元）</w:t>
            </w:r>
          </w:p>
        </w:tc>
        <w:tc>
          <w:tcPr>
            <w:tcW w:w="917"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实际支出合计（元）</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22" w:type="pct"/>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2017年第4季度</w:t>
            </w:r>
          </w:p>
        </w:tc>
        <w:tc>
          <w:tcPr>
            <w:tcW w:w="1008"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1,138,318.25</w:t>
            </w:r>
          </w:p>
        </w:tc>
        <w:tc>
          <w:tcPr>
            <w:tcW w:w="1075"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1,138,318.25</w:t>
            </w:r>
          </w:p>
        </w:tc>
        <w:tc>
          <w:tcPr>
            <w:tcW w:w="979"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832,859.95</w:t>
            </w:r>
          </w:p>
        </w:tc>
        <w:tc>
          <w:tcPr>
            <w:tcW w:w="917"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1,971,178.20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022" w:type="pct"/>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2018年第1季度</w:t>
            </w:r>
          </w:p>
        </w:tc>
        <w:tc>
          <w:tcPr>
            <w:tcW w:w="1008"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1,928,326.50</w:t>
            </w:r>
          </w:p>
        </w:tc>
        <w:tc>
          <w:tcPr>
            <w:tcW w:w="1075"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1,928,326.50</w:t>
            </w:r>
          </w:p>
        </w:tc>
        <w:tc>
          <w:tcPr>
            <w:tcW w:w="979"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917"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1,928,326.50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22" w:type="pct"/>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2018年第2季度</w:t>
            </w:r>
          </w:p>
        </w:tc>
        <w:tc>
          <w:tcPr>
            <w:tcW w:w="1008"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1,949,752.35</w:t>
            </w:r>
          </w:p>
        </w:tc>
        <w:tc>
          <w:tcPr>
            <w:tcW w:w="1075"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1,949,752.35</w:t>
            </w:r>
          </w:p>
        </w:tc>
        <w:tc>
          <w:tcPr>
            <w:tcW w:w="979"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917"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1,949,752.35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22" w:type="pct"/>
            <w:shd w:val="clear" w:color="auto" w:fill="auto"/>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2018年第3季度</w:t>
            </w:r>
          </w:p>
        </w:tc>
        <w:tc>
          <w:tcPr>
            <w:tcW w:w="1008"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1,971,178.20</w:t>
            </w:r>
          </w:p>
        </w:tc>
        <w:tc>
          <w:tcPr>
            <w:tcW w:w="1075"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1,971,178.20</w:t>
            </w:r>
          </w:p>
        </w:tc>
        <w:tc>
          <w:tcPr>
            <w:tcW w:w="979"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p>
        </w:tc>
        <w:tc>
          <w:tcPr>
            <w:tcW w:w="917"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1,971,178.20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22" w:type="pct"/>
            <w:shd w:val="clear" w:color="auto" w:fill="auto"/>
            <w:noWrap/>
            <w:vAlign w:val="center"/>
          </w:tcPr>
          <w:p>
            <w:pPr>
              <w:widowControl/>
              <w:ind w:firstLine="360" w:firstLineChars="200"/>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合  计</w:t>
            </w:r>
          </w:p>
        </w:tc>
        <w:tc>
          <w:tcPr>
            <w:tcW w:w="1008"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6,987,575.30</w:t>
            </w:r>
          </w:p>
        </w:tc>
        <w:tc>
          <w:tcPr>
            <w:tcW w:w="1075"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6,987,575.30</w:t>
            </w:r>
          </w:p>
        </w:tc>
        <w:tc>
          <w:tcPr>
            <w:tcW w:w="979"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832,859.95</w:t>
            </w:r>
          </w:p>
        </w:tc>
        <w:tc>
          <w:tcPr>
            <w:tcW w:w="917" w:type="pct"/>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7,820,435.25</w:t>
            </w:r>
          </w:p>
        </w:tc>
      </w:tr>
    </w:tbl>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2018年1-3季度实际保底污水处理量与实际污水处理量、根据保底污水处理量安排的污水处理资金与按实际污处理量计算的污水处理资金存在较大差异，详见下表。</w:t>
      </w:r>
    </w:p>
    <w:tbl>
      <w:tblPr>
        <w:tblStyle w:val="18"/>
        <w:tblW w:w="5000" w:type="pct"/>
        <w:tblInd w:w="0" w:type="dxa"/>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536"/>
        <w:gridCol w:w="1701"/>
        <w:gridCol w:w="1418"/>
        <w:gridCol w:w="1418"/>
        <w:gridCol w:w="1277"/>
        <w:gridCol w:w="1416"/>
        <w:gridCol w:w="1407"/>
      </w:tblGrid>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2" w:type="pct"/>
            <w:vMerge w:val="restart"/>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序号</w:t>
            </w:r>
          </w:p>
        </w:tc>
        <w:tc>
          <w:tcPr>
            <w:tcW w:w="927" w:type="pct"/>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项目名称</w:t>
            </w:r>
          </w:p>
        </w:tc>
        <w:tc>
          <w:tcPr>
            <w:tcW w:w="773" w:type="pct"/>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保底营运负荷（立方米）</w:t>
            </w:r>
          </w:p>
        </w:tc>
        <w:tc>
          <w:tcPr>
            <w:tcW w:w="773" w:type="pct"/>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区财政支付金额</w:t>
            </w:r>
          </w:p>
        </w:tc>
        <w:tc>
          <w:tcPr>
            <w:tcW w:w="696" w:type="pct"/>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实际处理污水量（立方米）</w:t>
            </w:r>
          </w:p>
        </w:tc>
        <w:tc>
          <w:tcPr>
            <w:tcW w:w="1540" w:type="pct"/>
            <w:gridSpan w:val="2"/>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保底营运负荷与实际处理量的差额</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2" w:type="pct"/>
            <w:vMerge w:val="continue"/>
            <w:vAlign w:val="center"/>
          </w:tcPr>
          <w:p>
            <w:pPr>
              <w:jc w:val="center"/>
              <w:rPr>
                <w:rFonts w:cs="宋体" w:asciiTheme="minorEastAsia" w:hAnsiTheme="minorEastAsia" w:eastAsiaTheme="minorEastAsia"/>
                <w:sz w:val="18"/>
                <w:szCs w:val="18"/>
              </w:rPr>
            </w:pPr>
          </w:p>
        </w:tc>
        <w:tc>
          <w:tcPr>
            <w:tcW w:w="927" w:type="pct"/>
            <w:vMerge w:val="continue"/>
            <w:vAlign w:val="center"/>
          </w:tcPr>
          <w:p>
            <w:pPr>
              <w:jc w:val="center"/>
              <w:rPr>
                <w:rFonts w:asciiTheme="minorEastAsia" w:hAnsiTheme="minorEastAsia" w:eastAsiaTheme="minorEastAsia"/>
                <w:sz w:val="18"/>
                <w:szCs w:val="18"/>
              </w:rPr>
            </w:pPr>
          </w:p>
        </w:tc>
        <w:tc>
          <w:tcPr>
            <w:tcW w:w="773" w:type="pct"/>
            <w:vMerge w:val="continue"/>
            <w:vAlign w:val="center"/>
          </w:tcPr>
          <w:p>
            <w:pPr>
              <w:jc w:val="center"/>
              <w:rPr>
                <w:rFonts w:asciiTheme="minorEastAsia" w:hAnsiTheme="minorEastAsia" w:eastAsiaTheme="minorEastAsia"/>
                <w:sz w:val="18"/>
                <w:szCs w:val="18"/>
              </w:rPr>
            </w:pPr>
          </w:p>
        </w:tc>
        <w:tc>
          <w:tcPr>
            <w:tcW w:w="773" w:type="pct"/>
            <w:vMerge w:val="continue"/>
            <w:vAlign w:val="center"/>
          </w:tcPr>
          <w:p>
            <w:pPr>
              <w:jc w:val="center"/>
              <w:rPr>
                <w:rFonts w:asciiTheme="minorEastAsia" w:hAnsiTheme="minorEastAsia" w:eastAsiaTheme="minorEastAsia"/>
                <w:sz w:val="18"/>
                <w:szCs w:val="18"/>
              </w:rPr>
            </w:pPr>
          </w:p>
        </w:tc>
        <w:tc>
          <w:tcPr>
            <w:tcW w:w="696" w:type="pct"/>
            <w:vMerge w:val="continue"/>
            <w:vAlign w:val="center"/>
          </w:tcPr>
          <w:p>
            <w:pPr>
              <w:jc w:val="center"/>
              <w:rPr>
                <w:rFonts w:asciiTheme="minorEastAsia" w:hAnsiTheme="minorEastAsia" w:eastAsiaTheme="minorEastAsia"/>
                <w:sz w:val="18"/>
                <w:szCs w:val="18"/>
              </w:rPr>
            </w:pPr>
          </w:p>
        </w:tc>
        <w:tc>
          <w:tcPr>
            <w:tcW w:w="772" w:type="pct"/>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数量（立方米）</w:t>
            </w:r>
          </w:p>
        </w:tc>
        <w:tc>
          <w:tcPr>
            <w:tcW w:w="768" w:type="pct"/>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金额（元）</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2" w:type="pct"/>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927" w:type="pct"/>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东阳污水处理厂</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1,474,200.00</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3,714,984.00</w:t>
            </w:r>
          </w:p>
        </w:tc>
        <w:tc>
          <w:tcPr>
            <w:tcW w:w="696"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418,830.08</w:t>
            </w:r>
          </w:p>
        </w:tc>
        <w:tc>
          <w:tcPr>
            <w:tcW w:w="772"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1,055,369.92</w:t>
            </w:r>
          </w:p>
        </w:tc>
        <w:tc>
          <w:tcPr>
            <w:tcW w:w="768"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2,659,532.20</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2" w:type="pct"/>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927" w:type="pct"/>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澄江污水处理厂</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294,840.00</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421,621.20</w:t>
            </w:r>
          </w:p>
        </w:tc>
        <w:tc>
          <w:tcPr>
            <w:tcW w:w="696"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81,157.00</w:t>
            </w:r>
          </w:p>
        </w:tc>
        <w:tc>
          <w:tcPr>
            <w:tcW w:w="772"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213,683.00</w:t>
            </w:r>
          </w:p>
        </w:tc>
        <w:tc>
          <w:tcPr>
            <w:tcW w:w="768"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305,566.69</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2" w:type="pct"/>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927" w:type="pct"/>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静观污水处理厂</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245,700.00</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619,164.00</w:t>
            </w:r>
          </w:p>
        </w:tc>
        <w:tc>
          <w:tcPr>
            <w:tcW w:w="696"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65,425.90</w:t>
            </w:r>
          </w:p>
        </w:tc>
        <w:tc>
          <w:tcPr>
            <w:tcW w:w="772"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180,274.10</w:t>
            </w:r>
          </w:p>
        </w:tc>
        <w:tc>
          <w:tcPr>
            <w:tcW w:w="768"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454,290.73</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2" w:type="pct"/>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927" w:type="pct"/>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柳荫污水处理厂</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696" w:type="pct"/>
            <w:vAlign w:val="center"/>
          </w:tcPr>
          <w:p>
            <w:pPr>
              <w:jc w:val="right"/>
              <w:rPr>
                <w:rFonts w:cs="宋体" w:asciiTheme="minorEastAsia" w:hAnsiTheme="minorEastAsia" w:eastAsiaTheme="minorEastAsia"/>
                <w:sz w:val="18"/>
                <w:szCs w:val="18"/>
              </w:rPr>
            </w:pPr>
          </w:p>
        </w:tc>
        <w:tc>
          <w:tcPr>
            <w:tcW w:w="772"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68"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2" w:type="pct"/>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927" w:type="pct"/>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金刀峡污水处理厂</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245,700.00</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619,164.00</w:t>
            </w:r>
          </w:p>
        </w:tc>
        <w:tc>
          <w:tcPr>
            <w:tcW w:w="696"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79,438.26</w:t>
            </w:r>
          </w:p>
        </w:tc>
        <w:tc>
          <w:tcPr>
            <w:tcW w:w="772"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166,261.74</w:t>
            </w:r>
          </w:p>
        </w:tc>
        <w:tc>
          <w:tcPr>
            <w:tcW w:w="768"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418,979.58</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2" w:type="pct"/>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927" w:type="pct"/>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二圣污水处理厂</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196,560.00</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281,080.80</w:t>
            </w:r>
          </w:p>
        </w:tc>
        <w:tc>
          <w:tcPr>
            <w:tcW w:w="696"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40,374.68</w:t>
            </w:r>
          </w:p>
        </w:tc>
        <w:tc>
          <w:tcPr>
            <w:tcW w:w="772"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156,185.32</w:t>
            </w:r>
          </w:p>
        </w:tc>
        <w:tc>
          <w:tcPr>
            <w:tcW w:w="768"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223,345.01</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2" w:type="pct"/>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927" w:type="pct"/>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台农园污水处理厂</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135,135.00</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193,243.05</w:t>
            </w:r>
          </w:p>
        </w:tc>
        <w:tc>
          <w:tcPr>
            <w:tcW w:w="696"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37,365.00</w:t>
            </w:r>
          </w:p>
        </w:tc>
        <w:tc>
          <w:tcPr>
            <w:tcW w:w="772"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97,770.00</w:t>
            </w:r>
          </w:p>
        </w:tc>
        <w:tc>
          <w:tcPr>
            <w:tcW w:w="768"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139,811.10</w:t>
            </w:r>
          </w:p>
        </w:tc>
      </w:tr>
      <w:tr>
        <w:tblPrEx>
          <w:tblBorders>
            <w:top w:val="single" w:color="auto" w:sz="8" w:space="0"/>
            <w:left w:val="none" w:color="auto" w:sz="0" w:space="0"/>
            <w:bottom w:val="single" w:color="auto"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292" w:type="pct"/>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合计</w:t>
            </w:r>
          </w:p>
        </w:tc>
        <w:tc>
          <w:tcPr>
            <w:tcW w:w="927" w:type="pct"/>
            <w:vAlign w:val="center"/>
          </w:tcPr>
          <w:p>
            <w:pPr>
              <w:ind w:firstLine="360" w:firstLineChars="200"/>
              <w:rPr>
                <w:rFonts w:cs="宋体" w:asciiTheme="minorEastAsia" w:hAnsiTheme="minorEastAsia" w:eastAsiaTheme="minorEastAsia"/>
                <w:sz w:val="18"/>
                <w:szCs w:val="18"/>
              </w:rPr>
            </w:pPr>
            <w:r>
              <w:rPr>
                <w:rFonts w:hint="eastAsia" w:asciiTheme="minorEastAsia" w:hAnsiTheme="minorEastAsia" w:eastAsiaTheme="minorEastAsia"/>
                <w:sz w:val="18"/>
                <w:szCs w:val="18"/>
              </w:rPr>
              <w:t>合  计</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2,592,135.00</w:t>
            </w:r>
          </w:p>
        </w:tc>
        <w:tc>
          <w:tcPr>
            <w:tcW w:w="773"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5,849,257.05</w:t>
            </w:r>
          </w:p>
        </w:tc>
        <w:tc>
          <w:tcPr>
            <w:tcW w:w="696"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722,590.92</w:t>
            </w:r>
          </w:p>
        </w:tc>
        <w:tc>
          <w:tcPr>
            <w:tcW w:w="772"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1,869,544.08</w:t>
            </w:r>
          </w:p>
        </w:tc>
        <w:tc>
          <w:tcPr>
            <w:tcW w:w="768" w:type="pct"/>
            <w:vAlign w:val="center"/>
          </w:tcPr>
          <w:p>
            <w:pPr>
              <w:jc w:val="right"/>
              <w:rPr>
                <w:rFonts w:cs="宋体" w:asciiTheme="minorEastAsia" w:hAnsiTheme="minorEastAsia" w:eastAsiaTheme="minorEastAsia"/>
                <w:sz w:val="18"/>
                <w:szCs w:val="18"/>
              </w:rPr>
            </w:pPr>
            <w:r>
              <w:rPr>
                <w:rFonts w:hint="eastAsia" w:asciiTheme="minorEastAsia" w:hAnsiTheme="minorEastAsia" w:eastAsiaTheme="minorEastAsia"/>
                <w:sz w:val="18"/>
                <w:szCs w:val="18"/>
              </w:rPr>
              <w:t>4,201,525.31</w:t>
            </w:r>
          </w:p>
        </w:tc>
      </w:tr>
    </w:tbl>
    <w:p>
      <w:pPr>
        <w:spacing w:line="560" w:lineRule="exact"/>
        <w:rPr>
          <w:rFonts w:asciiTheme="minorEastAsia" w:hAnsiTheme="minorEastAsia" w:eastAsiaTheme="minorEastAsia"/>
          <w:bCs/>
          <w:sz w:val="24"/>
          <w:szCs w:val="24"/>
        </w:rPr>
      </w:pPr>
      <w:r>
        <w:rPr>
          <w:rFonts w:hint="eastAsia" w:asciiTheme="minorEastAsia" w:hAnsiTheme="minorEastAsia" w:eastAsiaTheme="minorEastAsia"/>
          <w:bCs/>
          <w:sz w:val="24"/>
          <w:szCs w:val="24"/>
        </w:rPr>
        <w:t>注：1.柳荫污水处理厂2018年1-3季度实际未处理污水，故未付费。</w:t>
      </w:r>
    </w:p>
    <w:p>
      <w:pPr>
        <w:spacing w:line="560" w:lineRule="exact"/>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2.实际污水处理量比保底营运负荷少1,869,544.08立方米，仅为合同约定保底营运负荷的27.88%。</w:t>
      </w:r>
    </w:p>
    <w:p>
      <w:pPr>
        <w:pStyle w:val="2"/>
        <w:spacing w:before="0" w:after="0" w:line="560" w:lineRule="exact"/>
        <w:ind w:left="562"/>
        <w:rPr>
          <w:rFonts w:asciiTheme="minorEastAsia" w:hAnsiTheme="minorEastAsia" w:eastAsiaTheme="minorEastAsia"/>
          <w:sz w:val="28"/>
          <w:szCs w:val="28"/>
        </w:rPr>
      </w:pPr>
      <w:bookmarkStart w:id="68" w:name="_Toc528663562"/>
      <w:bookmarkStart w:id="69" w:name="_Toc18397410"/>
      <w:r>
        <w:rPr>
          <w:rFonts w:hint="eastAsia" w:asciiTheme="minorEastAsia" w:hAnsiTheme="minorEastAsia" w:eastAsiaTheme="minorEastAsia"/>
          <w:sz w:val="28"/>
          <w:szCs w:val="28"/>
        </w:rPr>
        <w:t>五、评价与分析</w:t>
      </w:r>
      <w:bookmarkEnd w:id="68"/>
      <w:bookmarkEnd w:id="69"/>
    </w:p>
    <w:p>
      <w:pPr>
        <w:pStyle w:val="3"/>
        <w:spacing w:before="0" w:after="0" w:line="560" w:lineRule="exact"/>
        <w:ind w:left="420"/>
        <w:rPr>
          <w:rFonts w:asciiTheme="minorEastAsia" w:hAnsiTheme="minorEastAsia" w:eastAsiaTheme="minorEastAsia"/>
          <w:sz w:val="24"/>
          <w:szCs w:val="24"/>
        </w:rPr>
      </w:pPr>
      <w:bookmarkStart w:id="70" w:name="_Toc528663563"/>
      <w:bookmarkStart w:id="71" w:name="_Toc18397411"/>
      <w:r>
        <w:rPr>
          <w:rFonts w:hint="eastAsia" w:asciiTheme="minorEastAsia" w:hAnsiTheme="minorEastAsia" w:eastAsiaTheme="minorEastAsia"/>
          <w:sz w:val="24"/>
          <w:szCs w:val="24"/>
        </w:rPr>
        <w:t>（一）项目产出</w:t>
      </w:r>
      <w:bookmarkEnd w:id="70"/>
      <w:bookmarkEnd w:id="71"/>
    </w:p>
    <w:p>
      <w:pPr>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1.</w:t>
      </w:r>
      <w:r>
        <w:rPr>
          <w:rFonts w:hint="eastAsia" w:asciiTheme="minorEastAsia" w:hAnsiTheme="minorEastAsia" w:eastAsiaTheme="minorEastAsia"/>
          <w:sz w:val="24"/>
          <w:szCs w:val="24"/>
        </w:rPr>
        <w:t>实际完成率</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2018年1-3季度实际乡镇污水处理量722,590.92立方米，仅为保底营运负荷的27.88%；标准分值15分，实际得分4.2分，得分率28%。</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2.完成及时率</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区生态环境局根据合同约定，按核定金额及时支付了2018年第1-3季度乡镇污水处理服务费，完成及时率为100%；标准分值15分，实际得分15分，得分率100%。</w:t>
      </w:r>
    </w:p>
    <w:p>
      <w:pPr>
        <w:pStyle w:val="3"/>
        <w:spacing w:before="0" w:after="0" w:line="560" w:lineRule="exact"/>
        <w:ind w:left="420"/>
        <w:rPr>
          <w:rFonts w:asciiTheme="minorEastAsia" w:hAnsiTheme="minorEastAsia" w:eastAsiaTheme="minorEastAsia"/>
          <w:sz w:val="24"/>
          <w:szCs w:val="24"/>
        </w:rPr>
      </w:pPr>
      <w:bookmarkStart w:id="72" w:name="_Toc528663564"/>
      <w:bookmarkStart w:id="73" w:name="_Toc18397412"/>
      <w:r>
        <w:rPr>
          <w:rFonts w:hint="eastAsia" w:asciiTheme="minorEastAsia" w:hAnsiTheme="minorEastAsia" w:eastAsiaTheme="minorEastAsia"/>
          <w:sz w:val="24"/>
          <w:szCs w:val="24"/>
        </w:rPr>
        <w:t>（二）</w:t>
      </w:r>
      <w:bookmarkEnd w:id="72"/>
      <w:r>
        <w:rPr>
          <w:rFonts w:hint="eastAsia" w:asciiTheme="minorEastAsia" w:hAnsiTheme="minorEastAsia" w:eastAsiaTheme="minorEastAsia"/>
          <w:sz w:val="24"/>
          <w:szCs w:val="24"/>
        </w:rPr>
        <w:t>项目效益</w:t>
      </w:r>
      <w:bookmarkEnd w:id="73"/>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我们通过发放调查问卷对项目的经济效益、社会效益、可持续影响进行</w:t>
      </w:r>
      <w:bookmarkStart w:id="74" w:name="_Toc527122380"/>
      <w:r>
        <w:rPr>
          <w:rFonts w:hint="eastAsia" w:asciiTheme="minorEastAsia" w:hAnsiTheme="minorEastAsia" w:eastAsiaTheme="minorEastAsia"/>
          <w:bCs/>
          <w:sz w:val="24"/>
          <w:szCs w:val="24"/>
        </w:rPr>
        <w:t>评价，发放调查问卷20份，收回有效问卷20份，问卷有效率100%。标准分值30分，实际得分26分，得分率</w:t>
      </w:r>
      <w:r>
        <w:rPr>
          <w:rFonts w:asciiTheme="minorEastAsia" w:hAnsiTheme="minorEastAsia" w:eastAsiaTheme="minorEastAsia"/>
          <w:bCs/>
          <w:sz w:val="24"/>
          <w:szCs w:val="24"/>
        </w:rPr>
        <w:t>86.67</w:t>
      </w:r>
      <w:r>
        <w:rPr>
          <w:rFonts w:hint="eastAsia" w:asciiTheme="minorEastAsia" w:hAnsiTheme="minorEastAsia" w:eastAsiaTheme="minorEastAsia"/>
          <w:bCs/>
          <w:sz w:val="24"/>
          <w:szCs w:val="24"/>
        </w:rPr>
        <w:t>%。</w:t>
      </w:r>
    </w:p>
    <w:p>
      <w:pPr>
        <w:numPr>
          <w:ilvl w:val="0"/>
          <w:numId w:val="3"/>
        </w:numPr>
        <w:spacing w:line="560" w:lineRule="exact"/>
        <w:rPr>
          <w:rFonts w:asciiTheme="minorEastAsia" w:hAnsiTheme="minorEastAsia" w:eastAsiaTheme="minorEastAsia"/>
          <w:bCs/>
          <w:sz w:val="24"/>
          <w:szCs w:val="24"/>
        </w:rPr>
      </w:pPr>
      <w:r>
        <w:rPr>
          <w:rFonts w:hint="eastAsia" w:asciiTheme="minorEastAsia" w:hAnsiTheme="minorEastAsia" w:eastAsiaTheme="minorEastAsia"/>
          <w:bCs/>
          <w:sz w:val="24"/>
          <w:szCs w:val="24"/>
        </w:rPr>
        <w:t>经济效益</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发放调查问卷20份，认为项目使</w:t>
      </w:r>
      <w:r>
        <w:rPr>
          <w:rFonts w:hint="eastAsia" w:asciiTheme="minorEastAsia" w:hAnsiTheme="minorEastAsia" w:eastAsiaTheme="minorEastAsia"/>
          <w:sz w:val="24"/>
          <w:szCs w:val="24"/>
        </w:rPr>
        <w:t>重庆市环保投资有限公司</w:t>
      </w:r>
      <w:r>
        <w:rPr>
          <w:rFonts w:hint="eastAsia" w:asciiTheme="minorEastAsia" w:hAnsiTheme="minorEastAsia" w:eastAsiaTheme="minorEastAsia"/>
          <w:bCs/>
          <w:sz w:val="24"/>
          <w:szCs w:val="24"/>
        </w:rPr>
        <w:t>根据上级对水质的要求增加了设备、技术改造等投入，提高了污水处理处理能力和标准的共18份，占有效问卷的90.00%，标准分值4分，实际得分4分，得分率</w:t>
      </w:r>
      <w:r>
        <w:rPr>
          <w:rFonts w:asciiTheme="minorEastAsia" w:hAnsiTheme="minorEastAsia" w:eastAsiaTheme="minorEastAsia"/>
          <w:bCs/>
          <w:sz w:val="24"/>
          <w:szCs w:val="24"/>
        </w:rPr>
        <w:t>100.00%</w:t>
      </w:r>
      <w:r>
        <w:rPr>
          <w:rFonts w:hint="eastAsia" w:asciiTheme="minorEastAsia" w:hAnsiTheme="minorEastAsia" w:eastAsiaTheme="minorEastAsia"/>
          <w:bCs/>
          <w:sz w:val="24"/>
          <w:szCs w:val="24"/>
        </w:rPr>
        <w:t>。</w:t>
      </w:r>
    </w:p>
    <w:bookmarkEnd w:id="74"/>
    <w:p>
      <w:pPr>
        <w:spacing w:line="560" w:lineRule="exact"/>
        <w:ind w:firstLine="480" w:firstLineChars="200"/>
        <w:jc w:val="left"/>
        <w:rPr>
          <w:rFonts w:cs="仿宋_GB2312" w:asciiTheme="minorEastAsia" w:hAnsiTheme="minorEastAsia" w:eastAsiaTheme="minorEastAsia"/>
          <w:sz w:val="24"/>
          <w:szCs w:val="24"/>
        </w:rPr>
      </w:pPr>
      <w:bookmarkStart w:id="75" w:name="_Toc527122381"/>
      <w:r>
        <w:rPr>
          <w:rFonts w:hint="eastAsia" w:cs="仿宋_GB2312" w:asciiTheme="minorEastAsia" w:hAnsiTheme="minorEastAsia" w:eastAsiaTheme="minorEastAsia"/>
          <w:sz w:val="24"/>
          <w:szCs w:val="24"/>
        </w:rPr>
        <w:t>2.社会效益</w:t>
      </w:r>
      <w:bookmarkEnd w:id="75"/>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（1）改善生态环境、减少污染物排放</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发放调查问卷20份，认为作用很大的14份，占有效问卷的70%，认为作用大的5份，占有效问卷的25%，认为作用一般的1份，占有效问卷的5%；标准分值4份，实际得分4分，得分率</w:t>
      </w:r>
      <w:r>
        <w:rPr>
          <w:rFonts w:asciiTheme="minorEastAsia" w:hAnsiTheme="minorEastAsia" w:eastAsiaTheme="minorEastAsia"/>
          <w:bCs/>
          <w:sz w:val="24"/>
          <w:szCs w:val="24"/>
        </w:rPr>
        <w:t>100.00%</w:t>
      </w:r>
      <w:r>
        <w:rPr>
          <w:rFonts w:hint="eastAsia" w:asciiTheme="minorEastAsia" w:hAnsiTheme="minorEastAsia" w:eastAsiaTheme="minorEastAsia"/>
          <w:bCs/>
          <w:sz w:val="24"/>
          <w:szCs w:val="24"/>
        </w:rPr>
        <w:t>。</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（2）提升城镇功能，使城镇更加整洁卫生</w:t>
      </w:r>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发放调查问卷20份，认为作用很大的13份，占有效问卷的65%，认为作用大的6份，占有效问卷的30%；认为一般的1份，占有效问卷的5%；标准分值4份，实际得分4分，得分率100%。</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（3）改善当地居民生活质量</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发放调查问卷20份，认为作用很大的10份，占有效问卷的50%，认为作用大的7份，占有效问卷的35%，认为作用一般的3份，占有效问卷的15%；标准分值4份，实际得分3分，得分率75%。</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（4）有利于维护社会和谐稳定</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发放调查问卷20份，认为作用大的14份，占有效问卷的70%，认为作用小的6份，占有效问卷的30%；标准分值4分，实际得分2分，得分率50%。</w:t>
      </w:r>
    </w:p>
    <w:p>
      <w:pPr>
        <w:numPr>
          <w:ilvl w:val="0"/>
          <w:numId w:val="3"/>
        </w:numPr>
        <w:spacing w:line="560" w:lineRule="exact"/>
        <w:jc w:val="left"/>
        <w:rPr>
          <w:rFonts w:cs="仿宋_GB2312" w:asciiTheme="minorEastAsia" w:hAnsiTheme="minorEastAsia" w:eastAsiaTheme="minorEastAsia"/>
          <w:sz w:val="24"/>
          <w:szCs w:val="24"/>
        </w:rPr>
      </w:pPr>
      <w:bookmarkStart w:id="76" w:name="_Toc527122382"/>
      <w:r>
        <w:rPr>
          <w:rFonts w:hint="eastAsia" w:cs="仿宋_GB2312" w:asciiTheme="minorEastAsia" w:hAnsiTheme="minorEastAsia" w:eastAsiaTheme="minorEastAsia"/>
          <w:sz w:val="24"/>
          <w:szCs w:val="24"/>
        </w:rPr>
        <w:t>可持续影响</w:t>
      </w:r>
      <w:bookmarkEnd w:id="76"/>
    </w:p>
    <w:p>
      <w:pPr>
        <w:numPr>
          <w:ilvl w:val="0"/>
          <w:numId w:val="4"/>
        </w:numPr>
        <w:spacing w:line="5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对当地发展的持续影响</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发放调查问卷20份，认为项目对当地生活及生产能力影响大的16份，占有效问卷的80%，认为影响小的3份，占有效问卷的15%，认为没有影响的1份，占有效问卷的5%；标准分值5分，实际得分4分，得分率80%。</w:t>
      </w:r>
    </w:p>
    <w:p>
      <w:pPr>
        <w:numPr>
          <w:ilvl w:val="0"/>
          <w:numId w:val="4"/>
        </w:numPr>
        <w:spacing w:line="5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项目的可持续性</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发放调查问卷20份，认为项目在生态、资金等方面具有可持续性的共18份，占有效问卷的90.00%，认为不具有可持续性的</w:t>
      </w:r>
      <w:bookmarkStart w:id="98" w:name="_GoBack"/>
      <w:bookmarkEnd w:id="98"/>
      <w:r>
        <w:rPr>
          <w:rFonts w:hint="eastAsia" w:cs="仿宋_GB2312" w:asciiTheme="minorEastAsia" w:hAnsiTheme="minorEastAsia" w:eastAsiaTheme="minorEastAsia"/>
          <w:sz w:val="24"/>
          <w:szCs w:val="24"/>
        </w:rPr>
        <w:t>共2份，占有效问卷的10.00%，标准分值5分，实际得分5分，得分率100%。</w:t>
      </w:r>
    </w:p>
    <w:p>
      <w:pPr>
        <w:pStyle w:val="3"/>
        <w:spacing w:before="0" w:after="0" w:line="560" w:lineRule="exact"/>
        <w:ind w:firstLine="482" w:firstLineChars="200"/>
        <w:rPr>
          <w:rFonts w:asciiTheme="minorEastAsia" w:hAnsiTheme="minorEastAsia" w:eastAsiaTheme="minorEastAsia"/>
          <w:sz w:val="24"/>
          <w:szCs w:val="24"/>
        </w:rPr>
      </w:pPr>
      <w:bookmarkStart w:id="77" w:name="_Toc18397413"/>
      <w:bookmarkStart w:id="78" w:name="_Toc528663566"/>
      <w:r>
        <w:rPr>
          <w:rFonts w:hint="eastAsia" w:asciiTheme="minorEastAsia" w:hAnsiTheme="minorEastAsia" w:eastAsiaTheme="minorEastAsia"/>
          <w:sz w:val="24"/>
          <w:szCs w:val="24"/>
        </w:rPr>
        <w:t>（三）满意度</w:t>
      </w:r>
      <w:bookmarkEnd w:id="77"/>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1. 对污水处理效果的满意度</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发放调查问卷20份，认为污水处理效果很好的共17份，占有效问卷的85.00%，认为污水处理效果比较好的共3份，占有效问卷的15.00%；标准分值5分，实际得分4分，得分率80%。</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 对污水处理工作的满意度</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发放调查问卷20份，对污水处理工作很满意的共18份，占有效问卷的90.00%；对污水处理工作比较满意的共2份，占有效问卷的10.00%；标准分值5分，实际得分5分，得分率100%。</w:t>
      </w:r>
    </w:p>
    <w:p>
      <w:pPr>
        <w:pStyle w:val="3"/>
        <w:spacing w:before="0" w:after="0" w:line="560" w:lineRule="exact"/>
        <w:ind w:left="420"/>
        <w:rPr>
          <w:rFonts w:asciiTheme="minorEastAsia" w:hAnsiTheme="minorEastAsia" w:eastAsiaTheme="minorEastAsia"/>
          <w:sz w:val="24"/>
          <w:szCs w:val="24"/>
        </w:rPr>
      </w:pPr>
      <w:bookmarkStart w:id="79" w:name="_Toc18397414"/>
      <w:r>
        <w:rPr>
          <w:rFonts w:hint="eastAsia" w:asciiTheme="minorEastAsia" w:hAnsiTheme="minorEastAsia" w:eastAsiaTheme="minorEastAsia"/>
          <w:sz w:val="24"/>
          <w:szCs w:val="24"/>
        </w:rPr>
        <w:t>（四）项目管理</w:t>
      </w:r>
      <w:bookmarkEnd w:id="78"/>
      <w:bookmarkEnd w:id="79"/>
    </w:p>
    <w:p>
      <w:pPr>
        <w:spacing w:line="560" w:lineRule="exact"/>
        <w:ind w:firstLine="480" w:firstLineChars="200"/>
        <w:jc w:val="left"/>
        <w:rPr>
          <w:rFonts w:cs="仿宋_GB2312" w:asciiTheme="minorEastAsia" w:hAnsiTheme="minorEastAsia" w:eastAsiaTheme="minorEastAsia"/>
          <w:sz w:val="24"/>
          <w:szCs w:val="24"/>
        </w:rPr>
      </w:pPr>
      <w:bookmarkStart w:id="80" w:name="_Toc527122385"/>
      <w:r>
        <w:rPr>
          <w:rFonts w:hint="eastAsia" w:cs="仿宋_GB2312" w:asciiTheme="minorEastAsia" w:hAnsiTheme="minorEastAsia" w:eastAsiaTheme="minorEastAsia"/>
          <w:sz w:val="24"/>
          <w:szCs w:val="24"/>
        </w:rPr>
        <w:t>1.决策管理</w:t>
      </w:r>
      <w:bookmarkEnd w:id="80"/>
    </w:p>
    <w:p>
      <w:pPr>
        <w:spacing w:line="560" w:lineRule="exact"/>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评价小组通过调查对依据是否充分及依据是否合理两项进行评价，标准分值6分，实际得分3分，决策依据是否合理扣3分，得分率50%。</w:t>
      </w:r>
    </w:p>
    <w:p>
      <w:pPr>
        <w:numPr>
          <w:ilvl w:val="0"/>
          <w:numId w:val="5"/>
        </w:numPr>
        <w:spacing w:line="560" w:lineRule="exact"/>
        <w:rPr>
          <w:rFonts w:asciiTheme="minorEastAsia" w:hAnsiTheme="minorEastAsia" w:eastAsiaTheme="minorEastAsia"/>
          <w:bCs/>
          <w:sz w:val="24"/>
          <w:szCs w:val="24"/>
        </w:rPr>
      </w:pPr>
      <w:r>
        <w:rPr>
          <w:rFonts w:hint="eastAsia" w:asciiTheme="minorEastAsia" w:hAnsiTheme="minorEastAsia" w:eastAsiaTheme="minorEastAsia"/>
          <w:bCs/>
          <w:sz w:val="24"/>
          <w:szCs w:val="24"/>
        </w:rPr>
        <w:t>决策依据充分</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项目为政府决策，根据重庆市北碚区人民政府与重庆市环保投资有限公司签订的《乡镇污水处理设施建设运营合同》约定支付乡镇污水处理服务费，决策依据充分。标准分值3分，得分3分，得分率100%。</w:t>
      </w:r>
    </w:p>
    <w:p>
      <w:pPr>
        <w:numPr>
          <w:ilvl w:val="0"/>
          <w:numId w:val="5"/>
        </w:numPr>
        <w:spacing w:line="560" w:lineRule="exact"/>
        <w:rPr>
          <w:rFonts w:asciiTheme="minorEastAsia" w:hAnsiTheme="minorEastAsia" w:eastAsiaTheme="minorEastAsia"/>
          <w:bCs/>
          <w:sz w:val="24"/>
          <w:szCs w:val="24"/>
        </w:rPr>
      </w:pPr>
      <w:r>
        <w:rPr>
          <w:rFonts w:hint="eastAsia" w:asciiTheme="minorEastAsia" w:hAnsiTheme="minorEastAsia" w:eastAsiaTheme="minorEastAsia"/>
          <w:bCs/>
          <w:sz w:val="24"/>
          <w:szCs w:val="24"/>
        </w:rPr>
        <w:t>合同约定作为计费依据的保底负荷量</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乡镇污水处理设施建设运营合同》及其补充合同，北碚区7个乡镇污水处理设施按保底负荷（污水处理设施设计负荷的90%）乘以固定单价计算污水处理服务费。2018年1-3季度实际污水处理量比保底营运负荷少1,869,544.08立方米，仅为保底营运负荷的27.88%。2018年1-3季度区生态环境局</w:t>
      </w:r>
      <w:r>
        <w:rPr>
          <w:rFonts w:asciiTheme="minorEastAsia" w:hAnsiTheme="minorEastAsia" w:eastAsiaTheme="minorEastAsia"/>
          <w:bCs/>
          <w:sz w:val="24"/>
          <w:szCs w:val="24"/>
        </w:rPr>
        <w:t>实际支付乡镇污水处理服务费5,849,257.05元</w:t>
      </w:r>
      <w:r>
        <w:rPr>
          <w:rFonts w:hint="eastAsia" w:asciiTheme="minorEastAsia" w:hAnsiTheme="minorEastAsia" w:eastAsiaTheme="minorEastAsia"/>
          <w:bCs/>
          <w:sz w:val="24"/>
          <w:szCs w:val="24"/>
        </w:rPr>
        <w:t>，按实际污水处理量乘以约定单价计算的污水处理服务费为</w:t>
      </w:r>
      <w:r>
        <w:rPr>
          <w:rFonts w:asciiTheme="minorEastAsia" w:hAnsiTheme="minorEastAsia" w:eastAsiaTheme="minorEastAsia"/>
          <w:bCs/>
          <w:sz w:val="24"/>
          <w:szCs w:val="24"/>
        </w:rPr>
        <w:t>1,647,731.74元</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差额为4,201,525.31元</w:t>
      </w:r>
      <w:r>
        <w:rPr>
          <w:rFonts w:hint="eastAsia" w:asciiTheme="minorEastAsia" w:hAnsiTheme="minorEastAsia" w:eastAsiaTheme="minorEastAsia"/>
          <w:bCs/>
          <w:sz w:val="24"/>
          <w:szCs w:val="24"/>
        </w:rPr>
        <w:t>，财政资金利用效率不高。标准分值3分，实际得分0分，得分率为0。</w:t>
      </w:r>
    </w:p>
    <w:p>
      <w:pPr>
        <w:numPr>
          <w:ilvl w:val="0"/>
          <w:numId w:val="3"/>
        </w:numPr>
        <w:spacing w:line="560" w:lineRule="exact"/>
        <w:jc w:val="left"/>
        <w:rPr>
          <w:rFonts w:cs="仿宋_GB2312" w:asciiTheme="minorEastAsia" w:hAnsiTheme="minorEastAsia" w:eastAsiaTheme="minorEastAsia"/>
          <w:sz w:val="24"/>
          <w:szCs w:val="24"/>
        </w:rPr>
      </w:pPr>
      <w:bookmarkStart w:id="81" w:name="_Toc527122386"/>
      <w:r>
        <w:rPr>
          <w:rFonts w:hint="eastAsia" w:cs="仿宋_GB2312" w:asciiTheme="minorEastAsia" w:hAnsiTheme="minorEastAsia" w:eastAsiaTheme="minorEastAsia"/>
          <w:sz w:val="24"/>
          <w:szCs w:val="24"/>
        </w:rPr>
        <w:t>资金管理</w:t>
      </w:r>
      <w:bookmarkEnd w:id="81"/>
    </w:p>
    <w:p>
      <w:pPr>
        <w:spacing w:line="560" w:lineRule="exact"/>
        <w:ind w:left="48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项目资金管理规范有效，标准分值14分，实际得分14分，得分率100%。</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（1）资金到位率100%</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2018年1-3季度乡镇污水处理服务费预算资金已全部到位，资金到位率100%。标准分值3分，实际得分3分，得分率100%。</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（2）到位及时率100%</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2018年1-3季度乡镇污水处理服务费已及时到位，到位及时率100%。标准分值3分，实际得分3分，得分率100%。</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（3）制度建设基本完善</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已制定相应的项目资金管理办法且符合相关财务会计制度规定，区生态环境局按照《重庆市北碚区环境保护局环保专项资金使用管理办法》的规定管理乡镇污水处理服务费支付。标准分值2分，实际得分2分，得分率100%。</w:t>
      </w:r>
    </w:p>
    <w:p>
      <w:pPr>
        <w:numPr>
          <w:ilvl w:val="0"/>
          <w:numId w:val="5"/>
        </w:numPr>
        <w:spacing w:line="560" w:lineRule="exact"/>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资金使用合规性</w:t>
      </w:r>
    </w:p>
    <w:p>
      <w:pPr>
        <w:spacing w:line="56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资金拨付程序规范，资金用途符合项目预算文件规定，资金使用按规定项目进行财务核算，专项资金支出手续齐全合规。标准分值6分，实际得分6分，得分率100%。</w:t>
      </w:r>
    </w:p>
    <w:p>
      <w:pPr>
        <w:spacing w:line="560" w:lineRule="exact"/>
        <w:ind w:firstLine="480" w:firstLineChars="200"/>
        <w:jc w:val="left"/>
        <w:rPr>
          <w:rFonts w:cs="仿宋_GB2312" w:asciiTheme="minorEastAsia" w:hAnsiTheme="minorEastAsia" w:eastAsiaTheme="minorEastAsia"/>
          <w:sz w:val="24"/>
          <w:szCs w:val="24"/>
        </w:rPr>
      </w:pPr>
      <w:bookmarkStart w:id="82" w:name="_Toc527122387"/>
      <w:r>
        <w:rPr>
          <w:rFonts w:hint="eastAsia" w:cs="仿宋_GB2312" w:asciiTheme="minorEastAsia" w:hAnsiTheme="minorEastAsia" w:eastAsiaTheme="minorEastAsia"/>
          <w:sz w:val="24"/>
          <w:szCs w:val="24"/>
        </w:rPr>
        <w:t>3.业务管理</w:t>
      </w:r>
      <w:bookmarkEnd w:id="82"/>
    </w:p>
    <w:p>
      <w:pPr>
        <w:spacing w:line="560" w:lineRule="exact"/>
        <w:ind w:firstLine="480"/>
        <w:rPr>
          <w:rFonts w:asciiTheme="minorEastAsia" w:hAnsiTheme="minorEastAsia" w:eastAsiaTheme="minorEastAsia"/>
          <w:bCs/>
          <w:sz w:val="24"/>
          <w:szCs w:val="24"/>
        </w:rPr>
      </w:pPr>
      <w:r>
        <w:rPr>
          <w:rFonts w:hint="eastAsia" w:cs="仿宋_GB2312" w:asciiTheme="minorEastAsia" w:hAnsiTheme="minorEastAsia" w:eastAsiaTheme="minorEastAsia"/>
          <w:sz w:val="24"/>
          <w:szCs w:val="24"/>
        </w:rPr>
        <w:t>业务管理规范，制度健全有效。</w:t>
      </w:r>
      <w:r>
        <w:rPr>
          <w:rFonts w:hint="eastAsia" w:asciiTheme="minorEastAsia" w:hAnsiTheme="minorEastAsia" w:eastAsiaTheme="minorEastAsia"/>
          <w:bCs/>
          <w:sz w:val="24"/>
          <w:szCs w:val="24"/>
        </w:rPr>
        <w:t>标准分值10分，实际得分10分，得分率100%，具体情况如下：</w:t>
      </w:r>
    </w:p>
    <w:p>
      <w:pPr>
        <w:numPr>
          <w:ilvl w:val="0"/>
          <w:numId w:val="6"/>
        </w:numPr>
        <w:spacing w:line="560" w:lineRule="exact"/>
        <w:rPr>
          <w:rFonts w:asciiTheme="minorEastAsia" w:hAnsiTheme="minorEastAsia" w:eastAsiaTheme="minorEastAsia"/>
          <w:bCs/>
          <w:sz w:val="24"/>
          <w:szCs w:val="24"/>
        </w:rPr>
      </w:pPr>
      <w:r>
        <w:rPr>
          <w:rFonts w:hint="eastAsia" w:asciiTheme="minorEastAsia" w:hAnsiTheme="minorEastAsia" w:eastAsiaTheme="minorEastAsia"/>
          <w:bCs/>
          <w:sz w:val="24"/>
          <w:szCs w:val="24"/>
        </w:rPr>
        <w:t>组织管理完善</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由区生态环境局污染防治科负责乡镇污水处理服务费的具体事宜，审核重庆市环保投资有限公司报送的水处理服务费相关资料、例行监测、检查等均有专人负责。机构设置合理，运转协调、有效，人员配备合理。标准分值4分，实际得分4分，得分率100%。</w:t>
      </w:r>
    </w:p>
    <w:p>
      <w:pPr>
        <w:numPr>
          <w:ilvl w:val="0"/>
          <w:numId w:val="6"/>
        </w:numPr>
        <w:spacing w:line="560" w:lineRule="exact"/>
        <w:rPr>
          <w:rFonts w:asciiTheme="minorEastAsia" w:hAnsiTheme="minorEastAsia" w:eastAsiaTheme="minorEastAsia"/>
          <w:bCs/>
          <w:sz w:val="24"/>
          <w:szCs w:val="24"/>
        </w:rPr>
      </w:pPr>
      <w:r>
        <w:rPr>
          <w:rFonts w:hint="eastAsia" w:asciiTheme="minorEastAsia" w:hAnsiTheme="minorEastAsia" w:eastAsiaTheme="minorEastAsia"/>
          <w:bCs/>
          <w:sz w:val="24"/>
          <w:szCs w:val="24"/>
        </w:rPr>
        <w:t>制度建立健全</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业务管理制度参照重庆市环境保护局办公室《关于进一步加强城乡生活污水处理设施环境监督工作的通知》（渝环办[2018]315号）执行，标准分值2分，实际得分2分，得分率100%。</w:t>
      </w:r>
    </w:p>
    <w:p>
      <w:pPr>
        <w:numPr>
          <w:ilvl w:val="0"/>
          <w:numId w:val="6"/>
        </w:numPr>
        <w:spacing w:line="560" w:lineRule="exact"/>
        <w:rPr>
          <w:rFonts w:asciiTheme="minorEastAsia" w:hAnsiTheme="minorEastAsia" w:eastAsiaTheme="minorEastAsia"/>
          <w:bCs/>
          <w:sz w:val="24"/>
          <w:szCs w:val="24"/>
        </w:rPr>
      </w:pPr>
      <w:r>
        <w:rPr>
          <w:rFonts w:hint="eastAsia" w:asciiTheme="minorEastAsia" w:hAnsiTheme="minorEastAsia" w:eastAsiaTheme="minorEastAsia"/>
          <w:bCs/>
          <w:sz w:val="24"/>
          <w:szCs w:val="24"/>
        </w:rPr>
        <w:t>制度执行有效</w:t>
      </w:r>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关于进一步加强城乡生活污水处理设施环境监督工作的通知》（渝环办[2018]315号）等文件要求，北碚区生态环境监测站对北碚区相关乡镇污水处理设施进行监督监测并出具《监测报告》，区生态环境局污染防治科定期核定水质及污水处理量。项目支付手续齐全合规，制度执行有效。项目资料管理完善，项目相关文件、污水处理服务费支付依据、监测报告、例行检查照片等资料保存完整。标准分值4分，实际得分4分，得分率100%。</w:t>
      </w:r>
    </w:p>
    <w:p>
      <w:pPr>
        <w:pStyle w:val="2"/>
        <w:spacing w:before="0" w:after="0" w:line="560" w:lineRule="exact"/>
        <w:ind w:left="562"/>
        <w:rPr>
          <w:rFonts w:asciiTheme="minorEastAsia" w:hAnsiTheme="minorEastAsia" w:eastAsiaTheme="minorEastAsia"/>
          <w:sz w:val="28"/>
          <w:szCs w:val="28"/>
        </w:rPr>
      </w:pPr>
      <w:bookmarkStart w:id="83" w:name="_Toc528663572"/>
      <w:bookmarkStart w:id="84" w:name="_Toc18397415"/>
      <w:r>
        <w:rPr>
          <w:rFonts w:hint="eastAsia" w:asciiTheme="minorEastAsia" w:hAnsiTheme="minorEastAsia" w:eastAsiaTheme="minorEastAsia"/>
          <w:sz w:val="28"/>
          <w:szCs w:val="28"/>
        </w:rPr>
        <w:t>六、总体结论</w:t>
      </w:r>
      <w:bookmarkEnd w:id="83"/>
      <w:bookmarkEnd w:id="84"/>
    </w:p>
    <w:p>
      <w:pPr>
        <w:pStyle w:val="3"/>
        <w:spacing w:before="0" w:after="0" w:line="560" w:lineRule="exact"/>
        <w:ind w:left="420"/>
        <w:rPr>
          <w:rFonts w:asciiTheme="minorEastAsia" w:hAnsiTheme="minorEastAsia" w:eastAsiaTheme="minorEastAsia"/>
          <w:b w:val="0"/>
          <w:kern w:val="2"/>
          <w:sz w:val="24"/>
          <w:szCs w:val="24"/>
        </w:rPr>
      </w:pPr>
      <w:bookmarkStart w:id="85" w:name="_Toc528663573"/>
      <w:bookmarkStart w:id="86" w:name="_Toc527122394"/>
      <w:bookmarkStart w:id="87" w:name="_Toc18397416"/>
      <w:r>
        <w:rPr>
          <w:rFonts w:hint="eastAsia" w:asciiTheme="minorEastAsia" w:hAnsiTheme="minorEastAsia" w:eastAsiaTheme="minorEastAsia"/>
          <w:sz w:val="24"/>
          <w:szCs w:val="24"/>
        </w:rPr>
        <w:t>（一）评分等级</w:t>
      </w:r>
      <w:bookmarkEnd w:id="85"/>
      <w:bookmarkEnd w:id="86"/>
      <w:bookmarkEnd w:id="87"/>
      <w:bookmarkStart w:id="88" w:name="_Toc528663574"/>
      <w:bookmarkStart w:id="89" w:name="_Toc527122395"/>
    </w:p>
    <w:p>
      <w:pPr>
        <w:spacing w:line="56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依据北碚区2018年1-3季度乡镇污水处理服务费项目《绩效评价指标体系》，评价工作组在秉承客观、公平、公正的原则下审慎进行评价，综合评议2018年1-3季度乡镇污水处理服务费项目绩效评价得分：81.2分，绩效评价等次为：良好。</w:t>
      </w:r>
    </w:p>
    <w:p>
      <w:pPr>
        <w:pStyle w:val="3"/>
        <w:spacing w:before="0" w:after="0" w:line="560" w:lineRule="exact"/>
        <w:ind w:left="420"/>
        <w:rPr>
          <w:rFonts w:asciiTheme="minorEastAsia" w:hAnsiTheme="minorEastAsia" w:eastAsiaTheme="minorEastAsia"/>
          <w:sz w:val="24"/>
          <w:szCs w:val="24"/>
        </w:rPr>
      </w:pPr>
      <w:bookmarkStart w:id="90" w:name="_Toc18397417"/>
      <w:r>
        <w:rPr>
          <w:rFonts w:hint="eastAsia" w:asciiTheme="minorEastAsia" w:hAnsiTheme="minorEastAsia" w:eastAsiaTheme="minorEastAsia"/>
          <w:sz w:val="24"/>
          <w:szCs w:val="24"/>
        </w:rPr>
        <w:t>（二）存在的问题</w:t>
      </w:r>
      <w:bookmarkEnd w:id="88"/>
      <w:bookmarkEnd w:id="89"/>
      <w:bookmarkStart w:id="91" w:name="_Toc404178359"/>
      <w:r>
        <w:rPr>
          <w:rFonts w:hint="eastAsia" w:asciiTheme="minorEastAsia" w:hAnsiTheme="minorEastAsia" w:eastAsiaTheme="minorEastAsia"/>
          <w:sz w:val="24"/>
          <w:szCs w:val="24"/>
        </w:rPr>
        <w:t>及原因分析</w:t>
      </w:r>
      <w:bookmarkEnd w:id="90"/>
    </w:p>
    <w:p>
      <w:pPr>
        <w:spacing w:line="360" w:lineRule="auto"/>
        <w:ind w:firstLine="480" w:firstLineChars="200"/>
        <w:jc w:val="left"/>
        <w:rPr>
          <w:rFonts w:asciiTheme="minorEastAsia" w:hAnsiTheme="minorEastAsia" w:eastAsiaTheme="minorEastAsia"/>
          <w:sz w:val="24"/>
          <w:szCs w:val="24"/>
        </w:rPr>
      </w:pPr>
      <w:bookmarkStart w:id="92" w:name="_Toc528663576"/>
      <w:r>
        <w:rPr>
          <w:rFonts w:hint="eastAsia" w:cs="仿宋_GB2312" w:asciiTheme="minorEastAsia" w:hAnsiTheme="minorEastAsia" w:eastAsiaTheme="minorEastAsia"/>
          <w:sz w:val="24"/>
          <w:szCs w:val="24"/>
        </w:rPr>
        <w:t>1.</w:t>
      </w:r>
      <w:r>
        <w:rPr>
          <w:rFonts w:hint="eastAsia" w:asciiTheme="minorEastAsia" w:hAnsiTheme="minorEastAsia" w:eastAsiaTheme="minorEastAsia"/>
          <w:sz w:val="24"/>
          <w:szCs w:val="24"/>
        </w:rPr>
        <w:t>项目产出较低</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相关乡镇污水处理设施实际污水处理量远低于合同约定的保底营运负荷量，项目实际完成率低。2018年1-3季度保底营运负荷2,592,135.00立方米，实际污水处理量722,590.92立方米，仅为保底营运负荷的27.88%。</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产生上述问题的主要原因：我国对小城镇污水处理厂的设计尚无专门的规范，污水处理设施普遍存在设计缺陷，管网覆盖不足，导致污水收集率不高，污水处理能力利用不足，实际污水处理量远低于保底营运负荷量。</w:t>
      </w:r>
    </w:p>
    <w:p>
      <w:pPr>
        <w:spacing w:line="360" w:lineRule="auto"/>
        <w:ind w:firstLine="480" w:firstLineChars="200"/>
        <w:jc w:val="left"/>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2.</w:t>
      </w:r>
      <w:r>
        <w:rPr>
          <w:rFonts w:hint="eastAsia" w:asciiTheme="minorEastAsia" w:hAnsiTheme="minorEastAsia" w:eastAsiaTheme="minorEastAsia"/>
          <w:sz w:val="24"/>
          <w:szCs w:val="24"/>
        </w:rPr>
        <w:t>项目开展的依据不够合理</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重庆市北碚区人民政府与重庆市环保投资有限公司签订的《乡镇污水处理设施建设运营合同》确定的污水处理量不够科学，导致财政资金利用效率不高。</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协议，北碚区7个乡镇污水处理设施按保底负荷（污水处理设施设计负荷的90%）乘以固定单价计算污水处理服务费。2018年1-3季度区生态环境局核定并支付乡镇污水处理服务费5,849,257.05元，按实际污水处理量乘以约定单价计算的污水处理服务费为1,647,731.74元，差额为4,201,525.31元。</w:t>
      </w:r>
    </w:p>
    <w:p>
      <w:pPr>
        <w:pStyle w:val="2"/>
        <w:spacing w:before="0" w:after="0" w:line="560" w:lineRule="exact"/>
        <w:ind w:left="562"/>
        <w:rPr>
          <w:rFonts w:asciiTheme="minorEastAsia" w:hAnsiTheme="minorEastAsia" w:eastAsiaTheme="minorEastAsia"/>
          <w:sz w:val="28"/>
          <w:szCs w:val="28"/>
        </w:rPr>
      </w:pPr>
      <w:bookmarkStart w:id="93" w:name="_Toc18397418"/>
      <w:r>
        <w:rPr>
          <w:rFonts w:hint="eastAsia" w:asciiTheme="minorEastAsia" w:hAnsiTheme="minorEastAsia" w:eastAsiaTheme="minorEastAsia"/>
          <w:sz w:val="28"/>
          <w:szCs w:val="28"/>
        </w:rPr>
        <w:t>七、对策与建议</w:t>
      </w:r>
      <w:bookmarkEnd w:id="91"/>
      <w:bookmarkEnd w:id="92"/>
      <w:bookmarkEnd w:id="93"/>
    </w:p>
    <w:p>
      <w:pPr>
        <w:pStyle w:val="3"/>
        <w:spacing w:before="0" w:after="0" w:line="560" w:lineRule="exact"/>
        <w:ind w:left="420"/>
        <w:rPr>
          <w:rFonts w:asciiTheme="minorEastAsia" w:hAnsiTheme="minorEastAsia" w:eastAsiaTheme="minorEastAsia"/>
          <w:sz w:val="24"/>
          <w:szCs w:val="24"/>
        </w:rPr>
      </w:pPr>
      <w:bookmarkStart w:id="94" w:name="_Toc18397419"/>
      <w:r>
        <w:rPr>
          <w:rFonts w:hint="eastAsia" w:asciiTheme="minorEastAsia" w:hAnsiTheme="minorEastAsia" w:eastAsiaTheme="minorEastAsia"/>
          <w:sz w:val="24"/>
          <w:szCs w:val="24"/>
        </w:rPr>
        <w:t>（一）加快北碚区乡镇污水处理设施建设及改造</w:t>
      </w:r>
      <w:bookmarkEnd w:id="94"/>
    </w:p>
    <w:p>
      <w:pPr>
        <w:spacing w:line="56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建议加快北碚区乡镇污水处理设施建设及改造，改善污水处理设施存在设计缺陷，扩大污水管网覆盖面，提高污水收集率，充分利用污水处理能力。加强政府相关部门与第三方运营企业之间的协作以及对污水处理厂的日常运营监管，改善污水处理厂处理能力利用不足的问题。让项目能够持续改善北碚区乡镇人居环境，实现政府和广大人民群众对污水治理的美好愿景。</w:t>
      </w:r>
    </w:p>
    <w:p>
      <w:pPr>
        <w:pStyle w:val="3"/>
        <w:spacing w:before="0" w:after="0" w:line="560" w:lineRule="exact"/>
        <w:ind w:left="420"/>
        <w:rPr>
          <w:rFonts w:asciiTheme="minorEastAsia" w:hAnsiTheme="minorEastAsia" w:eastAsiaTheme="minorEastAsia"/>
          <w:sz w:val="24"/>
          <w:szCs w:val="24"/>
        </w:rPr>
      </w:pPr>
      <w:bookmarkStart w:id="95" w:name="_Toc18397420"/>
      <w:r>
        <w:rPr>
          <w:rFonts w:hint="eastAsia" w:asciiTheme="minorEastAsia" w:hAnsiTheme="minorEastAsia" w:eastAsiaTheme="minorEastAsia"/>
          <w:sz w:val="24"/>
          <w:szCs w:val="24"/>
        </w:rPr>
        <w:t>（二）重新商讨合同定价</w:t>
      </w:r>
      <w:bookmarkEnd w:id="95"/>
    </w:p>
    <w:p>
      <w:pPr>
        <w:spacing w:line="560" w:lineRule="exact"/>
        <w:ind w:firstLine="480" w:firstLineChars="200"/>
        <w:jc w:val="left"/>
        <w:rPr>
          <w:rFonts w:asciiTheme="minorEastAsia" w:hAnsiTheme="minorEastAsia" w:eastAsiaTheme="minorEastAsia"/>
          <w:sz w:val="32"/>
          <w:szCs w:val="32"/>
        </w:rPr>
      </w:pPr>
      <w:r>
        <w:rPr>
          <w:rFonts w:hint="eastAsia" w:asciiTheme="minorEastAsia" w:hAnsiTheme="minorEastAsia" w:eastAsiaTheme="minorEastAsia"/>
          <w:bCs/>
          <w:sz w:val="24"/>
          <w:szCs w:val="24"/>
        </w:rPr>
        <w:t>建议北碚区人民政府与重庆市环保投资有限公司结合各乡镇污水处理设施运行效率等实际情况，重新审视《乡镇污水处理设施建设运营合同》约定的计费依据、调价原则是否合理，适当调整现有污水处理服务费计费依据，合理确定乡镇污水处理资金支出规模，</w:t>
      </w:r>
      <w:r>
        <w:rPr>
          <w:rFonts w:hint="eastAsia" w:asciiTheme="minorEastAsia" w:hAnsiTheme="minorEastAsia" w:eastAsiaTheme="minorEastAsia"/>
          <w:sz w:val="24"/>
          <w:szCs w:val="24"/>
        </w:rPr>
        <w:t>提高财政资金利用效率</w:t>
      </w:r>
      <w:r>
        <w:rPr>
          <w:rFonts w:hint="eastAsia" w:asciiTheme="minorEastAsia" w:hAnsiTheme="minorEastAsia" w:eastAsiaTheme="minorEastAsia"/>
          <w:bCs/>
          <w:sz w:val="24"/>
          <w:szCs w:val="24"/>
        </w:rPr>
        <w:t>。</w:t>
      </w:r>
    </w:p>
    <w:p>
      <w:pPr>
        <w:spacing w:line="560" w:lineRule="exact"/>
        <w:ind w:firstLine="640" w:firstLineChars="200"/>
        <w:jc w:val="left"/>
        <w:rPr>
          <w:rFonts w:ascii="宋体" w:hAnsi="宋体"/>
          <w:sz w:val="32"/>
          <w:szCs w:val="32"/>
        </w:rPr>
        <w:sectPr>
          <w:footerReference r:id="rId10" w:type="first"/>
          <w:footerReference r:id="rId9" w:type="default"/>
          <w:pgSz w:w="11906" w:h="16838"/>
          <w:pgMar w:top="1418" w:right="1418" w:bottom="1418" w:left="1531" w:header="851" w:footer="992" w:gutter="0"/>
          <w:pgNumType w:start="1"/>
          <w:cols w:space="425" w:num="1"/>
          <w:titlePg/>
          <w:docGrid w:type="lines" w:linePitch="312" w:charSpace="0"/>
        </w:sectPr>
      </w:pPr>
    </w:p>
    <w:p>
      <w:pPr>
        <w:pStyle w:val="16"/>
        <w:spacing w:before="0" w:after="0" w:line="360" w:lineRule="auto"/>
        <w:rPr>
          <w:sz w:val="24"/>
          <w:szCs w:val="24"/>
        </w:rPr>
      </w:pPr>
      <w:bookmarkStart w:id="96" w:name="_Toc528663580"/>
      <w:bookmarkStart w:id="97" w:name="_Toc18397421"/>
      <w:r>
        <w:rPr>
          <w:rFonts w:hint="eastAsia"/>
          <w:sz w:val="24"/>
          <w:szCs w:val="24"/>
        </w:rPr>
        <w:t>第三部分：</w:t>
      </w:r>
      <w:r>
        <w:rPr>
          <w:rFonts w:hint="eastAsia"/>
          <w:kern w:val="0"/>
          <w:sz w:val="24"/>
          <w:szCs w:val="24"/>
        </w:rPr>
        <w:t>绩效评价指标体系</w:t>
      </w:r>
      <w:bookmarkEnd w:id="96"/>
      <w:bookmarkEnd w:id="97"/>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489"/>
        <w:gridCol w:w="756"/>
        <w:gridCol w:w="489"/>
        <w:gridCol w:w="578"/>
        <w:gridCol w:w="489"/>
        <w:gridCol w:w="936"/>
        <w:gridCol w:w="489"/>
        <w:gridCol w:w="1284"/>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231" w:type="pct"/>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333" w:type="pct"/>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分值</w:t>
            </w:r>
          </w:p>
        </w:tc>
        <w:tc>
          <w:tcPr>
            <w:tcW w:w="250" w:type="pct"/>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333" w:type="pct"/>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分值</w:t>
            </w:r>
          </w:p>
        </w:tc>
        <w:tc>
          <w:tcPr>
            <w:tcW w:w="416" w:type="pct"/>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33" w:type="pct"/>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分值</w:t>
            </w:r>
          </w:p>
        </w:tc>
        <w:tc>
          <w:tcPr>
            <w:tcW w:w="416" w:type="pct"/>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四级指标</w:t>
            </w:r>
          </w:p>
        </w:tc>
        <w:tc>
          <w:tcPr>
            <w:tcW w:w="335" w:type="pct"/>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分值</w:t>
            </w:r>
          </w:p>
        </w:tc>
        <w:tc>
          <w:tcPr>
            <w:tcW w:w="833" w:type="pct"/>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指标说明/评价要点</w:t>
            </w:r>
          </w:p>
        </w:tc>
        <w:tc>
          <w:tcPr>
            <w:tcW w:w="1519" w:type="pct"/>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231" w:type="pct"/>
            <w:vMerge w:val="restart"/>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产出</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250"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项目产出</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实际完成率</w:t>
            </w:r>
          </w:p>
        </w:tc>
        <w:tc>
          <w:tcPr>
            <w:tcW w:w="3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根据协议要求完成情况。</w:t>
            </w:r>
          </w:p>
        </w:tc>
        <w:tc>
          <w:tcPr>
            <w:tcW w:w="33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根据协议要求完成。</w:t>
            </w:r>
          </w:p>
        </w:tc>
        <w:tc>
          <w:tcPr>
            <w:tcW w:w="1519" w:type="pct"/>
            <w:shd w:val="clear" w:color="auto" w:fill="auto"/>
            <w:vAlign w:val="center"/>
          </w:tcPr>
          <w:p>
            <w:pPr>
              <w:rPr>
                <w:rFonts w:ascii="宋体" w:hAnsi="宋体" w:cs="宋体"/>
                <w:sz w:val="20"/>
                <w:szCs w:val="20"/>
              </w:rPr>
            </w:pPr>
            <w:r>
              <w:rPr>
                <w:rFonts w:hint="eastAsia"/>
                <w:sz w:val="20"/>
                <w:szCs w:val="20"/>
              </w:rPr>
              <w:t>实际污水处理量占保底负荷的比例*15计分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完成及时率</w:t>
            </w:r>
          </w:p>
        </w:tc>
        <w:tc>
          <w:tcPr>
            <w:tcW w:w="3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根据协议要求及时完成。</w:t>
            </w:r>
          </w:p>
        </w:tc>
        <w:tc>
          <w:tcPr>
            <w:tcW w:w="33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根据协议要求完成。</w:t>
            </w:r>
          </w:p>
        </w:tc>
        <w:tc>
          <w:tcPr>
            <w:tcW w:w="1519" w:type="pct"/>
            <w:shd w:val="clear" w:color="auto" w:fill="auto"/>
            <w:vAlign w:val="center"/>
          </w:tcPr>
          <w:p>
            <w:pPr>
              <w:rPr>
                <w:rFonts w:ascii="宋体" w:hAnsi="宋体" w:cs="宋体"/>
                <w:sz w:val="20"/>
                <w:szCs w:val="20"/>
              </w:rPr>
            </w:pPr>
            <w:r>
              <w:rPr>
                <w:rFonts w:hint="eastAsia"/>
                <w:sz w:val="20"/>
                <w:szCs w:val="20"/>
              </w:rPr>
              <w:t>完成及时率≥150%，得零分；100%&lt;完成及时率&lt;150%，得分=满分-（完成及时率-1）*分值；完成及时率≤100%，满分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31"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250"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w:t>
            </w:r>
          </w:p>
        </w:tc>
        <w:tc>
          <w:tcPr>
            <w:tcW w:w="333" w:type="pct"/>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3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提高处理能力和标准</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如：根据上级要求增加设备、技术改造等投入</w:t>
            </w:r>
          </w:p>
        </w:tc>
        <w:tc>
          <w:tcPr>
            <w:tcW w:w="1519" w:type="pct"/>
            <w:shd w:val="clear" w:color="auto" w:fill="auto"/>
            <w:vAlign w:val="center"/>
          </w:tcPr>
          <w:p>
            <w:pPr>
              <w:rPr>
                <w:rFonts w:ascii="宋体" w:hAnsi="宋体" w:cs="宋体"/>
                <w:sz w:val="20"/>
                <w:szCs w:val="20"/>
              </w:rPr>
            </w:pPr>
            <w:r>
              <w:rPr>
                <w:rFonts w:hint="eastAsia"/>
                <w:sz w:val="20"/>
                <w:szCs w:val="20"/>
              </w:rPr>
              <w:t>认为是≥90%得满分，80%≤认为是＜90%得3分，60%≤认为是＜80%得2分，认为是＜60%得0分。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改善环境、减少污染物排放</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如：改善当地水环境</w:t>
            </w:r>
          </w:p>
        </w:tc>
        <w:tc>
          <w:tcPr>
            <w:tcW w:w="1519" w:type="pct"/>
            <w:shd w:val="clear" w:color="auto" w:fill="auto"/>
            <w:vAlign w:val="center"/>
          </w:tcPr>
          <w:p>
            <w:pPr>
              <w:rPr>
                <w:rFonts w:ascii="宋体" w:hAnsi="宋体" w:cs="宋体"/>
                <w:sz w:val="20"/>
                <w:szCs w:val="20"/>
              </w:rPr>
            </w:pPr>
            <w:r>
              <w:rPr>
                <w:rFonts w:hint="eastAsia"/>
                <w:sz w:val="20"/>
                <w:szCs w:val="20"/>
              </w:rPr>
              <w:t>认为大或者很大≥90%得满分，80%≤认为大或者很大＜90%得3分，60%≤认为大或者很大＜80%得2分，认为大或者很大＜60%得0分。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提升城镇功能</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如：城镇更加整洁、卫生</w:t>
            </w:r>
          </w:p>
        </w:tc>
        <w:tc>
          <w:tcPr>
            <w:tcW w:w="1519" w:type="pct"/>
            <w:shd w:val="clear" w:color="auto" w:fill="auto"/>
            <w:vAlign w:val="center"/>
          </w:tcPr>
          <w:p>
            <w:pPr>
              <w:rPr>
                <w:rFonts w:ascii="宋体" w:hAnsi="宋体" w:cs="宋体"/>
                <w:sz w:val="20"/>
                <w:szCs w:val="20"/>
              </w:rPr>
            </w:pPr>
            <w:r>
              <w:rPr>
                <w:rFonts w:hint="eastAsia"/>
                <w:sz w:val="20"/>
                <w:szCs w:val="20"/>
              </w:rPr>
              <w:t>认为大或者很大≥90%得满分，80%≤认为大或者很大＜90%得3分，60%≤认为大或者很大＜80%得2分，认为大或者很大＜60%得0分。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改善当地居民生活质量</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如：有利于改善居民生活质量</w:t>
            </w:r>
          </w:p>
        </w:tc>
        <w:tc>
          <w:tcPr>
            <w:tcW w:w="1519" w:type="pct"/>
            <w:shd w:val="clear" w:color="auto" w:fill="auto"/>
            <w:vAlign w:val="center"/>
          </w:tcPr>
          <w:p>
            <w:pPr>
              <w:rPr>
                <w:rFonts w:ascii="宋体" w:hAnsi="宋体" w:cs="宋体"/>
                <w:sz w:val="20"/>
                <w:szCs w:val="20"/>
              </w:rPr>
            </w:pPr>
            <w:r>
              <w:rPr>
                <w:rFonts w:hint="eastAsia"/>
                <w:sz w:val="20"/>
                <w:szCs w:val="20"/>
              </w:rPr>
              <w:t>认为大或者很大≥90%得满分，80%≤认为大或者很大＜90%得3分，60%≤认为大或者很大＜80%得2分，认为大或者很大＜60%得0分。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维护社会和谐稳定</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如：减少由于污染事故产生群体性事件</w:t>
            </w:r>
          </w:p>
        </w:tc>
        <w:tc>
          <w:tcPr>
            <w:tcW w:w="1519" w:type="pct"/>
            <w:shd w:val="clear" w:color="auto" w:fill="auto"/>
            <w:vAlign w:val="center"/>
          </w:tcPr>
          <w:p>
            <w:pPr>
              <w:rPr>
                <w:rFonts w:ascii="宋体" w:hAnsi="宋体" w:cs="宋体"/>
                <w:sz w:val="20"/>
                <w:szCs w:val="20"/>
              </w:rPr>
            </w:pPr>
            <w:r>
              <w:rPr>
                <w:rFonts w:hint="eastAsia"/>
                <w:sz w:val="20"/>
                <w:szCs w:val="20"/>
              </w:rPr>
              <w:t>认为作用大≥90%得满分，80%≤认为作用大＜90%得3分，60%≤认为作用大＜80%得2分，认为作用大＜60%得0分。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对当地发展的持续影响</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对生活、生产能力的是否产生持续影响</w:t>
            </w:r>
          </w:p>
        </w:tc>
        <w:tc>
          <w:tcPr>
            <w:tcW w:w="1519" w:type="pct"/>
            <w:shd w:val="clear" w:color="auto" w:fill="auto"/>
            <w:vAlign w:val="center"/>
          </w:tcPr>
          <w:p>
            <w:pPr>
              <w:rPr>
                <w:rFonts w:ascii="宋体" w:hAnsi="宋体" w:cs="宋体"/>
                <w:sz w:val="20"/>
                <w:szCs w:val="20"/>
              </w:rPr>
            </w:pPr>
            <w:r>
              <w:rPr>
                <w:rFonts w:hint="eastAsia"/>
                <w:sz w:val="20"/>
                <w:szCs w:val="20"/>
              </w:rPr>
              <w:t>认为影响大≥90%得满分，80%≤认为影响大＜90%得4分，60%≤认为影响大＜80%得3分，认为影响大＜60%得0分。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项目的可持续性</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如：在生态、资金等方面是否可持续</w:t>
            </w:r>
          </w:p>
        </w:tc>
        <w:tc>
          <w:tcPr>
            <w:tcW w:w="1519" w:type="pct"/>
            <w:shd w:val="clear" w:color="auto" w:fill="auto"/>
            <w:vAlign w:val="center"/>
          </w:tcPr>
          <w:p>
            <w:pPr>
              <w:rPr>
                <w:rFonts w:ascii="宋体" w:hAnsi="宋体" w:cs="宋体"/>
                <w:sz w:val="20"/>
                <w:szCs w:val="20"/>
              </w:rPr>
            </w:pPr>
            <w:r>
              <w:rPr>
                <w:rFonts w:hint="eastAsia"/>
                <w:sz w:val="20"/>
                <w:szCs w:val="20"/>
              </w:rPr>
              <w:t>超过90%认为是得满分，80%≤认为是＜90%得4分，60%≤认为是＜80%得3分，认为是＜60%得0分。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1" w:type="pct"/>
            <w:vMerge w:val="restart"/>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满意度</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50" w:type="pct"/>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满意度</w:t>
            </w:r>
          </w:p>
        </w:tc>
        <w:tc>
          <w:tcPr>
            <w:tcW w:w="333" w:type="pct"/>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1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社会公众满意度</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对污水处理效果的满意度</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对污水处理作用和效果的满意度</w:t>
            </w:r>
          </w:p>
        </w:tc>
        <w:tc>
          <w:tcPr>
            <w:tcW w:w="1519" w:type="pct"/>
            <w:shd w:val="clear" w:color="auto" w:fill="auto"/>
            <w:vAlign w:val="center"/>
          </w:tcPr>
          <w:p>
            <w:pPr>
              <w:rPr>
                <w:rFonts w:ascii="宋体" w:hAnsi="宋体"/>
                <w:sz w:val="18"/>
                <w:szCs w:val="18"/>
              </w:rPr>
            </w:pPr>
            <w:r>
              <w:rPr>
                <w:rFonts w:hint="eastAsia" w:ascii="宋体" w:hAnsi="宋体"/>
                <w:sz w:val="18"/>
                <w:szCs w:val="18"/>
              </w:rPr>
              <w:t>认为效果很好≥90%：5分；≥80%：4分；≥70%：3分；≥60%：1分；否则0分。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对污水处理工作的满意度</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对实施机构的工作效率、工作态度、工作方法的满意度</w:t>
            </w:r>
          </w:p>
        </w:tc>
        <w:tc>
          <w:tcPr>
            <w:tcW w:w="1519" w:type="pct"/>
            <w:shd w:val="clear" w:color="auto" w:fill="auto"/>
            <w:vAlign w:val="center"/>
          </w:tcPr>
          <w:p>
            <w:pPr>
              <w:rPr>
                <w:rFonts w:ascii="宋体" w:hAnsi="宋体"/>
                <w:sz w:val="18"/>
                <w:szCs w:val="18"/>
              </w:rPr>
            </w:pPr>
            <w:r>
              <w:rPr>
                <w:rFonts w:hint="eastAsia" w:ascii="宋体" w:hAnsi="宋体"/>
                <w:sz w:val="18"/>
                <w:szCs w:val="18"/>
              </w:rPr>
              <w:t>认为很满意≥90%：5分；≥80%：4分；≥70%：3分；≥60%：1分；否则0分。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31" w:type="pct"/>
            <w:vMerge w:val="restart"/>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管理</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250"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决策管理</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16" w:type="pct"/>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开展项目的依据</w:t>
            </w:r>
          </w:p>
        </w:tc>
        <w:tc>
          <w:tcPr>
            <w:tcW w:w="3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依据充分</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是否符合国家相关法律法规、国民经济发展规划和党委政府决策；</w:t>
            </w:r>
          </w:p>
        </w:tc>
        <w:tc>
          <w:tcPr>
            <w:tcW w:w="1519"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满足其中一项得满分。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16" w:type="pct"/>
            <w:vMerge w:val="restart"/>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依据合理</w:t>
            </w:r>
          </w:p>
        </w:tc>
        <w:tc>
          <w:tcPr>
            <w:tcW w:w="33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33" w:type="pct"/>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合同确定的价格是否合理。</w:t>
            </w:r>
          </w:p>
        </w:tc>
        <w:tc>
          <w:tcPr>
            <w:tcW w:w="1519" w:type="pct"/>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符合得满分，否则得0分。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5" w:type="pct"/>
            <w:vMerge w:val="continue"/>
            <w:vAlign w:val="center"/>
          </w:tcPr>
          <w:p>
            <w:pPr>
              <w:widowControl/>
              <w:jc w:val="left"/>
              <w:rPr>
                <w:rFonts w:ascii="宋体" w:hAnsi="宋体" w:cs="宋体"/>
                <w:kern w:val="0"/>
                <w:sz w:val="18"/>
                <w:szCs w:val="18"/>
              </w:rPr>
            </w:pPr>
          </w:p>
        </w:tc>
        <w:tc>
          <w:tcPr>
            <w:tcW w:w="833" w:type="pct"/>
            <w:vMerge w:val="continue"/>
            <w:vAlign w:val="center"/>
          </w:tcPr>
          <w:p>
            <w:pPr>
              <w:widowControl/>
              <w:jc w:val="left"/>
              <w:rPr>
                <w:rFonts w:ascii="宋体" w:hAnsi="宋体" w:cs="宋体"/>
                <w:kern w:val="0"/>
                <w:sz w:val="18"/>
                <w:szCs w:val="18"/>
              </w:rPr>
            </w:pPr>
          </w:p>
        </w:tc>
        <w:tc>
          <w:tcPr>
            <w:tcW w:w="1519" w:type="pct"/>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资金管理</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　</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资金到位</w:t>
            </w:r>
          </w:p>
        </w:tc>
        <w:tc>
          <w:tcPr>
            <w:tcW w:w="3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资金到位率</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1、实际到位资金与计划投入资金的比率</w:t>
            </w:r>
          </w:p>
        </w:tc>
        <w:tc>
          <w:tcPr>
            <w:tcW w:w="1519"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资金到位率≤60%，得零分；</w:t>
            </w:r>
            <w:r>
              <w:rPr>
                <w:rFonts w:hint="eastAsia" w:ascii="宋体" w:hAnsi="宋体" w:cs="宋体"/>
                <w:kern w:val="0"/>
                <w:sz w:val="18"/>
                <w:szCs w:val="18"/>
              </w:rPr>
              <w:br w:type="textWrapping"/>
            </w:r>
            <w:r>
              <w:rPr>
                <w:rFonts w:hint="eastAsia" w:ascii="宋体" w:hAnsi="宋体" w:cs="宋体"/>
                <w:kern w:val="0"/>
                <w:sz w:val="18"/>
                <w:szCs w:val="18"/>
              </w:rPr>
              <w:t>60%&lt;资金到位率&lt;100%，得分=资金到位率*分值；</w:t>
            </w:r>
            <w:r>
              <w:rPr>
                <w:rFonts w:hint="eastAsia" w:ascii="宋体" w:hAnsi="宋体" w:cs="宋体"/>
                <w:kern w:val="0"/>
                <w:sz w:val="18"/>
                <w:szCs w:val="18"/>
              </w:rPr>
              <w:br w:type="textWrapping"/>
            </w:r>
            <w:r>
              <w:rPr>
                <w:rFonts w:hint="eastAsia" w:ascii="宋体" w:hAnsi="宋体" w:cs="宋体"/>
                <w:kern w:val="0"/>
                <w:sz w:val="18"/>
                <w:szCs w:val="18"/>
              </w:rPr>
              <w:t>资金到位率≥100%，满分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到位及时率</w:t>
            </w:r>
          </w:p>
        </w:tc>
        <w:tc>
          <w:tcPr>
            <w:tcW w:w="3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到位及时率</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1、及时到位资金与应到位资金的比率</w:t>
            </w:r>
          </w:p>
        </w:tc>
        <w:tc>
          <w:tcPr>
            <w:tcW w:w="1519"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到位及时率≤60%，得零分；</w:t>
            </w:r>
            <w:r>
              <w:rPr>
                <w:rFonts w:hint="eastAsia" w:ascii="宋体" w:hAnsi="宋体" w:cs="宋体"/>
                <w:kern w:val="0"/>
                <w:sz w:val="18"/>
                <w:szCs w:val="18"/>
              </w:rPr>
              <w:br w:type="textWrapping"/>
            </w:r>
            <w:r>
              <w:rPr>
                <w:rFonts w:hint="eastAsia" w:ascii="宋体" w:hAnsi="宋体" w:cs="宋体"/>
                <w:kern w:val="0"/>
                <w:sz w:val="18"/>
                <w:szCs w:val="18"/>
              </w:rPr>
              <w:t>60%&lt;到位及时率&lt;100%，得分=到位及时率*分值；</w:t>
            </w:r>
            <w:r>
              <w:rPr>
                <w:rFonts w:hint="eastAsia" w:ascii="宋体" w:hAnsi="宋体" w:cs="宋体"/>
                <w:kern w:val="0"/>
                <w:sz w:val="18"/>
                <w:szCs w:val="18"/>
              </w:rPr>
              <w:br w:type="textWrapping"/>
            </w:r>
            <w:r>
              <w:rPr>
                <w:rFonts w:hint="eastAsia" w:ascii="宋体" w:hAnsi="宋体" w:cs="宋体"/>
                <w:kern w:val="0"/>
                <w:sz w:val="18"/>
                <w:szCs w:val="18"/>
              </w:rPr>
              <w:t>到位及时率≥100%，满分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制度建设</w:t>
            </w:r>
          </w:p>
        </w:tc>
        <w:tc>
          <w:tcPr>
            <w:tcW w:w="3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资金制度健全性</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1、已制定或具有相应的项目资金管理办法            2、是否有针对项目资金的管理办法且符合相关财务会计制度规定</w:t>
            </w:r>
          </w:p>
        </w:tc>
        <w:tc>
          <w:tcPr>
            <w:tcW w:w="1519"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符合两项得满分，否则得0分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资金使用合规性</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16" w:type="pct"/>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资金拨付</w:t>
            </w:r>
          </w:p>
        </w:tc>
        <w:tc>
          <w:tcPr>
            <w:tcW w:w="33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33" w:type="pct"/>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1、资金拨付程序是否规范，拨付方式是否符合规；</w:t>
            </w:r>
            <w:r>
              <w:rPr>
                <w:rFonts w:hint="eastAsia" w:ascii="宋体" w:hAnsi="宋体" w:cs="宋体"/>
                <w:kern w:val="0"/>
                <w:sz w:val="18"/>
                <w:szCs w:val="18"/>
              </w:rPr>
              <w:br w:type="textWrapping"/>
            </w:r>
            <w:r>
              <w:rPr>
                <w:rFonts w:hint="eastAsia" w:ascii="宋体" w:hAnsi="宋体" w:cs="宋体"/>
                <w:kern w:val="0"/>
                <w:sz w:val="18"/>
                <w:szCs w:val="18"/>
              </w:rPr>
              <w:t>2、资金拨付是否及时，是否按照财务管理制度或合同约定方式拨付。</w:t>
            </w:r>
          </w:p>
        </w:tc>
        <w:tc>
          <w:tcPr>
            <w:tcW w:w="1519" w:type="pct"/>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满足其中一项得满分。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5" w:type="pct"/>
            <w:vMerge w:val="continue"/>
            <w:vAlign w:val="center"/>
          </w:tcPr>
          <w:p>
            <w:pPr>
              <w:widowControl/>
              <w:jc w:val="left"/>
              <w:rPr>
                <w:rFonts w:ascii="宋体" w:hAnsi="宋体" w:cs="宋体"/>
                <w:kern w:val="0"/>
                <w:sz w:val="18"/>
                <w:szCs w:val="18"/>
              </w:rPr>
            </w:pPr>
          </w:p>
        </w:tc>
        <w:tc>
          <w:tcPr>
            <w:tcW w:w="833" w:type="pct"/>
            <w:vMerge w:val="continue"/>
            <w:vAlign w:val="center"/>
          </w:tcPr>
          <w:p>
            <w:pPr>
              <w:widowControl/>
              <w:jc w:val="left"/>
              <w:rPr>
                <w:rFonts w:ascii="宋体" w:hAnsi="宋体" w:cs="宋体"/>
                <w:kern w:val="0"/>
                <w:sz w:val="18"/>
                <w:szCs w:val="18"/>
              </w:rPr>
            </w:pPr>
          </w:p>
        </w:tc>
        <w:tc>
          <w:tcPr>
            <w:tcW w:w="1519" w:type="pct"/>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资金用途</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1、是否符合项目预算批复规定的用途；  </w:t>
            </w:r>
            <w:r>
              <w:rPr>
                <w:rFonts w:hint="eastAsia" w:ascii="宋体" w:hAnsi="宋体" w:cs="宋体"/>
                <w:kern w:val="0"/>
                <w:sz w:val="18"/>
                <w:szCs w:val="18"/>
              </w:rPr>
              <w:br w:type="textWrapping"/>
            </w:r>
            <w:r>
              <w:rPr>
                <w:rFonts w:hint="eastAsia" w:ascii="宋体" w:hAnsi="宋体" w:cs="宋体"/>
                <w:kern w:val="0"/>
                <w:sz w:val="18"/>
                <w:szCs w:val="18"/>
              </w:rPr>
              <w:t xml:space="preserve">2、是否存在截留、挤占、挪用、虚列支出等情况。 </w:t>
            </w:r>
          </w:p>
        </w:tc>
        <w:tc>
          <w:tcPr>
            <w:tcW w:w="1519"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符合两项得满分，否则得0分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资金核算</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资金使用是否按规定项目进行财务核算，是否真实、完整、清晰、及时反映项目收支情况。</w:t>
            </w:r>
          </w:p>
        </w:tc>
        <w:tc>
          <w:tcPr>
            <w:tcW w:w="1519"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满足其中一项得满分，否则得0分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业务</w:t>
            </w:r>
            <w:r>
              <w:rPr>
                <w:rFonts w:hint="eastAsia" w:ascii="宋体" w:hAnsi="宋体" w:cs="宋体"/>
                <w:kern w:val="0"/>
                <w:sz w:val="18"/>
                <w:szCs w:val="18"/>
              </w:rPr>
              <w:br w:type="textWrapping"/>
            </w:r>
            <w:r>
              <w:rPr>
                <w:rFonts w:hint="eastAsia" w:ascii="宋体" w:hAnsi="宋体" w:cs="宋体"/>
                <w:kern w:val="0"/>
                <w:sz w:val="18"/>
                <w:szCs w:val="18"/>
              </w:rPr>
              <w:t>管理</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16" w:type="pct"/>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组织管理</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机构设置</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1、是否建立组织机构或落实专人负责；              2、机构运转协调、有效，建立协调会签机制。</w:t>
            </w:r>
          </w:p>
        </w:tc>
        <w:tc>
          <w:tcPr>
            <w:tcW w:w="1519"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满足其中一项得满分。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center"/>
              <w:rPr>
                <w:rFonts w:ascii="宋体" w:hAnsi="宋体" w:cs="宋体"/>
                <w:kern w:val="0"/>
                <w:sz w:val="18"/>
                <w:szCs w:val="18"/>
              </w:rPr>
            </w:pPr>
          </w:p>
        </w:tc>
        <w:tc>
          <w:tcPr>
            <w:tcW w:w="333" w:type="pct"/>
            <w:vMerge w:val="continue"/>
            <w:vAlign w:val="center"/>
          </w:tcPr>
          <w:p>
            <w:pPr>
              <w:widowControl/>
              <w:jc w:val="center"/>
              <w:rPr>
                <w:rFonts w:ascii="宋体" w:hAnsi="宋体" w:cs="宋体"/>
                <w:kern w:val="0"/>
                <w:sz w:val="18"/>
                <w:szCs w:val="18"/>
              </w:rPr>
            </w:pPr>
          </w:p>
        </w:tc>
        <w:tc>
          <w:tcPr>
            <w:tcW w:w="416" w:type="pct"/>
            <w:vMerge w:val="continue"/>
            <w:vAlign w:val="center"/>
          </w:tcPr>
          <w:p>
            <w:pPr>
              <w:widowControl/>
              <w:jc w:val="center"/>
              <w:rPr>
                <w:rFonts w:ascii="宋体" w:hAnsi="宋体" w:cs="宋体"/>
                <w:kern w:val="0"/>
                <w:sz w:val="18"/>
                <w:szCs w:val="18"/>
              </w:rPr>
            </w:pPr>
          </w:p>
        </w:tc>
        <w:tc>
          <w:tcPr>
            <w:tcW w:w="333" w:type="pct"/>
            <w:vMerge w:val="continue"/>
            <w:vAlign w:val="center"/>
          </w:tcPr>
          <w:p>
            <w:pPr>
              <w:widowControl/>
              <w:jc w:val="center"/>
              <w:rPr>
                <w:rFonts w:ascii="宋体" w:hAnsi="宋体" w:cs="宋体"/>
                <w:kern w:val="0"/>
                <w:sz w:val="18"/>
                <w:szCs w:val="18"/>
              </w:rPr>
            </w:pP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人员配备</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人员数量是否与项目匹配；是否有合理数量专业人员       </w:t>
            </w:r>
          </w:p>
        </w:tc>
        <w:tc>
          <w:tcPr>
            <w:tcW w:w="151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符合得满分，否则0分。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center"/>
              <w:rPr>
                <w:rFonts w:ascii="宋体" w:hAnsi="宋体" w:cs="宋体"/>
                <w:kern w:val="0"/>
                <w:sz w:val="18"/>
                <w:szCs w:val="18"/>
              </w:rPr>
            </w:pPr>
          </w:p>
        </w:tc>
        <w:tc>
          <w:tcPr>
            <w:tcW w:w="333" w:type="pct"/>
            <w:vMerge w:val="continue"/>
            <w:vAlign w:val="center"/>
          </w:tcPr>
          <w:p>
            <w:pPr>
              <w:widowControl/>
              <w:jc w:val="center"/>
              <w:rPr>
                <w:rFonts w:ascii="宋体" w:hAnsi="宋体" w:cs="宋体"/>
                <w:kern w:val="0"/>
                <w:sz w:val="18"/>
                <w:szCs w:val="18"/>
              </w:rPr>
            </w:pP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制度建立</w:t>
            </w:r>
          </w:p>
        </w:tc>
        <w:tc>
          <w:tcPr>
            <w:tcW w:w="3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业务管理制度</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是否有相应的业务管理制度</w:t>
            </w:r>
          </w:p>
        </w:tc>
        <w:tc>
          <w:tcPr>
            <w:tcW w:w="151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符合得满分，否则0分。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center"/>
              <w:rPr>
                <w:rFonts w:ascii="宋体" w:hAnsi="宋体" w:cs="宋体"/>
                <w:kern w:val="0"/>
                <w:sz w:val="18"/>
                <w:szCs w:val="18"/>
              </w:rPr>
            </w:pPr>
          </w:p>
        </w:tc>
        <w:tc>
          <w:tcPr>
            <w:tcW w:w="333" w:type="pct"/>
            <w:vMerge w:val="continue"/>
            <w:vAlign w:val="center"/>
          </w:tcPr>
          <w:p>
            <w:pPr>
              <w:widowControl/>
              <w:jc w:val="center"/>
              <w:rPr>
                <w:rFonts w:ascii="宋体" w:hAnsi="宋体" w:cs="宋体"/>
                <w:kern w:val="0"/>
                <w:sz w:val="18"/>
                <w:szCs w:val="18"/>
              </w:rPr>
            </w:pPr>
          </w:p>
        </w:tc>
        <w:tc>
          <w:tcPr>
            <w:tcW w:w="41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制度执行有效性</w:t>
            </w:r>
          </w:p>
        </w:tc>
        <w:tc>
          <w:tcPr>
            <w:tcW w:w="33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项目管理</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1、是否遵守相关法律法规和业务管理规定；</w:t>
            </w:r>
            <w:r>
              <w:rPr>
                <w:rFonts w:hint="eastAsia" w:ascii="宋体" w:hAnsi="宋体" w:cs="宋体"/>
                <w:kern w:val="0"/>
                <w:sz w:val="18"/>
                <w:szCs w:val="18"/>
              </w:rPr>
              <w:br w:type="textWrapping"/>
            </w:r>
            <w:r>
              <w:rPr>
                <w:rFonts w:hint="eastAsia" w:ascii="宋体" w:hAnsi="宋体" w:cs="宋体"/>
                <w:kern w:val="0"/>
                <w:sz w:val="18"/>
                <w:szCs w:val="18"/>
              </w:rPr>
              <w:t xml:space="preserve">2、项目监测、核实的人员、信息支撑等是否落实到位。                                               </w:t>
            </w:r>
          </w:p>
        </w:tc>
        <w:tc>
          <w:tcPr>
            <w:tcW w:w="151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满足其中一项得满分。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1"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250"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vMerge w:val="continue"/>
            <w:vAlign w:val="center"/>
          </w:tcPr>
          <w:p>
            <w:pPr>
              <w:widowControl/>
              <w:jc w:val="left"/>
              <w:rPr>
                <w:rFonts w:ascii="宋体" w:hAnsi="宋体" w:cs="宋体"/>
                <w:kern w:val="0"/>
                <w:sz w:val="18"/>
                <w:szCs w:val="18"/>
              </w:rPr>
            </w:pPr>
          </w:p>
        </w:tc>
        <w:tc>
          <w:tcPr>
            <w:tcW w:w="333" w:type="pct"/>
            <w:vMerge w:val="continue"/>
            <w:vAlign w:val="center"/>
          </w:tcPr>
          <w:p>
            <w:pPr>
              <w:widowControl/>
              <w:jc w:val="left"/>
              <w:rPr>
                <w:rFonts w:ascii="宋体" w:hAnsi="宋体" w:cs="宋体"/>
                <w:kern w:val="0"/>
                <w:sz w:val="18"/>
                <w:szCs w:val="18"/>
              </w:rPr>
            </w:pPr>
          </w:p>
        </w:tc>
        <w:tc>
          <w:tcPr>
            <w:tcW w:w="416"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资料管理</w:t>
            </w:r>
          </w:p>
        </w:tc>
        <w:tc>
          <w:tcPr>
            <w:tcW w:w="33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3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项目相关文件、资料等是否齐全。</w:t>
            </w:r>
          </w:p>
        </w:tc>
        <w:tc>
          <w:tcPr>
            <w:tcW w:w="1519"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符合得满分，否则0分。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1" w:type="pct"/>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33" w:type="pct"/>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100</w:t>
            </w:r>
          </w:p>
        </w:tc>
        <w:tc>
          <w:tcPr>
            <w:tcW w:w="250" w:type="pct"/>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33" w:type="pct"/>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100</w:t>
            </w:r>
          </w:p>
        </w:tc>
        <w:tc>
          <w:tcPr>
            <w:tcW w:w="416" w:type="pct"/>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总分</w:t>
            </w:r>
          </w:p>
        </w:tc>
        <w:tc>
          <w:tcPr>
            <w:tcW w:w="333" w:type="pct"/>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100</w:t>
            </w:r>
          </w:p>
        </w:tc>
        <w:tc>
          <w:tcPr>
            <w:tcW w:w="416" w:type="pct"/>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35" w:type="pct"/>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100</w:t>
            </w:r>
          </w:p>
        </w:tc>
        <w:tc>
          <w:tcPr>
            <w:tcW w:w="833" w:type="pct"/>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19" w:type="pct"/>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480"/>
        <w:rPr>
          <w:rFonts w:ascii="宋体" w:hAnsi="宋体"/>
          <w:bCs/>
        </w:rPr>
      </w:pPr>
    </w:p>
    <w:p>
      <w:pPr>
        <w:widowControl/>
        <w:spacing w:line="360" w:lineRule="auto"/>
        <w:rPr>
          <w:rFonts w:ascii="宋体" w:hAnsi="宋体"/>
          <w:sz w:val="24"/>
          <w:szCs w:val="24"/>
        </w:rPr>
      </w:pPr>
    </w:p>
    <w:p>
      <w:pPr>
        <w:widowControl/>
        <w:spacing w:line="360" w:lineRule="auto"/>
        <w:rPr>
          <w:rFonts w:ascii="宋体" w:hAnsi="宋体"/>
          <w:sz w:val="24"/>
          <w:szCs w:val="24"/>
        </w:rPr>
      </w:pPr>
    </w:p>
    <w:p>
      <w:pPr>
        <w:widowControl/>
        <w:spacing w:line="360" w:lineRule="auto"/>
        <w:ind w:firstLine="480" w:firstLineChars="200"/>
        <w:rPr>
          <w:rFonts w:ascii="宋体" w:hAnsi="宋体"/>
          <w:sz w:val="24"/>
          <w:szCs w:val="24"/>
        </w:rPr>
      </w:pPr>
      <w:r>
        <w:rPr>
          <w:rFonts w:hint="eastAsia" w:ascii="宋体" w:hAnsi="宋体"/>
          <w:sz w:val="24"/>
          <w:szCs w:val="24"/>
        </w:rPr>
        <w:t>附件：北碚区2019年预算绩效评价项目评分表—2018年1-3季度乡镇污水处理服务费项目</w:t>
      </w:r>
    </w:p>
    <w:p>
      <w:pPr>
        <w:widowControl/>
        <w:spacing w:line="360" w:lineRule="auto"/>
        <w:jc w:val="center"/>
        <w:rPr>
          <w:b/>
          <w:sz w:val="24"/>
          <w:szCs w:val="24"/>
        </w:rPr>
      </w:pPr>
    </w:p>
    <w:p>
      <w:pPr>
        <w:widowControl/>
        <w:spacing w:line="360" w:lineRule="auto"/>
        <w:jc w:val="center"/>
        <w:rPr>
          <w:b/>
          <w:sz w:val="24"/>
          <w:szCs w:val="24"/>
        </w:rPr>
      </w:pPr>
    </w:p>
    <w:p>
      <w:pPr>
        <w:widowControl/>
        <w:spacing w:line="360" w:lineRule="auto"/>
        <w:jc w:val="center"/>
        <w:rPr>
          <w:b/>
          <w:sz w:val="24"/>
          <w:szCs w:val="24"/>
        </w:rPr>
      </w:pPr>
    </w:p>
    <w:tbl>
      <w:tblPr>
        <w:tblStyle w:val="18"/>
        <w:tblpPr w:leftFromText="180" w:rightFromText="180" w:vertAnchor="text" w:horzAnchor="margin" w:tblpX="108" w:tblpY="256"/>
        <w:tblW w:w="0" w:type="auto"/>
        <w:tblInd w:w="0" w:type="dxa"/>
        <w:tblLayout w:type="autofit"/>
        <w:tblCellMar>
          <w:top w:w="0" w:type="dxa"/>
          <w:left w:w="108" w:type="dxa"/>
          <w:bottom w:w="0" w:type="dxa"/>
          <w:right w:w="108" w:type="dxa"/>
        </w:tblCellMar>
      </w:tblPr>
      <w:tblGrid>
        <w:gridCol w:w="4395"/>
        <w:gridCol w:w="4025"/>
      </w:tblGrid>
      <w:tr>
        <w:tblPrEx>
          <w:tblCellMar>
            <w:top w:w="0" w:type="dxa"/>
            <w:left w:w="108" w:type="dxa"/>
            <w:bottom w:w="0" w:type="dxa"/>
            <w:right w:w="108" w:type="dxa"/>
          </w:tblCellMar>
        </w:tblPrEx>
        <w:tc>
          <w:tcPr>
            <w:tcW w:w="4395" w:type="dxa"/>
            <w:shd w:val="clear" w:color="auto" w:fill="auto"/>
          </w:tcPr>
          <w:p>
            <w:pPr>
              <w:spacing w:line="580" w:lineRule="exact"/>
              <w:jc w:val="center"/>
              <w:rPr>
                <w:rFonts w:ascii="宋体" w:hAnsi="宋体"/>
                <w:sz w:val="24"/>
              </w:rPr>
            </w:pPr>
            <w:r>
              <w:rPr>
                <w:rFonts w:hint="eastAsia" w:ascii="宋体" w:hAnsi="宋体" w:cs="仿宋_GB2312"/>
                <w:kern w:val="0"/>
                <w:sz w:val="24"/>
              </w:rPr>
              <w:t>中审众环会计师事务所（特殊普通合伙）</w:t>
            </w:r>
          </w:p>
        </w:tc>
        <w:tc>
          <w:tcPr>
            <w:tcW w:w="4025" w:type="dxa"/>
            <w:shd w:val="clear" w:color="auto" w:fill="auto"/>
          </w:tcPr>
          <w:p>
            <w:pPr>
              <w:spacing w:line="580" w:lineRule="exact"/>
              <w:ind w:firstLine="960" w:firstLineChars="400"/>
              <w:rPr>
                <w:rFonts w:ascii="宋体" w:hAnsi="宋体"/>
                <w:sz w:val="24"/>
              </w:rPr>
            </w:pPr>
            <w:r>
              <w:rPr>
                <w:rFonts w:hint="eastAsia" w:ascii="宋体" w:hAnsi="宋体" w:cs="仿宋_GB2312"/>
                <w:kern w:val="0"/>
                <w:sz w:val="24"/>
              </w:rPr>
              <w:t>中国注册会计师：徐  敏</w:t>
            </w:r>
          </w:p>
        </w:tc>
      </w:tr>
      <w:tr>
        <w:tblPrEx>
          <w:tblCellMar>
            <w:top w:w="0" w:type="dxa"/>
            <w:left w:w="108" w:type="dxa"/>
            <w:bottom w:w="0" w:type="dxa"/>
            <w:right w:w="108" w:type="dxa"/>
          </w:tblCellMar>
        </w:tblPrEx>
        <w:tc>
          <w:tcPr>
            <w:tcW w:w="4395" w:type="dxa"/>
            <w:shd w:val="clear" w:color="auto" w:fill="auto"/>
          </w:tcPr>
          <w:p>
            <w:pPr>
              <w:spacing w:line="580" w:lineRule="exact"/>
              <w:jc w:val="center"/>
              <w:rPr>
                <w:rFonts w:ascii="宋体" w:hAnsi="宋体"/>
                <w:sz w:val="24"/>
              </w:rPr>
            </w:pPr>
            <w:r>
              <w:rPr>
                <w:rFonts w:hint="eastAsia" w:ascii="宋体" w:hAnsi="宋体"/>
                <w:sz w:val="24"/>
              </w:rPr>
              <w:t>重庆分所</w:t>
            </w:r>
          </w:p>
        </w:tc>
        <w:tc>
          <w:tcPr>
            <w:tcW w:w="4025" w:type="dxa"/>
            <w:shd w:val="clear" w:color="auto" w:fill="auto"/>
          </w:tcPr>
          <w:p>
            <w:pPr>
              <w:spacing w:line="580" w:lineRule="exact"/>
              <w:rPr>
                <w:rFonts w:ascii="宋体" w:hAnsi="宋体"/>
                <w:sz w:val="24"/>
              </w:rPr>
            </w:pPr>
          </w:p>
        </w:tc>
      </w:tr>
      <w:tr>
        <w:tblPrEx>
          <w:tblCellMar>
            <w:top w:w="0" w:type="dxa"/>
            <w:left w:w="108" w:type="dxa"/>
            <w:bottom w:w="0" w:type="dxa"/>
            <w:right w:w="108" w:type="dxa"/>
          </w:tblCellMar>
        </w:tblPrEx>
        <w:tc>
          <w:tcPr>
            <w:tcW w:w="4395" w:type="dxa"/>
            <w:shd w:val="clear" w:color="auto" w:fill="auto"/>
          </w:tcPr>
          <w:p>
            <w:pPr>
              <w:spacing w:line="580" w:lineRule="exact"/>
              <w:rPr>
                <w:rFonts w:ascii="宋体" w:hAnsi="宋体"/>
                <w:sz w:val="24"/>
              </w:rPr>
            </w:pPr>
          </w:p>
        </w:tc>
        <w:tc>
          <w:tcPr>
            <w:tcW w:w="4025" w:type="dxa"/>
            <w:shd w:val="clear" w:color="auto" w:fill="auto"/>
          </w:tcPr>
          <w:p>
            <w:pPr>
              <w:spacing w:line="580" w:lineRule="exact"/>
              <w:ind w:firstLine="960" w:firstLineChars="400"/>
              <w:rPr>
                <w:rFonts w:ascii="宋体" w:hAnsi="宋体"/>
                <w:sz w:val="24"/>
              </w:rPr>
            </w:pPr>
            <w:r>
              <w:rPr>
                <w:rFonts w:hint="eastAsia" w:ascii="宋体" w:hAnsi="宋体"/>
                <w:sz w:val="24"/>
              </w:rPr>
              <w:t>中国注册会计师：沈  彪</w:t>
            </w:r>
          </w:p>
        </w:tc>
      </w:tr>
      <w:tr>
        <w:tblPrEx>
          <w:tblCellMar>
            <w:top w:w="0" w:type="dxa"/>
            <w:left w:w="108" w:type="dxa"/>
            <w:bottom w:w="0" w:type="dxa"/>
            <w:right w:w="108" w:type="dxa"/>
          </w:tblCellMar>
        </w:tblPrEx>
        <w:tc>
          <w:tcPr>
            <w:tcW w:w="4395" w:type="dxa"/>
            <w:shd w:val="clear" w:color="auto" w:fill="auto"/>
          </w:tcPr>
          <w:p>
            <w:pPr>
              <w:spacing w:line="580" w:lineRule="exact"/>
              <w:rPr>
                <w:rFonts w:ascii="宋体" w:hAnsi="宋体"/>
                <w:sz w:val="24"/>
              </w:rPr>
            </w:pPr>
          </w:p>
        </w:tc>
        <w:tc>
          <w:tcPr>
            <w:tcW w:w="4025" w:type="dxa"/>
            <w:shd w:val="clear" w:color="auto" w:fill="auto"/>
          </w:tcPr>
          <w:p>
            <w:pPr>
              <w:spacing w:line="580" w:lineRule="exact"/>
              <w:rPr>
                <w:rFonts w:ascii="宋体" w:hAnsi="宋体"/>
                <w:sz w:val="24"/>
              </w:rPr>
            </w:pPr>
          </w:p>
        </w:tc>
      </w:tr>
      <w:tr>
        <w:tblPrEx>
          <w:tblCellMar>
            <w:top w:w="0" w:type="dxa"/>
            <w:left w:w="108" w:type="dxa"/>
            <w:bottom w:w="0" w:type="dxa"/>
            <w:right w:w="108" w:type="dxa"/>
          </w:tblCellMar>
        </w:tblPrEx>
        <w:tc>
          <w:tcPr>
            <w:tcW w:w="4395" w:type="dxa"/>
            <w:shd w:val="clear" w:color="auto" w:fill="auto"/>
          </w:tcPr>
          <w:p>
            <w:pPr>
              <w:spacing w:line="580" w:lineRule="exact"/>
              <w:jc w:val="center"/>
              <w:rPr>
                <w:rFonts w:ascii="宋体" w:hAnsi="宋体"/>
                <w:sz w:val="24"/>
              </w:rPr>
            </w:pPr>
            <w:r>
              <w:rPr>
                <w:rFonts w:hint="eastAsia" w:ascii="宋体" w:hAnsi="宋体" w:cs="仿宋_GB2312"/>
                <w:kern w:val="0"/>
                <w:sz w:val="24"/>
              </w:rPr>
              <w:t>中国·重庆</w:t>
            </w:r>
          </w:p>
        </w:tc>
        <w:tc>
          <w:tcPr>
            <w:tcW w:w="4025" w:type="dxa"/>
            <w:shd w:val="clear" w:color="auto" w:fill="auto"/>
          </w:tcPr>
          <w:p>
            <w:pPr>
              <w:spacing w:line="580" w:lineRule="exact"/>
              <w:ind w:firstLine="1080" w:firstLineChars="450"/>
              <w:rPr>
                <w:rFonts w:ascii="宋体" w:hAnsi="宋体"/>
                <w:sz w:val="24"/>
              </w:rPr>
            </w:pPr>
            <w:r>
              <w:rPr>
                <w:rFonts w:hint="eastAsia" w:ascii="宋体" w:hAnsi="宋体" w:cs="仿宋_GB2312"/>
                <w:kern w:val="0"/>
                <w:sz w:val="24"/>
              </w:rPr>
              <w:t>二○一九年八月十五日</w:t>
            </w:r>
          </w:p>
        </w:tc>
      </w:tr>
    </w:tbl>
    <w:p>
      <w:pPr>
        <w:pStyle w:val="16"/>
        <w:spacing w:before="0" w:after="0" w:line="360" w:lineRule="auto"/>
        <w:jc w:val="both"/>
        <w:rPr>
          <w:b w:val="0"/>
          <w:sz w:val="24"/>
          <w:szCs w:val="24"/>
        </w:rPr>
      </w:pPr>
    </w:p>
    <w:sectPr>
      <w:footerReference r:id="rId11"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15</w:t>
    </w:r>
    <w:r>
      <w:rPr>
        <w:lang w:val="zh-CN"/>
      </w:rPr>
      <w:fldChar w:fldCharType="end"/>
    </w:r>
  </w:p>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1</w:t>
    </w:r>
    <w:r>
      <w:rPr>
        <w:lang w:val="zh-CN"/>
      </w:rPr>
      <w:fldChar w:fldCharType="end"/>
    </w:r>
  </w:p>
  <w:p>
    <w:pPr>
      <w:pStyle w:val="1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19</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line="300" w:lineRule="exact"/>
      <w:ind w:firstLine="2940" w:firstLineChars="1400"/>
    </w:pPr>
    <w:r>
      <w:drawing>
        <wp:anchor distT="0" distB="0" distL="114300" distR="114300" simplePos="0" relativeHeight="251660288" behindDoc="0" locked="0" layoutInCell="1" allowOverlap="0">
          <wp:simplePos x="0" y="0"/>
          <wp:positionH relativeFrom="column">
            <wp:posOffset>-90805</wp:posOffset>
          </wp:positionH>
          <wp:positionV relativeFrom="paragraph">
            <wp:posOffset>21590</wp:posOffset>
          </wp:positionV>
          <wp:extent cx="1296035" cy="35179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96035" cy="351790"/>
                  </a:xfrm>
                  <a:prstGeom prst="rect">
                    <a:avLst/>
                  </a:prstGeom>
                  <a:noFill/>
                  <a:ln>
                    <a:noFill/>
                  </a:ln>
                </pic:spPr>
              </pic:pic>
            </a:graphicData>
          </a:graphic>
        </wp:anchor>
      </w:drawing>
    </w:r>
    <w:r>
      <w:rPr>
        <w:rFonts w:hint="eastAsia"/>
      </w:rPr>
      <w:t>中审众环会计师事务所（特殊普通合伙）重庆分所</w:t>
    </w:r>
  </w:p>
  <w:p>
    <w:pPr>
      <w:pStyle w:val="31"/>
      <w:spacing w:line="300" w:lineRule="exact"/>
      <w:ind w:firstLine="2970" w:firstLineChars="1650"/>
    </w:pPr>
    <w:r>
      <w:rPr>
        <w:rFonts w:ascii="Arial" w:hAnsi="Arial" w:cs="Arial"/>
        <w:sz w:val="18"/>
        <w:szCs w:val="15"/>
      </w:rPr>
      <w:t>Chongqing Branch of Mazars Certified Public Accountants LLP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line="300" w:lineRule="exact"/>
      <w:ind w:firstLine="2940" w:firstLineChars="1400"/>
    </w:pPr>
    <w:r>
      <w:drawing>
        <wp:anchor distT="0" distB="0" distL="114300" distR="114300" simplePos="0" relativeHeight="251659264" behindDoc="0" locked="0" layoutInCell="1" allowOverlap="0">
          <wp:simplePos x="0" y="0"/>
          <wp:positionH relativeFrom="column">
            <wp:posOffset>-90805</wp:posOffset>
          </wp:positionH>
          <wp:positionV relativeFrom="paragraph">
            <wp:posOffset>21590</wp:posOffset>
          </wp:positionV>
          <wp:extent cx="1296035" cy="35179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96035" cy="351790"/>
                  </a:xfrm>
                  <a:prstGeom prst="rect">
                    <a:avLst/>
                  </a:prstGeom>
                  <a:noFill/>
                  <a:ln>
                    <a:noFill/>
                  </a:ln>
                </pic:spPr>
              </pic:pic>
            </a:graphicData>
          </a:graphic>
        </wp:anchor>
      </w:drawing>
    </w:r>
    <w:r>
      <w:rPr>
        <w:rFonts w:hint="eastAsia"/>
      </w:rPr>
      <w:t>审众环会计师事务所（特殊普通合伙）重庆分所</w:t>
    </w:r>
  </w:p>
  <w:p>
    <w:pPr>
      <w:pStyle w:val="31"/>
      <w:spacing w:line="300" w:lineRule="exact"/>
      <w:ind w:firstLine="2970" w:firstLineChars="1650"/>
    </w:pPr>
    <w:r>
      <w:rPr>
        <w:rFonts w:ascii="Arial" w:hAnsi="Arial" w:cs="Arial"/>
        <w:sz w:val="18"/>
        <w:szCs w:val="15"/>
      </w:rPr>
      <w:t>Chongqing Branch of Mazars Certified Public Accountants LLP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587F00"/>
    <w:multiLevelType w:val="multilevel"/>
    <w:tmpl w:val="19587F00"/>
    <w:lvl w:ilvl="0" w:tentative="0">
      <w:start w:val="1"/>
      <w:numFmt w:val="decimal"/>
      <w:lvlText w:val="（%1）"/>
      <w:lvlJc w:val="left"/>
      <w:pPr>
        <w:ind w:left="1200" w:hanging="720"/>
      </w:pPr>
      <w:rPr>
        <w:rFonts w:hint="default"/>
      </w:rPr>
    </w:lvl>
    <w:lvl w:ilvl="1" w:tentative="0">
      <w:start w:val="1"/>
      <w:numFmt w:val="decimalEnclosedCircle"/>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6006C8C"/>
    <w:multiLevelType w:val="multilevel"/>
    <w:tmpl w:val="36006C8C"/>
    <w:lvl w:ilvl="0" w:tentative="0">
      <w:start w:val="1"/>
      <w:numFmt w:val="decimal"/>
      <w:pStyle w:val="5"/>
      <w:lvlText w:val="(%1)"/>
      <w:lvlJc w:val="left"/>
      <w:pPr>
        <w:ind w:left="620" w:hanging="420"/>
      </w:pPr>
      <w:rPr>
        <w:rFonts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54300AF2"/>
    <w:multiLevelType w:val="multilevel"/>
    <w:tmpl w:val="54300AF2"/>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7301E79"/>
    <w:multiLevelType w:val="multilevel"/>
    <w:tmpl w:val="57301E7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636A13F2"/>
    <w:multiLevelType w:val="multilevel"/>
    <w:tmpl w:val="636A13F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669D59F8"/>
    <w:multiLevelType w:val="multilevel"/>
    <w:tmpl w:val="669D59F8"/>
    <w:lvl w:ilvl="0" w:tentative="0">
      <w:start w:val="1"/>
      <w:numFmt w:val="decimal"/>
      <w:lvlText w:val="（%1）"/>
      <w:lvlJc w:val="left"/>
      <w:pPr>
        <w:ind w:left="1200" w:hanging="720"/>
      </w:pPr>
      <w:rPr>
        <w:rFonts w:hint="default"/>
      </w:rPr>
    </w:lvl>
    <w:lvl w:ilvl="1" w:tentative="0">
      <w:start w:val="1"/>
      <w:numFmt w:val="decimalEnclosedCircle"/>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A53ED"/>
    <w:rsid w:val="00003227"/>
    <w:rsid w:val="00003A84"/>
    <w:rsid w:val="00005F3D"/>
    <w:rsid w:val="00006EB9"/>
    <w:rsid w:val="00011B8A"/>
    <w:rsid w:val="00011DFE"/>
    <w:rsid w:val="000120FC"/>
    <w:rsid w:val="00012B6E"/>
    <w:rsid w:val="00013921"/>
    <w:rsid w:val="00013E00"/>
    <w:rsid w:val="0001615D"/>
    <w:rsid w:val="000167DB"/>
    <w:rsid w:val="00023112"/>
    <w:rsid w:val="00023DBE"/>
    <w:rsid w:val="00024661"/>
    <w:rsid w:val="00031210"/>
    <w:rsid w:val="00031886"/>
    <w:rsid w:val="00031DF2"/>
    <w:rsid w:val="000329A9"/>
    <w:rsid w:val="00032F31"/>
    <w:rsid w:val="00033ACA"/>
    <w:rsid w:val="00034DAF"/>
    <w:rsid w:val="00035A7F"/>
    <w:rsid w:val="00036D21"/>
    <w:rsid w:val="00037CC2"/>
    <w:rsid w:val="0004082C"/>
    <w:rsid w:val="00040EAC"/>
    <w:rsid w:val="00043F8E"/>
    <w:rsid w:val="00044F3E"/>
    <w:rsid w:val="000460E3"/>
    <w:rsid w:val="00046415"/>
    <w:rsid w:val="00052FD2"/>
    <w:rsid w:val="00053610"/>
    <w:rsid w:val="00053B8D"/>
    <w:rsid w:val="00053CAD"/>
    <w:rsid w:val="00054C03"/>
    <w:rsid w:val="000611C6"/>
    <w:rsid w:val="00064344"/>
    <w:rsid w:val="00070194"/>
    <w:rsid w:val="00075C23"/>
    <w:rsid w:val="000813F2"/>
    <w:rsid w:val="00081DBD"/>
    <w:rsid w:val="000825D2"/>
    <w:rsid w:val="000850D1"/>
    <w:rsid w:val="00086314"/>
    <w:rsid w:val="00095ECC"/>
    <w:rsid w:val="00097BD5"/>
    <w:rsid w:val="00097CA5"/>
    <w:rsid w:val="000A0A96"/>
    <w:rsid w:val="000A112B"/>
    <w:rsid w:val="000A3F65"/>
    <w:rsid w:val="000A70C1"/>
    <w:rsid w:val="000B2898"/>
    <w:rsid w:val="000B3281"/>
    <w:rsid w:val="000B6CD7"/>
    <w:rsid w:val="000C0424"/>
    <w:rsid w:val="000C28C0"/>
    <w:rsid w:val="000C6CBF"/>
    <w:rsid w:val="000D00CB"/>
    <w:rsid w:val="000D325B"/>
    <w:rsid w:val="000E2611"/>
    <w:rsid w:val="000E36D5"/>
    <w:rsid w:val="000E41D6"/>
    <w:rsid w:val="000E5094"/>
    <w:rsid w:val="000E6364"/>
    <w:rsid w:val="000E72CD"/>
    <w:rsid w:val="000F0C5A"/>
    <w:rsid w:val="000F341C"/>
    <w:rsid w:val="000F36FD"/>
    <w:rsid w:val="000F7DC8"/>
    <w:rsid w:val="00103A23"/>
    <w:rsid w:val="00103D0F"/>
    <w:rsid w:val="00104021"/>
    <w:rsid w:val="00104ABB"/>
    <w:rsid w:val="0010716E"/>
    <w:rsid w:val="00107689"/>
    <w:rsid w:val="001117A0"/>
    <w:rsid w:val="00113372"/>
    <w:rsid w:val="001149CA"/>
    <w:rsid w:val="00122353"/>
    <w:rsid w:val="001228B3"/>
    <w:rsid w:val="001259AC"/>
    <w:rsid w:val="00126032"/>
    <w:rsid w:val="0012629E"/>
    <w:rsid w:val="00127021"/>
    <w:rsid w:val="00127A78"/>
    <w:rsid w:val="00127F6F"/>
    <w:rsid w:val="00132B97"/>
    <w:rsid w:val="00136693"/>
    <w:rsid w:val="001406A5"/>
    <w:rsid w:val="00140BAA"/>
    <w:rsid w:val="00140DC3"/>
    <w:rsid w:val="00142F38"/>
    <w:rsid w:val="0014353F"/>
    <w:rsid w:val="00145ABB"/>
    <w:rsid w:val="00146C69"/>
    <w:rsid w:val="00147092"/>
    <w:rsid w:val="00150207"/>
    <w:rsid w:val="00150954"/>
    <w:rsid w:val="001510F4"/>
    <w:rsid w:val="00151270"/>
    <w:rsid w:val="0015524D"/>
    <w:rsid w:val="00155385"/>
    <w:rsid w:val="0015591C"/>
    <w:rsid w:val="00162185"/>
    <w:rsid w:val="00163BC3"/>
    <w:rsid w:val="00163D6F"/>
    <w:rsid w:val="00164149"/>
    <w:rsid w:val="00164B0E"/>
    <w:rsid w:val="00164EDC"/>
    <w:rsid w:val="00166B96"/>
    <w:rsid w:val="00166CC7"/>
    <w:rsid w:val="00167521"/>
    <w:rsid w:val="00173718"/>
    <w:rsid w:val="00176C35"/>
    <w:rsid w:val="001779F6"/>
    <w:rsid w:val="001809B9"/>
    <w:rsid w:val="0018252C"/>
    <w:rsid w:val="00184B54"/>
    <w:rsid w:val="001907A4"/>
    <w:rsid w:val="00190D37"/>
    <w:rsid w:val="001940D2"/>
    <w:rsid w:val="001A125E"/>
    <w:rsid w:val="001A2597"/>
    <w:rsid w:val="001A2D83"/>
    <w:rsid w:val="001A308B"/>
    <w:rsid w:val="001A39C6"/>
    <w:rsid w:val="001A3BBC"/>
    <w:rsid w:val="001A3DF4"/>
    <w:rsid w:val="001A48FE"/>
    <w:rsid w:val="001A5FC9"/>
    <w:rsid w:val="001B059F"/>
    <w:rsid w:val="001B2842"/>
    <w:rsid w:val="001B3DAB"/>
    <w:rsid w:val="001C0528"/>
    <w:rsid w:val="001C0990"/>
    <w:rsid w:val="001C19A1"/>
    <w:rsid w:val="001D00B8"/>
    <w:rsid w:val="001D4B65"/>
    <w:rsid w:val="001D6919"/>
    <w:rsid w:val="001E3501"/>
    <w:rsid w:val="001E4CF4"/>
    <w:rsid w:val="001F166F"/>
    <w:rsid w:val="001F237D"/>
    <w:rsid w:val="001F4FAE"/>
    <w:rsid w:val="00200C41"/>
    <w:rsid w:val="00200FD9"/>
    <w:rsid w:val="00204C3E"/>
    <w:rsid w:val="002060C1"/>
    <w:rsid w:val="0021178C"/>
    <w:rsid w:val="00211FD9"/>
    <w:rsid w:val="002131DD"/>
    <w:rsid w:val="002159F7"/>
    <w:rsid w:val="0021767E"/>
    <w:rsid w:val="00222897"/>
    <w:rsid w:val="00222B53"/>
    <w:rsid w:val="00223399"/>
    <w:rsid w:val="00223F11"/>
    <w:rsid w:val="0022413A"/>
    <w:rsid w:val="00225F04"/>
    <w:rsid w:val="002268F5"/>
    <w:rsid w:val="00233EA8"/>
    <w:rsid w:val="0023489E"/>
    <w:rsid w:val="00234FE4"/>
    <w:rsid w:val="00236D7A"/>
    <w:rsid w:val="002413BD"/>
    <w:rsid w:val="0024236B"/>
    <w:rsid w:val="002478D2"/>
    <w:rsid w:val="00250F66"/>
    <w:rsid w:val="002519D7"/>
    <w:rsid w:val="00255240"/>
    <w:rsid w:val="002558E9"/>
    <w:rsid w:val="00255A93"/>
    <w:rsid w:val="00257486"/>
    <w:rsid w:val="00257BE9"/>
    <w:rsid w:val="002607AC"/>
    <w:rsid w:val="0026270E"/>
    <w:rsid w:val="00263962"/>
    <w:rsid w:val="0026670B"/>
    <w:rsid w:val="00267689"/>
    <w:rsid w:val="0027047B"/>
    <w:rsid w:val="00271268"/>
    <w:rsid w:val="00275508"/>
    <w:rsid w:val="002762A2"/>
    <w:rsid w:val="00280CA6"/>
    <w:rsid w:val="00283D94"/>
    <w:rsid w:val="002851C9"/>
    <w:rsid w:val="00290866"/>
    <w:rsid w:val="00294F88"/>
    <w:rsid w:val="002A2FC0"/>
    <w:rsid w:val="002A4C76"/>
    <w:rsid w:val="002B0F56"/>
    <w:rsid w:val="002B1142"/>
    <w:rsid w:val="002B2C8B"/>
    <w:rsid w:val="002C116F"/>
    <w:rsid w:val="002C2569"/>
    <w:rsid w:val="002C284F"/>
    <w:rsid w:val="002C42A8"/>
    <w:rsid w:val="002C7DBB"/>
    <w:rsid w:val="002D20B5"/>
    <w:rsid w:val="002D453B"/>
    <w:rsid w:val="002D6D5F"/>
    <w:rsid w:val="002D72CF"/>
    <w:rsid w:val="002E086A"/>
    <w:rsid w:val="002E1ED2"/>
    <w:rsid w:val="002E292B"/>
    <w:rsid w:val="002E4922"/>
    <w:rsid w:val="002E5818"/>
    <w:rsid w:val="002E5C96"/>
    <w:rsid w:val="002E6440"/>
    <w:rsid w:val="002F1888"/>
    <w:rsid w:val="002F2665"/>
    <w:rsid w:val="002F292A"/>
    <w:rsid w:val="002F48B6"/>
    <w:rsid w:val="002F4ABC"/>
    <w:rsid w:val="002F5731"/>
    <w:rsid w:val="002F5B64"/>
    <w:rsid w:val="002F7021"/>
    <w:rsid w:val="002F7E9D"/>
    <w:rsid w:val="003001F2"/>
    <w:rsid w:val="00300A75"/>
    <w:rsid w:val="00305BB7"/>
    <w:rsid w:val="00306BF6"/>
    <w:rsid w:val="00307EF6"/>
    <w:rsid w:val="0031174D"/>
    <w:rsid w:val="00312BD0"/>
    <w:rsid w:val="003130B8"/>
    <w:rsid w:val="003208FB"/>
    <w:rsid w:val="003249ED"/>
    <w:rsid w:val="0032650E"/>
    <w:rsid w:val="00332E41"/>
    <w:rsid w:val="003334F7"/>
    <w:rsid w:val="003339D3"/>
    <w:rsid w:val="00336AA0"/>
    <w:rsid w:val="00342B03"/>
    <w:rsid w:val="00343542"/>
    <w:rsid w:val="00345970"/>
    <w:rsid w:val="003459EF"/>
    <w:rsid w:val="00351A66"/>
    <w:rsid w:val="00352968"/>
    <w:rsid w:val="00354117"/>
    <w:rsid w:val="00354C97"/>
    <w:rsid w:val="003562CC"/>
    <w:rsid w:val="003701BF"/>
    <w:rsid w:val="00373044"/>
    <w:rsid w:val="003730B5"/>
    <w:rsid w:val="003747BB"/>
    <w:rsid w:val="0037694F"/>
    <w:rsid w:val="00380AA8"/>
    <w:rsid w:val="00381B18"/>
    <w:rsid w:val="0038326E"/>
    <w:rsid w:val="00385392"/>
    <w:rsid w:val="00387E90"/>
    <w:rsid w:val="00391C96"/>
    <w:rsid w:val="00391E40"/>
    <w:rsid w:val="003979E3"/>
    <w:rsid w:val="003A0AD2"/>
    <w:rsid w:val="003A53ED"/>
    <w:rsid w:val="003A5952"/>
    <w:rsid w:val="003B1074"/>
    <w:rsid w:val="003B19B5"/>
    <w:rsid w:val="003B24DA"/>
    <w:rsid w:val="003B288D"/>
    <w:rsid w:val="003B3EF7"/>
    <w:rsid w:val="003B4F9B"/>
    <w:rsid w:val="003B504D"/>
    <w:rsid w:val="003B689A"/>
    <w:rsid w:val="003B7FEE"/>
    <w:rsid w:val="003C07D7"/>
    <w:rsid w:val="003C1F57"/>
    <w:rsid w:val="003C3F6E"/>
    <w:rsid w:val="003C5366"/>
    <w:rsid w:val="003C7DA2"/>
    <w:rsid w:val="003D2A75"/>
    <w:rsid w:val="003D4885"/>
    <w:rsid w:val="003D7385"/>
    <w:rsid w:val="003F5497"/>
    <w:rsid w:val="003F7A5F"/>
    <w:rsid w:val="00400CF2"/>
    <w:rsid w:val="00404646"/>
    <w:rsid w:val="004063EF"/>
    <w:rsid w:val="00411C9D"/>
    <w:rsid w:val="00415F41"/>
    <w:rsid w:val="00417E26"/>
    <w:rsid w:val="004217DB"/>
    <w:rsid w:val="0042318F"/>
    <w:rsid w:val="0043131E"/>
    <w:rsid w:val="00435CE7"/>
    <w:rsid w:val="00440EEF"/>
    <w:rsid w:val="004419BE"/>
    <w:rsid w:val="00442B3E"/>
    <w:rsid w:val="00442F7A"/>
    <w:rsid w:val="004450FA"/>
    <w:rsid w:val="00445231"/>
    <w:rsid w:val="004543CB"/>
    <w:rsid w:val="00454EC5"/>
    <w:rsid w:val="00455716"/>
    <w:rsid w:val="00471CA7"/>
    <w:rsid w:val="00474C75"/>
    <w:rsid w:val="00477144"/>
    <w:rsid w:val="004816DB"/>
    <w:rsid w:val="004836ED"/>
    <w:rsid w:val="00484ED2"/>
    <w:rsid w:val="00486887"/>
    <w:rsid w:val="00497C07"/>
    <w:rsid w:val="004A07AF"/>
    <w:rsid w:val="004A5332"/>
    <w:rsid w:val="004B1D4A"/>
    <w:rsid w:val="004B24A2"/>
    <w:rsid w:val="004B5641"/>
    <w:rsid w:val="004B679A"/>
    <w:rsid w:val="004B6A97"/>
    <w:rsid w:val="004C2DCA"/>
    <w:rsid w:val="004C619E"/>
    <w:rsid w:val="004C65F2"/>
    <w:rsid w:val="004C6ECD"/>
    <w:rsid w:val="004D229B"/>
    <w:rsid w:val="004D25E7"/>
    <w:rsid w:val="004D5D17"/>
    <w:rsid w:val="004D7E5A"/>
    <w:rsid w:val="004E3A9F"/>
    <w:rsid w:val="004E3C1F"/>
    <w:rsid w:val="004E4269"/>
    <w:rsid w:val="004E52C3"/>
    <w:rsid w:val="004F44B4"/>
    <w:rsid w:val="004F55F8"/>
    <w:rsid w:val="004F7601"/>
    <w:rsid w:val="00501D7F"/>
    <w:rsid w:val="0050261D"/>
    <w:rsid w:val="00504E6C"/>
    <w:rsid w:val="00504F38"/>
    <w:rsid w:val="0050602F"/>
    <w:rsid w:val="00510016"/>
    <w:rsid w:val="00512D21"/>
    <w:rsid w:val="00513CBB"/>
    <w:rsid w:val="005152CC"/>
    <w:rsid w:val="005158B5"/>
    <w:rsid w:val="00517430"/>
    <w:rsid w:val="005217B7"/>
    <w:rsid w:val="005224B8"/>
    <w:rsid w:val="0052363F"/>
    <w:rsid w:val="00525089"/>
    <w:rsid w:val="005306FA"/>
    <w:rsid w:val="00534EF2"/>
    <w:rsid w:val="00537926"/>
    <w:rsid w:val="00537D40"/>
    <w:rsid w:val="00542697"/>
    <w:rsid w:val="005457AA"/>
    <w:rsid w:val="00546BFA"/>
    <w:rsid w:val="0055248D"/>
    <w:rsid w:val="00552EAF"/>
    <w:rsid w:val="00557133"/>
    <w:rsid w:val="00560677"/>
    <w:rsid w:val="00560713"/>
    <w:rsid w:val="0056138A"/>
    <w:rsid w:val="00561F80"/>
    <w:rsid w:val="00562F9D"/>
    <w:rsid w:val="00564542"/>
    <w:rsid w:val="00573FAF"/>
    <w:rsid w:val="0057764D"/>
    <w:rsid w:val="0058247C"/>
    <w:rsid w:val="00582FB8"/>
    <w:rsid w:val="0059019B"/>
    <w:rsid w:val="005914F3"/>
    <w:rsid w:val="005919CE"/>
    <w:rsid w:val="0059422A"/>
    <w:rsid w:val="005949A2"/>
    <w:rsid w:val="005960AE"/>
    <w:rsid w:val="005969F6"/>
    <w:rsid w:val="0059721A"/>
    <w:rsid w:val="00597471"/>
    <w:rsid w:val="005A121D"/>
    <w:rsid w:val="005A1637"/>
    <w:rsid w:val="005A2BFA"/>
    <w:rsid w:val="005A332D"/>
    <w:rsid w:val="005B5F1E"/>
    <w:rsid w:val="005C0CC5"/>
    <w:rsid w:val="005C1547"/>
    <w:rsid w:val="005C370E"/>
    <w:rsid w:val="005C6000"/>
    <w:rsid w:val="005C6582"/>
    <w:rsid w:val="005C7E30"/>
    <w:rsid w:val="005D30C5"/>
    <w:rsid w:val="005D43A7"/>
    <w:rsid w:val="005D5A1B"/>
    <w:rsid w:val="005D64BA"/>
    <w:rsid w:val="005D6EF9"/>
    <w:rsid w:val="005E250E"/>
    <w:rsid w:val="005E4708"/>
    <w:rsid w:val="005E72FB"/>
    <w:rsid w:val="005F07B7"/>
    <w:rsid w:val="005F0BA8"/>
    <w:rsid w:val="005F163D"/>
    <w:rsid w:val="00606968"/>
    <w:rsid w:val="00606991"/>
    <w:rsid w:val="0061055F"/>
    <w:rsid w:val="00610718"/>
    <w:rsid w:val="00612EA9"/>
    <w:rsid w:val="006147C0"/>
    <w:rsid w:val="0061520D"/>
    <w:rsid w:val="006153E9"/>
    <w:rsid w:val="00615A25"/>
    <w:rsid w:val="00616136"/>
    <w:rsid w:val="00616265"/>
    <w:rsid w:val="00616755"/>
    <w:rsid w:val="006209E4"/>
    <w:rsid w:val="006209F1"/>
    <w:rsid w:val="006214F5"/>
    <w:rsid w:val="00621CDB"/>
    <w:rsid w:val="00621E04"/>
    <w:rsid w:val="006221E7"/>
    <w:rsid w:val="00622A33"/>
    <w:rsid w:val="00626CCA"/>
    <w:rsid w:val="006276B3"/>
    <w:rsid w:val="00627D33"/>
    <w:rsid w:val="00632F92"/>
    <w:rsid w:val="00633728"/>
    <w:rsid w:val="0063753A"/>
    <w:rsid w:val="006413EF"/>
    <w:rsid w:val="006423D2"/>
    <w:rsid w:val="006427D6"/>
    <w:rsid w:val="00642A53"/>
    <w:rsid w:val="00644319"/>
    <w:rsid w:val="00646925"/>
    <w:rsid w:val="006515B5"/>
    <w:rsid w:val="006517F7"/>
    <w:rsid w:val="00655E03"/>
    <w:rsid w:val="00657CE5"/>
    <w:rsid w:val="00657EC8"/>
    <w:rsid w:val="00664D8E"/>
    <w:rsid w:val="006651FC"/>
    <w:rsid w:val="0066638D"/>
    <w:rsid w:val="0068103A"/>
    <w:rsid w:val="00684ED5"/>
    <w:rsid w:val="00686B35"/>
    <w:rsid w:val="006907B4"/>
    <w:rsid w:val="006924E3"/>
    <w:rsid w:val="00697287"/>
    <w:rsid w:val="0069788F"/>
    <w:rsid w:val="006A336B"/>
    <w:rsid w:val="006A38A8"/>
    <w:rsid w:val="006A4CE9"/>
    <w:rsid w:val="006B026A"/>
    <w:rsid w:val="006B42DC"/>
    <w:rsid w:val="006B441C"/>
    <w:rsid w:val="006B48FF"/>
    <w:rsid w:val="006C1291"/>
    <w:rsid w:val="006C2E85"/>
    <w:rsid w:val="006C3D9C"/>
    <w:rsid w:val="006C501D"/>
    <w:rsid w:val="006C53BB"/>
    <w:rsid w:val="006D5AB7"/>
    <w:rsid w:val="006D5E44"/>
    <w:rsid w:val="006D69B0"/>
    <w:rsid w:val="006E0972"/>
    <w:rsid w:val="006E0C42"/>
    <w:rsid w:val="006E3E53"/>
    <w:rsid w:val="006E444B"/>
    <w:rsid w:val="006E6DAF"/>
    <w:rsid w:val="006F1AF7"/>
    <w:rsid w:val="00700F67"/>
    <w:rsid w:val="007023C4"/>
    <w:rsid w:val="00702994"/>
    <w:rsid w:val="00703010"/>
    <w:rsid w:val="0070408E"/>
    <w:rsid w:val="00705193"/>
    <w:rsid w:val="00707572"/>
    <w:rsid w:val="007101A3"/>
    <w:rsid w:val="00721697"/>
    <w:rsid w:val="00722221"/>
    <w:rsid w:val="00723CFE"/>
    <w:rsid w:val="00730EC8"/>
    <w:rsid w:val="00732C18"/>
    <w:rsid w:val="00740537"/>
    <w:rsid w:val="00740B7F"/>
    <w:rsid w:val="00740BA7"/>
    <w:rsid w:val="007417F0"/>
    <w:rsid w:val="00741B74"/>
    <w:rsid w:val="007425ED"/>
    <w:rsid w:val="0074393E"/>
    <w:rsid w:val="007442D4"/>
    <w:rsid w:val="0074513D"/>
    <w:rsid w:val="007451AC"/>
    <w:rsid w:val="0074601D"/>
    <w:rsid w:val="00746379"/>
    <w:rsid w:val="00746518"/>
    <w:rsid w:val="00747F8B"/>
    <w:rsid w:val="0075567D"/>
    <w:rsid w:val="00755DE9"/>
    <w:rsid w:val="00757CA0"/>
    <w:rsid w:val="00760B69"/>
    <w:rsid w:val="00760FCF"/>
    <w:rsid w:val="007619C8"/>
    <w:rsid w:val="00761FD4"/>
    <w:rsid w:val="00764436"/>
    <w:rsid w:val="007650AB"/>
    <w:rsid w:val="00766715"/>
    <w:rsid w:val="00775751"/>
    <w:rsid w:val="00780C14"/>
    <w:rsid w:val="00780DF4"/>
    <w:rsid w:val="007812A2"/>
    <w:rsid w:val="007837B7"/>
    <w:rsid w:val="00786299"/>
    <w:rsid w:val="00787A77"/>
    <w:rsid w:val="007902E4"/>
    <w:rsid w:val="00792E42"/>
    <w:rsid w:val="00796A3D"/>
    <w:rsid w:val="007A0416"/>
    <w:rsid w:val="007A0FED"/>
    <w:rsid w:val="007A2357"/>
    <w:rsid w:val="007A3051"/>
    <w:rsid w:val="007A529E"/>
    <w:rsid w:val="007A6C75"/>
    <w:rsid w:val="007A763F"/>
    <w:rsid w:val="007B24CF"/>
    <w:rsid w:val="007B3110"/>
    <w:rsid w:val="007B4D31"/>
    <w:rsid w:val="007C1928"/>
    <w:rsid w:val="007C1AB6"/>
    <w:rsid w:val="007C5815"/>
    <w:rsid w:val="007C6115"/>
    <w:rsid w:val="007D3E9B"/>
    <w:rsid w:val="007D410E"/>
    <w:rsid w:val="007D5686"/>
    <w:rsid w:val="007E49BE"/>
    <w:rsid w:val="007E5310"/>
    <w:rsid w:val="007E6C7C"/>
    <w:rsid w:val="007E75B5"/>
    <w:rsid w:val="007F0676"/>
    <w:rsid w:val="007F1936"/>
    <w:rsid w:val="007F1E46"/>
    <w:rsid w:val="007F3122"/>
    <w:rsid w:val="007F49EC"/>
    <w:rsid w:val="007F7F36"/>
    <w:rsid w:val="0080256A"/>
    <w:rsid w:val="0080279D"/>
    <w:rsid w:val="00807012"/>
    <w:rsid w:val="00824087"/>
    <w:rsid w:val="008278FC"/>
    <w:rsid w:val="0083130D"/>
    <w:rsid w:val="00833D61"/>
    <w:rsid w:val="008349CB"/>
    <w:rsid w:val="00834A55"/>
    <w:rsid w:val="00842FD5"/>
    <w:rsid w:val="00851180"/>
    <w:rsid w:val="00860A68"/>
    <w:rsid w:val="00861043"/>
    <w:rsid w:val="0086249E"/>
    <w:rsid w:val="008636BA"/>
    <w:rsid w:val="00863855"/>
    <w:rsid w:val="00863945"/>
    <w:rsid w:val="008645B2"/>
    <w:rsid w:val="00864638"/>
    <w:rsid w:val="00865323"/>
    <w:rsid w:val="00867E3D"/>
    <w:rsid w:val="008749FF"/>
    <w:rsid w:val="0087749C"/>
    <w:rsid w:val="00881AE1"/>
    <w:rsid w:val="00885C5A"/>
    <w:rsid w:val="008922FA"/>
    <w:rsid w:val="00897C9A"/>
    <w:rsid w:val="008A029E"/>
    <w:rsid w:val="008A098C"/>
    <w:rsid w:val="008A4A62"/>
    <w:rsid w:val="008A6883"/>
    <w:rsid w:val="008B201F"/>
    <w:rsid w:val="008B21E9"/>
    <w:rsid w:val="008B27D6"/>
    <w:rsid w:val="008B2D13"/>
    <w:rsid w:val="008B37AD"/>
    <w:rsid w:val="008B649B"/>
    <w:rsid w:val="008B6F6D"/>
    <w:rsid w:val="008C000D"/>
    <w:rsid w:val="008C2AAE"/>
    <w:rsid w:val="008C564F"/>
    <w:rsid w:val="008C622B"/>
    <w:rsid w:val="008C7EA7"/>
    <w:rsid w:val="008D17BD"/>
    <w:rsid w:val="008D3183"/>
    <w:rsid w:val="008D65DC"/>
    <w:rsid w:val="008E14B5"/>
    <w:rsid w:val="008E423F"/>
    <w:rsid w:val="008E4D64"/>
    <w:rsid w:val="008E6963"/>
    <w:rsid w:val="008F2CE6"/>
    <w:rsid w:val="008F2D1A"/>
    <w:rsid w:val="008F44D3"/>
    <w:rsid w:val="00906E16"/>
    <w:rsid w:val="00907BD9"/>
    <w:rsid w:val="00914947"/>
    <w:rsid w:val="00915933"/>
    <w:rsid w:val="00922ACA"/>
    <w:rsid w:val="00926D59"/>
    <w:rsid w:val="00927914"/>
    <w:rsid w:val="00935C76"/>
    <w:rsid w:val="0093646F"/>
    <w:rsid w:val="00937A00"/>
    <w:rsid w:val="0094138F"/>
    <w:rsid w:val="00947D8C"/>
    <w:rsid w:val="00950AFA"/>
    <w:rsid w:val="009514EA"/>
    <w:rsid w:val="009515C0"/>
    <w:rsid w:val="00951643"/>
    <w:rsid w:val="0095327F"/>
    <w:rsid w:val="0095377D"/>
    <w:rsid w:val="00954152"/>
    <w:rsid w:val="00956E7D"/>
    <w:rsid w:val="0095732C"/>
    <w:rsid w:val="00957390"/>
    <w:rsid w:val="00957A69"/>
    <w:rsid w:val="00957BAC"/>
    <w:rsid w:val="00957C74"/>
    <w:rsid w:val="00960211"/>
    <w:rsid w:val="00961951"/>
    <w:rsid w:val="00964AC1"/>
    <w:rsid w:val="00966092"/>
    <w:rsid w:val="009679B4"/>
    <w:rsid w:val="00971C05"/>
    <w:rsid w:val="00972A46"/>
    <w:rsid w:val="00972C90"/>
    <w:rsid w:val="009734F7"/>
    <w:rsid w:val="00973B73"/>
    <w:rsid w:val="009833A6"/>
    <w:rsid w:val="00985AE9"/>
    <w:rsid w:val="00987300"/>
    <w:rsid w:val="00987A28"/>
    <w:rsid w:val="009969C2"/>
    <w:rsid w:val="00996E20"/>
    <w:rsid w:val="0099726C"/>
    <w:rsid w:val="009974CF"/>
    <w:rsid w:val="009A0874"/>
    <w:rsid w:val="009A1A63"/>
    <w:rsid w:val="009A314A"/>
    <w:rsid w:val="009A5AC4"/>
    <w:rsid w:val="009A66F7"/>
    <w:rsid w:val="009B02F4"/>
    <w:rsid w:val="009B628C"/>
    <w:rsid w:val="009B7581"/>
    <w:rsid w:val="009C026F"/>
    <w:rsid w:val="009C1E59"/>
    <w:rsid w:val="009C22BF"/>
    <w:rsid w:val="009C27B9"/>
    <w:rsid w:val="009C3AE3"/>
    <w:rsid w:val="009C4788"/>
    <w:rsid w:val="009D4FEB"/>
    <w:rsid w:val="009D618F"/>
    <w:rsid w:val="009D6EB7"/>
    <w:rsid w:val="009E099E"/>
    <w:rsid w:val="009E3374"/>
    <w:rsid w:val="009E7872"/>
    <w:rsid w:val="009F0229"/>
    <w:rsid w:val="009F1404"/>
    <w:rsid w:val="009F3242"/>
    <w:rsid w:val="009F6543"/>
    <w:rsid w:val="00A0083D"/>
    <w:rsid w:val="00A048CC"/>
    <w:rsid w:val="00A04D7A"/>
    <w:rsid w:val="00A05CB2"/>
    <w:rsid w:val="00A100AF"/>
    <w:rsid w:val="00A12A7B"/>
    <w:rsid w:val="00A137D3"/>
    <w:rsid w:val="00A1668F"/>
    <w:rsid w:val="00A202D8"/>
    <w:rsid w:val="00A22BE9"/>
    <w:rsid w:val="00A26662"/>
    <w:rsid w:val="00A269E7"/>
    <w:rsid w:val="00A26E1F"/>
    <w:rsid w:val="00A303F4"/>
    <w:rsid w:val="00A30633"/>
    <w:rsid w:val="00A3279F"/>
    <w:rsid w:val="00A33E2B"/>
    <w:rsid w:val="00A428EE"/>
    <w:rsid w:val="00A42C9A"/>
    <w:rsid w:val="00A521C2"/>
    <w:rsid w:val="00A536D0"/>
    <w:rsid w:val="00A5452A"/>
    <w:rsid w:val="00A55B6E"/>
    <w:rsid w:val="00A61313"/>
    <w:rsid w:val="00A62F66"/>
    <w:rsid w:val="00A6498C"/>
    <w:rsid w:val="00A7080C"/>
    <w:rsid w:val="00A71754"/>
    <w:rsid w:val="00A749A3"/>
    <w:rsid w:val="00A75A77"/>
    <w:rsid w:val="00A805FD"/>
    <w:rsid w:val="00A825D8"/>
    <w:rsid w:val="00A84C1D"/>
    <w:rsid w:val="00A90EB4"/>
    <w:rsid w:val="00A92C5B"/>
    <w:rsid w:val="00A92F9B"/>
    <w:rsid w:val="00A934B9"/>
    <w:rsid w:val="00A97BC9"/>
    <w:rsid w:val="00AA2347"/>
    <w:rsid w:val="00AA2987"/>
    <w:rsid w:val="00AB0966"/>
    <w:rsid w:val="00AB1398"/>
    <w:rsid w:val="00AB3B09"/>
    <w:rsid w:val="00AB3CB5"/>
    <w:rsid w:val="00AB52A9"/>
    <w:rsid w:val="00AB7A0A"/>
    <w:rsid w:val="00AC030A"/>
    <w:rsid w:val="00AC1744"/>
    <w:rsid w:val="00AC1C5F"/>
    <w:rsid w:val="00AC7533"/>
    <w:rsid w:val="00AD2327"/>
    <w:rsid w:val="00AD267B"/>
    <w:rsid w:val="00AD646C"/>
    <w:rsid w:val="00AD671F"/>
    <w:rsid w:val="00AE1470"/>
    <w:rsid w:val="00AE1FF1"/>
    <w:rsid w:val="00AE2B37"/>
    <w:rsid w:val="00AE32D5"/>
    <w:rsid w:val="00AE3310"/>
    <w:rsid w:val="00AF2B8D"/>
    <w:rsid w:val="00AF304C"/>
    <w:rsid w:val="00AF3550"/>
    <w:rsid w:val="00AF4075"/>
    <w:rsid w:val="00AF4D67"/>
    <w:rsid w:val="00B00D1F"/>
    <w:rsid w:val="00B00D23"/>
    <w:rsid w:val="00B11EA7"/>
    <w:rsid w:val="00B128BA"/>
    <w:rsid w:val="00B14BB7"/>
    <w:rsid w:val="00B176C5"/>
    <w:rsid w:val="00B2118A"/>
    <w:rsid w:val="00B2223B"/>
    <w:rsid w:val="00B2366A"/>
    <w:rsid w:val="00B23AA8"/>
    <w:rsid w:val="00B2786E"/>
    <w:rsid w:val="00B302C3"/>
    <w:rsid w:val="00B309C5"/>
    <w:rsid w:val="00B3163F"/>
    <w:rsid w:val="00B3286F"/>
    <w:rsid w:val="00B34511"/>
    <w:rsid w:val="00B34A1B"/>
    <w:rsid w:val="00B40083"/>
    <w:rsid w:val="00B4149F"/>
    <w:rsid w:val="00B46A35"/>
    <w:rsid w:val="00B47D5C"/>
    <w:rsid w:val="00B532A7"/>
    <w:rsid w:val="00B6004D"/>
    <w:rsid w:val="00B601B0"/>
    <w:rsid w:val="00B6071A"/>
    <w:rsid w:val="00B7230C"/>
    <w:rsid w:val="00B75B30"/>
    <w:rsid w:val="00B761BB"/>
    <w:rsid w:val="00B81A58"/>
    <w:rsid w:val="00B828FA"/>
    <w:rsid w:val="00B82F32"/>
    <w:rsid w:val="00B863D9"/>
    <w:rsid w:val="00B90D2A"/>
    <w:rsid w:val="00B9441D"/>
    <w:rsid w:val="00B95936"/>
    <w:rsid w:val="00BA15D8"/>
    <w:rsid w:val="00BA18D5"/>
    <w:rsid w:val="00BB2097"/>
    <w:rsid w:val="00BB297F"/>
    <w:rsid w:val="00BB5C7D"/>
    <w:rsid w:val="00BC073D"/>
    <w:rsid w:val="00BC1B24"/>
    <w:rsid w:val="00BC1D9E"/>
    <w:rsid w:val="00BC34BD"/>
    <w:rsid w:val="00BC34D6"/>
    <w:rsid w:val="00BC3F3C"/>
    <w:rsid w:val="00BC604E"/>
    <w:rsid w:val="00BC73A0"/>
    <w:rsid w:val="00BC7CEE"/>
    <w:rsid w:val="00BD059C"/>
    <w:rsid w:val="00BD21CA"/>
    <w:rsid w:val="00BD260B"/>
    <w:rsid w:val="00BD2E5E"/>
    <w:rsid w:val="00BD5757"/>
    <w:rsid w:val="00BD61FB"/>
    <w:rsid w:val="00BD63DD"/>
    <w:rsid w:val="00BE0B32"/>
    <w:rsid w:val="00BE186F"/>
    <w:rsid w:val="00BE4348"/>
    <w:rsid w:val="00BF5443"/>
    <w:rsid w:val="00C007F6"/>
    <w:rsid w:val="00C043A9"/>
    <w:rsid w:val="00C04754"/>
    <w:rsid w:val="00C0554A"/>
    <w:rsid w:val="00C10BBC"/>
    <w:rsid w:val="00C127C0"/>
    <w:rsid w:val="00C1365F"/>
    <w:rsid w:val="00C16361"/>
    <w:rsid w:val="00C20F52"/>
    <w:rsid w:val="00C222B2"/>
    <w:rsid w:val="00C246D6"/>
    <w:rsid w:val="00C26948"/>
    <w:rsid w:val="00C31D58"/>
    <w:rsid w:val="00C322B1"/>
    <w:rsid w:val="00C33399"/>
    <w:rsid w:val="00C33C6A"/>
    <w:rsid w:val="00C37891"/>
    <w:rsid w:val="00C37BFF"/>
    <w:rsid w:val="00C42938"/>
    <w:rsid w:val="00C4458C"/>
    <w:rsid w:val="00C469AE"/>
    <w:rsid w:val="00C51C63"/>
    <w:rsid w:val="00C53292"/>
    <w:rsid w:val="00C53B91"/>
    <w:rsid w:val="00C54C4C"/>
    <w:rsid w:val="00C552E9"/>
    <w:rsid w:val="00C56CC1"/>
    <w:rsid w:val="00C60E72"/>
    <w:rsid w:val="00C620AD"/>
    <w:rsid w:val="00C64546"/>
    <w:rsid w:val="00C70EBA"/>
    <w:rsid w:val="00C72606"/>
    <w:rsid w:val="00C74B69"/>
    <w:rsid w:val="00C75B28"/>
    <w:rsid w:val="00C75FA4"/>
    <w:rsid w:val="00C8173F"/>
    <w:rsid w:val="00C8210C"/>
    <w:rsid w:val="00C84FF6"/>
    <w:rsid w:val="00C94D32"/>
    <w:rsid w:val="00C960A4"/>
    <w:rsid w:val="00C9695B"/>
    <w:rsid w:val="00C973E0"/>
    <w:rsid w:val="00C97978"/>
    <w:rsid w:val="00CA34DB"/>
    <w:rsid w:val="00CA4DC3"/>
    <w:rsid w:val="00CA54E0"/>
    <w:rsid w:val="00CA75D9"/>
    <w:rsid w:val="00CA76F9"/>
    <w:rsid w:val="00CA7897"/>
    <w:rsid w:val="00CB685E"/>
    <w:rsid w:val="00CB68F9"/>
    <w:rsid w:val="00CC33A6"/>
    <w:rsid w:val="00CC4129"/>
    <w:rsid w:val="00CC6E5A"/>
    <w:rsid w:val="00CD20C2"/>
    <w:rsid w:val="00CD518B"/>
    <w:rsid w:val="00CE2943"/>
    <w:rsid w:val="00CE34EC"/>
    <w:rsid w:val="00CE6A14"/>
    <w:rsid w:val="00CF4A79"/>
    <w:rsid w:val="00CF5677"/>
    <w:rsid w:val="00CF56E7"/>
    <w:rsid w:val="00CF6860"/>
    <w:rsid w:val="00D0274B"/>
    <w:rsid w:val="00D04844"/>
    <w:rsid w:val="00D0514E"/>
    <w:rsid w:val="00D078C3"/>
    <w:rsid w:val="00D1463C"/>
    <w:rsid w:val="00D2031A"/>
    <w:rsid w:val="00D23EDE"/>
    <w:rsid w:val="00D274AD"/>
    <w:rsid w:val="00D363CB"/>
    <w:rsid w:val="00D368A3"/>
    <w:rsid w:val="00D37F05"/>
    <w:rsid w:val="00D40CE1"/>
    <w:rsid w:val="00D43608"/>
    <w:rsid w:val="00D44DC6"/>
    <w:rsid w:val="00D5070F"/>
    <w:rsid w:val="00D50B54"/>
    <w:rsid w:val="00D50D2C"/>
    <w:rsid w:val="00D55C28"/>
    <w:rsid w:val="00D56BD0"/>
    <w:rsid w:val="00D60001"/>
    <w:rsid w:val="00D61FD9"/>
    <w:rsid w:val="00D703D7"/>
    <w:rsid w:val="00D717CD"/>
    <w:rsid w:val="00D732E3"/>
    <w:rsid w:val="00D73358"/>
    <w:rsid w:val="00D74CE3"/>
    <w:rsid w:val="00D74DB4"/>
    <w:rsid w:val="00D777D8"/>
    <w:rsid w:val="00D804CB"/>
    <w:rsid w:val="00D81AED"/>
    <w:rsid w:val="00D81D2F"/>
    <w:rsid w:val="00D82A96"/>
    <w:rsid w:val="00D82B19"/>
    <w:rsid w:val="00D83C6F"/>
    <w:rsid w:val="00D84FDF"/>
    <w:rsid w:val="00D87693"/>
    <w:rsid w:val="00D8769A"/>
    <w:rsid w:val="00D87EDF"/>
    <w:rsid w:val="00D90A32"/>
    <w:rsid w:val="00D90CF4"/>
    <w:rsid w:val="00D9235A"/>
    <w:rsid w:val="00D938A3"/>
    <w:rsid w:val="00D944FF"/>
    <w:rsid w:val="00D9588E"/>
    <w:rsid w:val="00DA0CC0"/>
    <w:rsid w:val="00DA4E19"/>
    <w:rsid w:val="00DA7650"/>
    <w:rsid w:val="00DB250B"/>
    <w:rsid w:val="00DB4B1D"/>
    <w:rsid w:val="00DB5EEB"/>
    <w:rsid w:val="00DB6FBD"/>
    <w:rsid w:val="00DC08D7"/>
    <w:rsid w:val="00DC11D7"/>
    <w:rsid w:val="00DC710B"/>
    <w:rsid w:val="00DC7FC0"/>
    <w:rsid w:val="00DD05C2"/>
    <w:rsid w:val="00DD0845"/>
    <w:rsid w:val="00DD202F"/>
    <w:rsid w:val="00DD58D5"/>
    <w:rsid w:val="00DD7875"/>
    <w:rsid w:val="00DE1439"/>
    <w:rsid w:val="00DE22E8"/>
    <w:rsid w:val="00DE3413"/>
    <w:rsid w:val="00DE6D2E"/>
    <w:rsid w:val="00DF0886"/>
    <w:rsid w:val="00DF108A"/>
    <w:rsid w:val="00DF19FB"/>
    <w:rsid w:val="00DF219F"/>
    <w:rsid w:val="00DF2EB5"/>
    <w:rsid w:val="00DF4E19"/>
    <w:rsid w:val="00E068BA"/>
    <w:rsid w:val="00E06FC6"/>
    <w:rsid w:val="00E126BF"/>
    <w:rsid w:val="00E147A5"/>
    <w:rsid w:val="00E159EA"/>
    <w:rsid w:val="00E207C2"/>
    <w:rsid w:val="00E24F08"/>
    <w:rsid w:val="00E2780F"/>
    <w:rsid w:val="00E30254"/>
    <w:rsid w:val="00E30A46"/>
    <w:rsid w:val="00E30AD8"/>
    <w:rsid w:val="00E31140"/>
    <w:rsid w:val="00E313AA"/>
    <w:rsid w:val="00E34059"/>
    <w:rsid w:val="00E35C1D"/>
    <w:rsid w:val="00E41AFF"/>
    <w:rsid w:val="00E423D0"/>
    <w:rsid w:val="00E42854"/>
    <w:rsid w:val="00E42D81"/>
    <w:rsid w:val="00E43C74"/>
    <w:rsid w:val="00E459DB"/>
    <w:rsid w:val="00E467F3"/>
    <w:rsid w:val="00E46A8D"/>
    <w:rsid w:val="00E518FA"/>
    <w:rsid w:val="00E5789C"/>
    <w:rsid w:val="00E61026"/>
    <w:rsid w:val="00E614FC"/>
    <w:rsid w:val="00E64F34"/>
    <w:rsid w:val="00E66152"/>
    <w:rsid w:val="00E6689A"/>
    <w:rsid w:val="00E67757"/>
    <w:rsid w:val="00E67A75"/>
    <w:rsid w:val="00E70E68"/>
    <w:rsid w:val="00E727B7"/>
    <w:rsid w:val="00E744AE"/>
    <w:rsid w:val="00E75615"/>
    <w:rsid w:val="00E75DA8"/>
    <w:rsid w:val="00E818DD"/>
    <w:rsid w:val="00E838FF"/>
    <w:rsid w:val="00E849BE"/>
    <w:rsid w:val="00E85475"/>
    <w:rsid w:val="00E858EB"/>
    <w:rsid w:val="00E85B0B"/>
    <w:rsid w:val="00E85FFB"/>
    <w:rsid w:val="00E86A3D"/>
    <w:rsid w:val="00E930D1"/>
    <w:rsid w:val="00E96F72"/>
    <w:rsid w:val="00EA0BF0"/>
    <w:rsid w:val="00EA2710"/>
    <w:rsid w:val="00EA38B8"/>
    <w:rsid w:val="00EA5176"/>
    <w:rsid w:val="00EA67E2"/>
    <w:rsid w:val="00EB13B6"/>
    <w:rsid w:val="00EB2678"/>
    <w:rsid w:val="00EB6881"/>
    <w:rsid w:val="00EB6B92"/>
    <w:rsid w:val="00EC0014"/>
    <w:rsid w:val="00EC16AD"/>
    <w:rsid w:val="00EC4C97"/>
    <w:rsid w:val="00EC53E9"/>
    <w:rsid w:val="00EC5ACC"/>
    <w:rsid w:val="00ED285F"/>
    <w:rsid w:val="00ED44D5"/>
    <w:rsid w:val="00ED5701"/>
    <w:rsid w:val="00ED7B17"/>
    <w:rsid w:val="00EE0182"/>
    <w:rsid w:val="00EE569E"/>
    <w:rsid w:val="00EE77D4"/>
    <w:rsid w:val="00EF1215"/>
    <w:rsid w:val="00EF1D5D"/>
    <w:rsid w:val="00EF34DE"/>
    <w:rsid w:val="00EF419B"/>
    <w:rsid w:val="00EF478F"/>
    <w:rsid w:val="00EF7364"/>
    <w:rsid w:val="00EF78D1"/>
    <w:rsid w:val="00F02769"/>
    <w:rsid w:val="00F0720D"/>
    <w:rsid w:val="00F103F3"/>
    <w:rsid w:val="00F12BAA"/>
    <w:rsid w:val="00F137A4"/>
    <w:rsid w:val="00F13C6E"/>
    <w:rsid w:val="00F1475A"/>
    <w:rsid w:val="00F16F0E"/>
    <w:rsid w:val="00F243B4"/>
    <w:rsid w:val="00F25348"/>
    <w:rsid w:val="00F273A4"/>
    <w:rsid w:val="00F31E05"/>
    <w:rsid w:val="00F334B1"/>
    <w:rsid w:val="00F33739"/>
    <w:rsid w:val="00F35732"/>
    <w:rsid w:val="00F3693A"/>
    <w:rsid w:val="00F379CA"/>
    <w:rsid w:val="00F40D6A"/>
    <w:rsid w:val="00F42620"/>
    <w:rsid w:val="00F43CDA"/>
    <w:rsid w:val="00F4418B"/>
    <w:rsid w:val="00F44BA2"/>
    <w:rsid w:val="00F5021D"/>
    <w:rsid w:val="00F507FF"/>
    <w:rsid w:val="00F54514"/>
    <w:rsid w:val="00F56C8A"/>
    <w:rsid w:val="00F600C8"/>
    <w:rsid w:val="00F60AF9"/>
    <w:rsid w:val="00F62970"/>
    <w:rsid w:val="00F635B2"/>
    <w:rsid w:val="00F64A53"/>
    <w:rsid w:val="00F66350"/>
    <w:rsid w:val="00F67D94"/>
    <w:rsid w:val="00F71DD0"/>
    <w:rsid w:val="00F72242"/>
    <w:rsid w:val="00F732A0"/>
    <w:rsid w:val="00F7725F"/>
    <w:rsid w:val="00F80A9B"/>
    <w:rsid w:val="00F8144F"/>
    <w:rsid w:val="00F85657"/>
    <w:rsid w:val="00F90B60"/>
    <w:rsid w:val="00F92F89"/>
    <w:rsid w:val="00F93D6A"/>
    <w:rsid w:val="00F95BFC"/>
    <w:rsid w:val="00F96708"/>
    <w:rsid w:val="00F9768D"/>
    <w:rsid w:val="00F97EFA"/>
    <w:rsid w:val="00FA0086"/>
    <w:rsid w:val="00FA157B"/>
    <w:rsid w:val="00FA230D"/>
    <w:rsid w:val="00FA3AA1"/>
    <w:rsid w:val="00FB0A68"/>
    <w:rsid w:val="00FB409F"/>
    <w:rsid w:val="00FB4C0F"/>
    <w:rsid w:val="00FB5E19"/>
    <w:rsid w:val="00FB6D43"/>
    <w:rsid w:val="00FC0ECB"/>
    <w:rsid w:val="00FD216D"/>
    <w:rsid w:val="00FD2C30"/>
    <w:rsid w:val="00FD4BBB"/>
    <w:rsid w:val="00FD77D5"/>
    <w:rsid w:val="00FE17B8"/>
    <w:rsid w:val="00FE5A6F"/>
    <w:rsid w:val="00FE6136"/>
    <w:rsid w:val="00FF0022"/>
    <w:rsid w:val="00FF183C"/>
    <w:rsid w:val="00FF2330"/>
    <w:rsid w:val="00FF2D65"/>
    <w:rsid w:val="00FF49B3"/>
    <w:rsid w:val="00FF4FBB"/>
    <w:rsid w:val="00FF5524"/>
    <w:rsid w:val="00FF5A45"/>
    <w:rsid w:val="72DB4A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ocked="1"/>
    <w:lsdException w:qFormat="1" w:uiPriority="0" w:semiHidden="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99"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36"/>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37"/>
    <w:unhideWhenUsed/>
    <w:qFormat/>
    <w:locked/>
    <w:uiPriority w:val="0"/>
    <w:pPr>
      <w:keepNext/>
      <w:keepLines/>
      <w:numPr>
        <w:ilvl w:val="0"/>
        <w:numId w:val="1"/>
      </w:numPr>
      <w:spacing w:before="280" w:after="290" w:line="360" w:lineRule="auto"/>
      <w:ind w:firstLine="200" w:firstLineChars="200"/>
      <w:outlineLvl w:val="3"/>
    </w:pPr>
    <w:rPr>
      <w:rFonts w:ascii="Cambria" w:hAnsi="Cambria"/>
      <w:bCs/>
      <w:sz w:val="24"/>
      <w:szCs w:val="28"/>
    </w:rPr>
  </w:style>
  <w:style w:type="paragraph" w:styleId="6">
    <w:name w:val="heading 5"/>
    <w:basedOn w:val="1"/>
    <w:next w:val="1"/>
    <w:link w:val="38"/>
    <w:unhideWhenUsed/>
    <w:qFormat/>
    <w:locked/>
    <w:uiPriority w:val="0"/>
    <w:pPr>
      <w:keepNext/>
      <w:keepLines/>
      <w:spacing w:before="280" w:after="290" w:line="376" w:lineRule="auto"/>
      <w:ind w:firstLine="200" w:firstLineChars="200"/>
      <w:outlineLvl w:val="4"/>
    </w:pPr>
    <w:rPr>
      <w:rFonts w:ascii="Times New Roman" w:hAnsi="Times New Roman"/>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32"/>
    <w:semiHidden/>
    <w:qFormat/>
    <w:uiPriority w:val="99"/>
    <w:rPr>
      <w:rFonts w:ascii="宋体"/>
      <w:kern w:val="0"/>
      <w:sz w:val="18"/>
      <w:szCs w:val="18"/>
    </w:rPr>
  </w:style>
  <w:style w:type="paragraph" w:styleId="8">
    <w:name w:val="annotation text"/>
    <w:basedOn w:val="1"/>
    <w:link w:val="33"/>
    <w:semiHidden/>
    <w:uiPriority w:val="99"/>
    <w:pPr>
      <w:jc w:val="left"/>
    </w:pPr>
    <w:rPr>
      <w:kern w:val="0"/>
      <w:sz w:val="20"/>
      <w:szCs w:val="20"/>
    </w:rPr>
  </w:style>
  <w:style w:type="paragraph" w:styleId="9">
    <w:name w:val="toc 3"/>
    <w:basedOn w:val="1"/>
    <w:next w:val="1"/>
    <w:unhideWhenUsed/>
    <w:qFormat/>
    <w:locked/>
    <w:uiPriority w:val="39"/>
    <w:pPr>
      <w:spacing w:line="360" w:lineRule="auto"/>
      <w:ind w:left="840" w:leftChars="400" w:firstLine="200" w:firstLineChars="200"/>
    </w:pPr>
    <w:rPr>
      <w:rFonts w:ascii="Times New Roman" w:hAnsi="Times New Roman"/>
      <w:sz w:val="24"/>
      <w:szCs w:val="24"/>
    </w:rPr>
  </w:style>
  <w:style w:type="paragraph" w:styleId="10">
    <w:name w:val="Balloon Text"/>
    <w:basedOn w:val="1"/>
    <w:link w:val="27"/>
    <w:semiHidden/>
    <w:qFormat/>
    <w:uiPriority w:val="99"/>
    <w:rPr>
      <w:kern w:val="0"/>
      <w:sz w:val="18"/>
      <w:szCs w:val="18"/>
    </w:rPr>
  </w:style>
  <w:style w:type="paragraph" w:styleId="11">
    <w:name w:val="footer"/>
    <w:basedOn w:val="1"/>
    <w:link w:val="26"/>
    <w:qFormat/>
    <w:uiPriority w:val="99"/>
    <w:pPr>
      <w:tabs>
        <w:tab w:val="center" w:pos="4153"/>
        <w:tab w:val="right" w:pos="8306"/>
      </w:tabs>
      <w:snapToGrid w:val="0"/>
      <w:jc w:val="left"/>
    </w:pPr>
    <w:rPr>
      <w:kern w:val="0"/>
      <w:sz w:val="18"/>
      <w:szCs w:val="18"/>
    </w:rPr>
  </w:style>
  <w:style w:type="paragraph" w:styleId="12">
    <w:name w:val="header"/>
    <w:basedOn w:val="1"/>
    <w:link w:val="25"/>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semiHidden/>
    <w:uiPriority w:val="0"/>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35"/>
    <w:qFormat/>
    <w:locked/>
    <w:uiPriority w:val="0"/>
    <w:pPr>
      <w:spacing w:before="240" w:after="60"/>
      <w:jc w:val="center"/>
      <w:outlineLvl w:val="0"/>
    </w:pPr>
    <w:rPr>
      <w:rFonts w:ascii="Cambria" w:hAnsi="Cambria"/>
      <w:b/>
      <w:bCs/>
      <w:sz w:val="32"/>
      <w:szCs w:val="32"/>
    </w:rPr>
  </w:style>
  <w:style w:type="paragraph" w:styleId="17">
    <w:name w:val="annotation subject"/>
    <w:basedOn w:val="8"/>
    <w:next w:val="8"/>
    <w:link w:val="34"/>
    <w:semiHidden/>
    <w:qFormat/>
    <w:uiPriority w:val="99"/>
    <w:rPr>
      <w:b/>
      <w:bCs/>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locked/>
    <w:uiPriority w:val="0"/>
    <w:rPr>
      <w:bCs/>
    </w:rPr>
  </w:style>
  <w:style w:type="character" w:styleId="22">
    <w:name w:val="Emphasis"/>
    <w:qFormat/>
    <w:locked/>
    <w:uiPriority w:val="0"/>
    <w:rPr>
      <w:i/>
      <w:iCs/>
    </w:rPr>
  </w:style>
  <w:style w:type="character" w:styleId="23">
    <w:name w:val="Hyperlink"/>
    <w:qFormat/>
    <w:uiPriority w:val="99"/>
    <w:rPr>
      <w:rFonts w:cs="Times New Roman"/>
      <w:color w:val="0000FF"/>
      <w:u w:val="single"/>
    </w:rPr>
  </w:style>
  <w:style w:type="character" w:styleId="24">
    <w:name w:val="annotation reference"/>
    <w:semiHidden/>
    <w:qFormat/>
    <w:uiPriority w:val="99"/>
    <w:rPr>
      <w:rFonts w:cs="Times New Roman"/>
      <w:sz w:val="21"/>
      <w:szCs w:val="21"/>
    </w:rPr>
  </w:style>
  <w:style w:type="character" w:customStyle="1" w:styleId="25">
    <w:name w:val="页眉 Char"/>
    <w:link w:val="12"/>
    <w:locked/>
    <w:uiPriority w:val="99"/>
    <w:rPr>
      <w:rFonts w:cs="Times New Roman"/>
      <w:sz w:val="18"/>
      <w:szCs w:val="18"/>
    </w:rPr>
  </w:style>
  <w:style w:type="character" w:customStyle="1" w:styleId="26">
    <w:name w:val="页脚 Char"/>
    <w:link w:val="11"/>
    <w:qFormat/>
    <w:locked/>
    <w:uiPriority w:val="99"/>
    <w:rPr>
      <w:rFonts w:cs="Times New Roman"/>
      <w:sz w:val="18"/>
      <w:szCs w:val="18"/>
    </w:rPr>
  </w:style>
  <w:style w:type="character" w:customStyle="1" w:styleId="27">
    <w:name w:val="批注框文本 Char"/>
    <w:link w:val="10"/>
    <w:semiHidden/>
    <w:qFormat/>
    <w:locked/>
    <w:uiPriority w:val="99"/>
    <w:rPr>
      <w:rFonts w:cs="Times New Roman"/>
      <w:sz w:val="18"/>
      <w:szCs w:val="18"/>
    </w:rPr>
  </w:style>
  <w:style w:type="character" w:customStyle="1" w:styleId="28">
    <w:name w:val="news5"/>
    <w:qFormat/>
    <w:uiPriority w:val="0"/>
    <w:rPr>
      <w:rFonts w:cs="Times New Roman"/>
    </w:rPr>
  </w:style>
  <w:style w:type="character" w:customStyle="1" w:styleId="29">
    <w:name w:val="标题 1 Char"/>
    <w:link w:val="2"/>
    <w:qFormat/>
    <w:locked/>
    <w:uiPriority w:val="0"/>
    <w:rPr>
      <w:rFonts w:cs="Times New Roman"/>
      <w:b/>
      <w:bCs/>
      <w:kern w:val="44"/>
      <w:sz w:val="44"/>
      <w:szCs w:val="44"/>
    </w:rPr>
  </w:style>
  <w:style w:type="character" w:customStyle="1" w:styleId="30">
    <w:name w:val="标题 2 Char"/>
    <w:link w:val="3"/>
    <w:qFormat/>
    <w:locked/>
    <w:uiPriority w:val="0"/>
    <w:rPr>
      <w:rFonts w:ascii="Cambria" w:hAnsi="Cambria" w:eastAsia="宋体" w:cs="Times New Roman"/>
      <w:b/>
      <w:bCs/>
      <w:sz w:val="32"/>
      <w:szCs w:val="32"/>
    </w:rPr>
  </w:style>
  <w:style w:type="paragraph" w:customStyle="1" w:styleId="31">
    <w:name w:val="无间隔1"/>
    <w:qFormat/>
    <w:uiPriority w:val="0"/>
    <w:pPr>
      <w:widowControl w:val="0"/>
      <w:pBdr>
        <w:bottom w:val="single" w:color="auto" w:sz="4" w:space="1"/>
      </w:pBdr>
      <w:jc w:val="both"/>
    </w:pPr>
    <w:rPr>
      <w:rFonts w:ascii="Times New Roman" w:hAnsi="Times New Roman" w:eastAsia="宋体" w:cs="Times New Roman"/>
      <w:kern w:val="2"/>
      <w:sz w:val="21"/>
      <w:szCs w:val="24"/>
      <w:lang w:val="en-US" w:eastAsia="zh-CN" w:bidi="ar-SA"/>
    </w:rPr>
  </w:style>
  <w:style w:type="character" w:customStyle="1" w:styleId="32">
    <w:name w:val="文档结构图 Char"/>
    <w:link w:val="7"/>
    <w:semiHidden/>
    <w:qFormat/>
    <w:locked/>
    <w:uiPriority w:val="99"/>
    <w:rPr>
      <w:rFonts w:ascii="宋体" w:eastAsia="宋体" w:cs="Times New Roman"/>
      <w:sz w:val="18"/>
      <w:szCs w:val="18"/>
    </w:rPr>
  </w:style>
  <w:style w:type="character" w:customStyle="1" w:styleId="33">
    <w:name w:val="批注文字 Char"/>
    <w:link w:val="8"/>
    <w:semiHidden/>
    <w:qFormat/>
    <w:locked/>
    <w:uiPriority w:val="99"/>
    <w:rPr>
      <w:rFonts w:cs="Times New Roman"/>
    </w:rPr>
  </w:style>
  <w:style w:type="character" w:customStyle="1" w:styleId="34">
    <w:name w:val="批注主题 Char"/>
    <w:link w:val="17"/>
    <w:semiHidden/>
    <w:locked/>
    <w:uiPriority w:val="99"/>
    <w:rPr>
      <w:rFonts w:cs="Times New Roman"/>
      <w:b/>
      <w:bCs/>
    </w:rPr>
  </w:style>
  <w:style w:type="character" w:customStyle="1" w:styleId="35">
    <w:name w:val="标题 Char"/>
    <w:link w:val="16"/>
    <w:qFormat/>
    <w:uiPriority w:val="0"/>
    <w:rPr>
      <w:rFonts w:ascii="Cambria" w:hAnsi="Cambria" w:cs="Times New Roman"/>
      <w:b/>
      <w:bCs/>
      <w:kern w:val="2"/>
      <w:sz w:val="32"/>
      <w:szCs w:val="32"/>
    </w:rPr>
  </w:style>
  <w:style w:type="character" w:customStyle="1" w:styleId="36">
    <w:name w:val="标题 3 Char"/>
    <w:link w:val="4"/>
    <w:qFormat/>
    <w:uiPriority w:val="0"/>
    <w:rPr>
      <w:b/>
      <w:bCs/>
      <w:kern w:val="2"/>
      <w:sz w:val="32"/>
      <w:szCs w:val="32"/>
    </w:rPr>
  </w:style>
  <w:style w:type="character" w:customStyle="1" w:styleId="37">
    <w:name w:val="标题 4 Char"/>
    <w:link w:val="5"/>
    <w:qFormat/>
    <w:uiPriority w:val="0"/>
    <w:rPr>
      <w:rFonts w:ascii="Cambria" w:hAnsi="Cambria"/>
      <w:bCs/>
      <w:kern w:val="2"/>
      <w:sz w:val="24"/>
      <w:szCs w:val="28"/>
    </w:rPr>
  </w:style>
  <w:style w:type="character" w:customStyle="1" w:styleId="38">
    <w:name w:val="标题 5 Char"/>
    <w:link w:val="6"/>
    <w:uiPriority w:val="0"/>
    <w:rPr>
      <w:rFonts w:ascii="Times New Roman" w:hAnsi="Times New Roman"/>
      <w:b/>
      <w:bCs/>
      <w:kern w:val="2"/>
      <w:sz w:val="28"/>
      <w:szCs w:val="28"/>
    </w:rPr>
  </w:style>
  <w:style w:type="paragraph" w:customStyle="1" w:styleId="39">
    <w:name w:val="Table Paragraph"/>
    <w:basedOn w:val="1"/>
    <w:qFormat/>
    <w:uiPriority w:val="1"/>
    <w:pPr>
      <w:spacing w:before="40" w:line="460" w:lineRule="exact"/>
      <w:ind w:firstLine="200" w:firstLineChars="200"/>
      <w:jc w:val="left"/>
    </w:pPr>
    <w:rPr>
      <w:color w:val="000000"/>
      <w:kern w:val="0"/>
      <w:sz w:val="22"/>
      <w:lang w:eastAsia="en-US"/>
    </w:rPr>
  </w:style>
  <w:style w:type="paragraph" w:styleId="40">
    <w:name w:val="List Paragraph"/>
    <w:basedOn w:val="1"/>
    <w:qFormat/>
    <w:uiPriority w:val="34"/>
    <w:pPr>
      <w:spacing w:before="40" w:line="460" w:lineRule="exact"/>
      <w:ind w:firstLine="420" w:firstLineChars="200"/>
    </w:pPr>
    <w:rPr>
      <w:color w:val="000000"/>
    </w:rPr>
  </w:style>
  <w:style w:type="paragraph" w:customStyle="1" w:styleId="41">
    <w:name w:val="Revision"/>
    <w:hidden/>
    <w:semiHidden/>
    <w:qFormat/>
    <w:uiPriority w:val="99"/>
    <w:rPr>
      <w:rFonts w:ascii="Calibri" w:hAnsi="Calibri" w:eastAsia="宋体" w:cs="Times New Roman"/>
      <w:kern w:val="2"/>
      <w:sz w:val="21"/>
      <w:szCs w:val="22"/>
      <w:lang w:val="en-US" w:eastAsia="zh-CN" w:bidi="ar-SA"/>
    </w:rPr>
  </w:style>
  <w:style w:type="paragraph" w:customStyle="1" w:styleId="42">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D7D1-F603-4890-881D-5C416D56D30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2208</Words>
  <Characters>12591</Characters>
  <Lines>104</Lines>
  <Paragraphs>29</Paragraphs>
  <TotalTime>0</TotalTime>
  <ScaleCrop>false</ScaleCrop>
  <LinksUpToDate>false</LinksUpToDate>
  <CharactersWithSpaces>14770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2019-09-25T02:43:00Z</dcterms:created>
  <dc:creator>ASUS</dc:creator>
  <cp:lastModifiedBy>Administrator</cp:lastModifiedBy>
  <dcterms:modified xsi:type="dcterms:W3CDTF">2023-09-13T06:16:38Z</dcterms:modified>
  <dc:title>北碚区安全生产专项资金项目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261C6D16876B44BC8A91297C09D05042</vt:lpwstr>
  </property>
</Properties>
</file>