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_GBK" w:hAnsi="宋体"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_GBK" w:hAnsi="宋体"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eastAsia" w:eastAsia="方正小标宋_GBK"/>
          <w:sz w:val="44"/>
          <w:szCs w:val="44"/>
          <w:lang w:val="en-US" w:eastAsia="zh-CN"/>
        </w:rPr>
      </w:pPr>
      <w:r>
        <w:rPr>
          <w:rFonts w:hint="eastAsia" w:eastAsia="方正小标宋_GBK"/>
          <w:sz w:val="44"/>
          <w:szCs w:val="44"/>
          <w:lang w:val="en-US" w:eastAsia="zh-CN"/>
        </w:rPr>
        <w:t>重庆市北碚区人民政府</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eastAsia" w:eastAsia="方正小标宋_GBK"/>
          <w:sz w:val="44"/>
          <w:szCs w:val="44"/>
        </w:rPr>
      </w:pPr>
      <w:r>
        <w:rPr>
          <w:rFonts w:hint="eastAsia" w:eastAsia="方正小标宋_GBK"/>
          <w:sz w:val="44"/>
          <w:szCs w:val="44"/>
          <w:lang w:eastAsia="zh-CN"/>
        </w:rPr>
        <w:t>关于印发《</w:t>
      </w:r>
      <w:r>
        <w:rPr>
          <w:rFonts w:hint="eastAsia" w:eastAsia="方正小标宋_GBK"/>
          <w:sz w:val="44"/>
          <w:szCs w:val="44"/>
        </w:rPr>
        <w:t>重庆市北碚区政府投资</w:t>
      </w:r>
      <w:bookmarkStart w:id="0" w:name="_GoBack"/>
      <w:bookmarkEnd w:id="0"/>
      <w:r>
        <w:rPr>
          <w:rFonts w:hint="eastAsia" w:eastAsia="方正小标宋_GBK"/>
          <w:sz w:val="44"/>
          <w:szCs w:val="44"/>
        </w:rPr>
        <w:t>管理</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eastAsia="方正小标宋_GBK"/>
          <w:sz w:val="44"/>
          <w:szCs w:val="44"/>
          <w:lang w:eastAsia="zh-CN"/>
        </w:rPr>
      </w:pPr>
      <w:r>
        <w:rPr>
          <w:rFonts w:hint="eastAsia" w:eastAsia="方正小标宋_GBK"/>
          <w:sz w:val="44"/>
          <w:szCs w:val="44"/>
        </w:rPr>
        <w:t>实施细则</w:t>
      </w:r>
      <w:r>
        <w:rPr>
          <w:rFonts w:hint="eastAsia" w:eastAsia="方正小标宋_GBK"/>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rPr>
        <w:t>北碚府发〔20</w:t>
      </w:r>
      <w:r>
        <w:rPr>
          <w:rFonts w:hint="default" w:ascii="Times New Roman" w:hAnsi="Times New Roman" w:eastAsia="方正仿宋_GBK" w:cs="Times New Roman"/>
          <w:color w:val="auto"/>
          <w:sz w:val="32"/>
          <w:szCs w:val="32"/>
          <w:lang w:val="en-US" w:eastAsia="zh-CN"/>
        </w:rPr>
        <w:t>2</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w:t>
      </w:r>
      <w:r>
        <w:rPr>
          <w:rFonts w:hint="eastAsia" w:ascii="Times New Roman" w:hAnsi="Times New Roman" w:cs="Times New Roman"/>
          <w:color w:val="auto"/>
          <w:sz w:val="32"/>
          <w:szCs w:val="32"/>
          <w:lang w:val="en-US" w:eastAsia="zh-CN"/>
        </w:rPr>
        <w:t>21</w:t>
      </w:r>
      <w:r>
        <w:rPr>
          <w:rFonts w:hint="default" w:ascii="Times New Roman" w:hAnsi="Times New Roman" w:eastAsia="方正仿宋_GBK" w:cs="Times New Roman"/>
          <w:color w:val="auto"/>
          <w:sz w:val="32"/>
          <w:szCs w:val="32"/>
        </w:rPr>
        <w:t>号</w:t>
      </w:r>
    </w:p>
    <w:p>
      <w:pPr>
        <w:pStyle w:val="5"/>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方正仿宋_GBK" w:hAnsi="方正仿宋_GBK" w:eastAsia="方正仿宋_GBK" w:cs="方正仿宋_GBK"/>
          <w:b w:val="0"/>
          <w:bCs w:val="0"/>
          <w:w w:val="95"/>
          <w:sz w:val="32"/>
          <w:szCs w:val="32"/>
        </w:rPr>
      </w:pPr>
      <w:r>
        <w:rPr>
          <w:rFonts w:hint="eastAsia" w:ascii="方正仿宋_GBK" w:hAnsi="方正仿宋_GBK" w:eastAsia="方正仿宋_GBK" w:cs="方正仿宋_GBK"/>
          <w:b w:val="0"/>
          <w:bCs w:val="0"/>
          <w:w w:val="95"/>
          <w:sz w:val="32"/>
          <w:szCs w:val="32"/>
        </w:rPr>
        <w:t>各街道办事处、镇人民政府，区政府各部门，各园城管委会，各在碚市属部门，有关单位：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left"/>
        <w:textAlignment w:val="auto"/>
        <w:outlineLvl w:val="9"/>
        <w:rPr>
          <w:rFonts w:hint="eastAsia" w:ascii="方正仿宋_GBK" w:hAnsi="方正仿宋_GBK" w:eastAsia="方正仿宋_GBK" w:cs="方正仿宋_GBK"/>
          <w:b w:val="0"/>
          <w:bCs w:val="0"/>
          <w:w w:val="95"/>
          <w:sz w:val="32"/>
          <w:szCs w:val="32"/>
          <w:lang w:eastAsia="zh-CN"/>
        </w:rPr>
      </w:pPr>
      <w:r>
        <w:rPr>
          <w:rFonts w:hint="eastAsia" w:ascii="方正仿宋_GBK" w:hAnsi="方正仿宋_GBK" w:eastAsia="方正仿宋_GBK" w:cs="方正仿宋_GBK"/>
          <w:b w:val="0"/>
          <w:bCs w:val="0"/>
          <w:w w:val="95"/>
          <w:sz w:val="32"/>
          <w:szCs w:val="32"/>
        </w:rPr>
        <w:t>现将《重庆市北碚区政府投资管理实施细则》印发给你们，请认真贯彻执行</w:t>
      </w:r>
      <w:r>
        <w:rPr>
          <w:rFonts w:hint="eastAsia" w:ascii="方正仿宋_GBK" w:hAnsi="方正仿宋_GBK" w:eastAsia="方正仿宋_GBK" w:cs="方正仿宋_GBK"/>
          <w:b w:val="0"/>
          <w:bCs w:val="0"/>
          <w:w w:val="95"/>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left"/>
        <w:textAlignment w:val="auto"/>
        <w:outlineLvl w:val="9"/>
        <w:rPr>
          <w:rFonts w:hint="eastAsia" w:ascii="方正仿宋_GBK" w:hAnsi="方正仿宋_GBK" w:eastAsia="方正仿宋_GBK" w:cs="方正仿宋_GBK"/>
          <w:b w:val="0"/>
          <w:bCs w:val="0"/>
          <w:w w:val="95"/>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left"/>
        <w:textAlignment w:val="auto"/>
        <w:outlineLvl w:val="9"/>
        <w:rPr>
          <w:rFonts w:hint="eastAsia" w:ascii="方正仿宋_GBK" w:hAnsi="方正仿宋_GBK" w:eastAsia="方正仿宋_GBK" w:cs="方正仿宋_GBK"/>
          <w:b w:val="0"/>
          <w:bCs w:val="0"/>
          <w:w w:val="95"/>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 w:firstLineChars="200"/>
        <w:jc w:val="left"/>
        <w:textAlignment w:val="auto"/>
        <w:outlineLvl w:val="9"/>
        <w:rPr>
          <w:rFonts w:hint="eastAsia" w:ascii="方正仿宋_GBK" w:hAnsi="方正仿宋_GBK" w:eastAsia="方正仿宋_GBK" w:cs="方正仿宋_GBK"/>
          <w:b w:val="0"/>
          <w:bCs w:val="0"/>
          <w:w w:val="95"/>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5168" w:firstLineChars="1700"/>
        <w:jc w:val="left"/>
        <w:textAlignment w:val="auto"/>
        <w:outlineLvl w:val="9"/>
        <w:rPr>
          <w:rFonts w:hint="default" w:ascii="方正仿宋_GBK" w:hAnsi="方正仿宋_GBK" w:eastAsia="方正仿宋_GBK" w:cs="方正仿宋_GBK"/>
          <w:b w:val="0"/>
          <w:bCs w:val="0"/>
          <w:w w:val="95"/>
          <w:sz w:val="32"/>
          <w:szCs w:val="32"/>
          <w:lang w:val="en-US" w:eastAsia="zh-CN"/>
        </w:rPr>
      </w:pPr>
      <w:r>
        <w:rPr>
          <w:rFonts w:hint="eastAsia" w:ascii="方正仿宋_GBK" w:hAnsi="方正仿宋_GBK" w:eastAsia="方正仿宋_GBK" w:cs="方正仿宋_GBK"/>
          <w:b w:val="0"/>
          <w:bCs w:val="0"/>
          <w:w w:val="95"/>
          <w:sz w:val="32"/>
          <w:szCs w:val="32"/>
        </w:rPr>
        <w:t>重庆市北碚区人民政府</w:t>
      </w:r>
      <w:r>
        <w:rPr>
          <w:rFonts w:hint="eastAsia" w:ascii="方正仿宋_GBK" w:hAnsi="方正仿宋_GBK" w:eastAsia="方正仿宋_GBK" w:cs="方正仿宋_GBK"/>
          <w:b w:val="0"/>
          <w:bCs w:val="0"/>
          <w:w w:val="95"/>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472" w:firstLineChars="1800"/>
        <w:jc w:val="left"/>
        <w:textAlignment w:val="auto"/>
        <w:outlineLvl w:val="9"/>
        <w:rPr>
          <w:rFonts w:hint="eastAsia" w:ascii="方正仿宋_GBK" w:hAnsi="方正仿宋_GBK" w:eastAsia="方正仿宋_GBK" w:cs="方正仿宋_GBK"/>
          <w:b w:val="0"/>
          <w:bCs w:val="0"/>
          <w:w w:val="95"/>
          <w:sz w:val="32"/>
          <w:szCs w:val="32"/>
        </w:rPr>
      </w:pPr>
      <w:r>
        <w:rPr>
          <w:rFonts w:hint="eastAsia" w:ascii="方正仿宋_GBK" w:hAnsi="方正仿宋_GBK" w:eastAsia="方正仿宋_GBK" w:cs="方正仿宋_GBK"/>
          <w:b w:val="0"/>
          <w:bCs w:val="0"/>
          <w:w w:val="95"/>
          <w:sz w:val="32"/>
          <w:szCs w:val="32"/>
        </w:rPr>
        <w:t>2021年4月23日</w:t>
      </w:r>
    </w:p>
    <w:p>
      <w:pPr>
        <w:pStyle w:val="2"/>
        <w:rPr>
          <w:rFonts w:hint="eastAsia"/>
        </w:rPr>
      </w:pPr>
    </w:p>
    <w:p>
      <w:pPr>
        <w:keepNext w:val="0"/>
        <w:keepLines w:val="0"/>
        <w:pageBreakBefore w:val="0"/>
        <w:widowControl w:val="0"/>
        <w:kinsoku/>
        <w:wordWrap/>
        <w:overflowPunct/>
        <w:topLinePunct w:val="0"/>
        <w:autoSpaceDE/>
        <w:autoSpaceDN/>
        <w:bidi w:val="0"/>
        <w:snapToGrid/>
        <w:spacing w:line="600"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val="0"/>
          <w:sz w:val="32"/>
          <w:szCs w:val="32"/>
        </w:rPr>
      </w:pPr>
    </w:p>
    <w:p>
      <w:pPr>
        <w:keepNext w:val="0"/>
        <w:keepLines w:val="0"/>
        <w:pageBreakBefore w:val="0"/>
        <w:widowControl w:val="0"/>
        <w:kinsoku/>
        <w:wordWrap/>
        <w:overflowPunct/>
        <w:topLinePunct w:val="0"/>
        <w:autoSpaceDE/>
        <w:autoSpaceDN/>
        <w:bidi w:val="0"/>
        <w:snapToGrid/>
        <w:spacing w:line="600"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val="0"/>
          <w:sz w:val="32"/>
          <w:szCs w:val="32"/>
        </w:rPr>
      </w:pPr>
    </w:p>
    <w:p>
      <w:pPr>
        <w:keepNext w:val="0"/>
        <w:keepLines w:val="0"/>
        <w:pageBreakBefore w:val="0"/>
        <w:widowControl w:val="0"/>
        <w:kinsoku/>
        <w:wordWrap/>
        <w:overflowPunct/>
        <w:topLinePunct w:val="0"/>
        <w:autoSpaceDE/>
        <w:autoSpaceDN/>
        <w:bidi w:val="0"/>
        <w:snapToGrid/>
        <w:spacing w:line="600"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val="0"/>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重庆市北碚区政府投资管理实施细则</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方正楷体_GBK" w:cs="Times New Roman"/>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第一章  总则</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方正黑体_GBK" w:cs="方正黑体_GBK"/>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第一条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为充分发挥政府投资作用，提高政府投资效益，规范政府投资行为，加强政府投资管理，激发社会投资活力，根据《政府投资条例》《重庆市政府投资管理办法》等法律、法规，以及市委、市政府关于深化投融资体制改革的相关文件精神，结合我区实际，制定本实施细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第二条 </w:t>
      </w:r>
      <w:r>
        <w:rPr>
          <w:rFonts w:hint="eastAsia" w:ascii="Times New Roman" w:hAnsi="Times New Roman" w:eastAsia="方正黑体_GBK" w:cs="Times New Roman"/>
          <w:sz w:val="32"/>
          <w:szCs w:val="32"/>
          <w:lang w:val="en-US" w:eastAsia="zh-CN"/>
        </w:rPr>
        <w:t xml:space="preserve"> </w:t>
      </w:r>
      <w:r>
        <w:rPr>
          <w:rFonts w:hint="eastAsia" w:ascii="方正仿宋_GBK" w:hAnsi="方正仿宋_GBK" w:eastAsia="方正仿宋_GBK" w:cs="方正仿宋_GBK"/>
          <w:sz w:val="32"/>
          <w:szCs w:val="32"/>
        </w:rPr>
        <w:t>本区行政区域内使用区级预算安排的资金进行政府投资及其相关管理活动，适用本实施细则。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kern w:val="0"/>
          <w:sz w:val="32"/>
          <w:szCs w:val="32"/>
        </w:rPr>
      </w:pPr>
      <w:r>
        <w:rPr>
          <w:rFonts w:hint="eastAsia" w:ascii="Times New Roman" w:hAnsi="Times New Roman" w:eastAsia="方正黑体_GBK" w:cs="Times New Roman"/>
          <w:sz w:val="32"/>
          <w:szCs w:val="32"/>
        </w:rPr>
        <w:t xml:space="preserve">第三条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方正仿宋_GBK"/>
          <w:kern w:val="0"/>
          <w:sz w:val="32"/>
          <w:szCs w:val="32"/>
        </w:rPr>
        <w:t>政府投资资金应当投向市场不能有效配置资源的社会公益服务、公共基础设施、农业农村、生态环境保护、重大科技进步、社会管理、国家安全等公共领域的项目，以非经营性项目为主。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第四条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政府投资应当遵循科学决策、规范管理、注重绩效、统筹平衡、公开透明的原则。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第五条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政府投资应当与我区经济社会发展水平和财政收支状况相适应。</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highlight w:val="none"/>
        </w:rPr>
        <w:t>加强政府投资资金的预算约束。</w:t>
      </w:r>
      <w:r>
        <w:rPr>
          <w:rFonts w:hint="eastAsia" w:ascii="Times New Roman" w:hAnsi="Times New Roman" w:eastAsia="方正仿宋_GBK" w:cs="Times New Roman"/>
          <w:sz w:val="32"/>
          <w:szCs w:val="32"/>
        </w:rPr>
        <w:t>政府及其有关部门不得违法违规举借债务筹措政府投资资金。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第六条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政府投资资金按照项目安排，以直接投资方式为主；对确需支持的经营性项目，主要采取资本金注入方式，也可以适当采取投资补助、贷款贴息等方式。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安排政府投资资金，应当符合推进财政事权和支出责任划分</w:t>
      </w:r>
      <w:r>
        <w:rPr>
          <w:rFonts w:hint="eastAsia" w:ascii="Times New Roman" w:hAnsi="Times New Roman" w:eastAsia="方正仿宋_GBK" w:cs="方正仿宋_GBK"/>
          <w:spacing w:val="-6"/>
          <w:sz w:val="32"/>
          <w:szCs w:val="32"/>
        </w:rPr>
        <w:t>改革的有关要求，并平等对待各类投资主体，不得设置歧视性条件。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黑体_GBK" w:cs="Times New Roman"/>
          <w:sz w:val="32"/>
          <w:szCs w:val="32"/>
        </w:rPr>
        <w:t xml:space="preserve">第七条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方正仿宋_GBK"/>
          <w:sz w:val="32"/>
          <w:szCs w:val="32"/>
        </w:rPr>
        <w:t>政府采取直接投资方式、资本金注入方式投资的项目（以下统称政府投资项目）实行项目法人责任制、招标投标制、工程监理制、合同管理制等管理制度。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本区通过编制五年政府投资项目储备库、政府投资项目三年滚动规划等政府投资项目规划，加强对使用政府投资资金项目的储备。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黑体_GBK" w:cs="Times New Roman"/>
          <w:sz w:val="32"/>
          <w:szCs w:val="32"/>
        </w:rPr>
        <w:t xml:space="preserve">第八条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方正仿宋_GBK"/>
          <w:sz w:val="32"/>
          <w:szCs w:val="32"/>
        </w:rPr>
        <w:t>区政府应当加强对政府投资工作的领导，建立重大项目调度联席会议制度，协调解决重大问题。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发展改革部门履行政府投资主管部门职责，负责政府投资项目规划和政府投资年度计划的编制、组织实施、协调监督等综合管理工作，按照规定权限审批核定政府投资项目。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规划自然资源、生态环境、住房城乡建设、城市管理、交通、水利、农业农村、文化旅游、卫生健康、能源等行业主管部门在各自职责范围内依法做好政府投资管理相关工作。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财政部门负责政府投资资金来源审核和预算安排，办理资金拨付，依法开展预算检查、项目结（决）算，对相关财务活动进行监督管理；审计机关负责对政府投资项目实施审计监督。</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第二章  政府投资决策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第九条</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区政府应当根据国民经济和社会发展规划、中期财政规划和国家宏观调控政策，结合财政收支状况，统筹安排使用政府投资资金的项目，规范使用各类政府投资资金。</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方正仿宋_GBK" w:cs="方正仿宋_GBK"/>
          <w:kern w:val="0"/>
          <w:sz w:val="32"/>
          <w:szCs w:val="32"/>
        </w:rPr>
      </w:pPr>
      <w:r>
        <w:rPr>
          <w:rFonts w:hint="eastAsia" w:ascii="Times New Roman" w:hAnsi="Times New Roman" w:eastAsia="方正黑体_GBK" w:cs="Times New Roman"/>
          <w:sz w:val="32"/>
          <w:szCs w:val="32"/>
        </w:rPr>
        <w:t>第十条</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方正仿宋_GBK"/>
          <w:kern w:val="0"/>
          <w:sz w:val="32"/>
          <w:szCs w:val="32"/>
        </w:rPr>
        <w:t>各行业主管部门、园城管委会根据国民经济和社会发展规划或者经批准的专项规划，编制政府投资项目建议储备名单。</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发展改革部门根据政府投资项目建议储备名单，统筹编制五年政府投资项目储备库。</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第十一条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各行业主管部门、园城管委会根据五年政府投资项目储备库，每年滚动编制本行业、本区域政府投资项目三年建议规划。</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发展改革部门在汇总政府投资项目三年建议规划基础上统筹编制政府投资项目三年滚动规划，报区政府批准后执行。</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国家、市级安排部署或者区政府依法决策新增的项目，可以直接纳入政府投资项目三年滚动规划。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第十二条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规划自然资源、生态环境等部门应当对列入政府投资项目三年滚动规划的项目涉及的国土空间规划、建设用地、环境准入等建设条件进行核实，并将核实结果报送发展改革部门和有关行业主管部门。</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第十三条</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政府投资项目的项目单位应当编制项目建议书、可行性研究报告、初步设计，按照政府投资管理权限和规定的程序，报有关部门审批。</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项目单位应当加强政府投资项目的前期工作，保证前期工作的深度达到规定的要求，并对项目建议书、可行性研究报告、初步设计以及依法应当附具的其他文件的真实性负责。</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项目建设实际情况和工作需要，对已经纳入五年政府投资项目储备库或者政府投资项目三年滚动规划的项目，发展改革部门会同财政部门安排项目前期工作经费，具体按照《重庆市北碚区重点项目前期工作专项经费管理办法》相关规定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第十四条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项目建议书应当初步分析项目建设的必要性和依据、拟建地点、拟建规模、资金筹措以及经济效益和社会效益等。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发展改革部门应当对项目建议书提出的项目建设的必要性进行审查，作出是否批准的决定。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第十五条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可行性研究报告应当全面分析论证项目的技术经济可行性、社会效益、节能、资源综合利用、生态环境影响、社会稳定风险等，达到上级规定的深度，提出投资估算并对项目资金等主要建设条件的落实情况作出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发展改革部门应当对可行性研究报告分析的主要建设条件的落实情况进行审查，作出是否批准的决定。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第十六条</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初步设计应当明确项目的主要材料、设备规格、技术参数和投资概算等，达到规定的深度要求，且符合可行性研究报告批复内容或经审批的规划。初步设计提出的投资概算应当包括工程费用、工程建设其他费用、预备费等项目建设所需的全部费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住房城乡建设、交通、水利等部门按照职责分工对初步设计是否符合可行性研究报告批复内容或经审批的规划，以及有关建设标准、规范、政策规定进行审查，作出是否批准的决定；发展改革部门会同财政部门对初步设计提出的投资概算进行核定，作出投资概算批复。初步设计和投资概算应当同步办理、并联审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FF0000"/>
          <w:sz w:val="32"/>
          <w:szCs w:val="32"/>
        </w:rPr>
      </w:pPr>
      <w:r>
        <w:rPr>
          <w:rFonts w:hint="eastAsia" w:ascii="Times New Roman" w:hAnsi="Times New Roman" w:eastAsia="方正仿宋_GBK" w:cs="Times New Roman"/>
          <w:sz w:val="32"/>
          <w:szCs w:val="32"/>
        </w:rPr>
        <w:t>投资概算核定后，项目施工图实行限额设计，不再进行项目预算评审，由项目单位自行委托具备相应资质的咨询机构，依据行业定额及编制规则编制工程量清单，合理确定招标限价。采取EPC模式或综合评标法进行招投标的项目、PPP模式进行建设的项目以及财政部门规定应当纳入监督管理的项目除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第十七条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对政府投资项目不予批准的，应当书面通知项目单位并说明理由。</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审查项目建议书、可行性研究报告、初步设计和核定投资概算可以委托专业机构开展评估。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Times New Roman"/>
          <w:sz w:val="32"/>
          <w:szCs w:val="32"/>
        </w:rPr>
      </w:pPr>
      <w:r>
        <w:rPr>
          <w:rFonts w:hint="eastAsia" w:ascii="Times New Roman" w:hAnsi="Times New Roman" w:eastAsia="方正仿宋_GBK" w:cs="Times New Roman"/>
          <w:sz w:val="32"/>
          <w:szCs w:val="32"/>
        </w:rPr>
        <w:t>对经济社会发展、社会公众利益有重大影响或者投资规模较大的政府投资项目，发展改革部门和住房城乡建设、交通、水利等部门应当在中介服务机构评估、公众参与、专家评议、风险评估的基础上作出是否批准的决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第十八条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经核定的投资概算是控制政府投资项目总投资的依据。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初步设计提出的投资概算超过经批准的可行性研究报告提出的投资估算10%的，项目单位应当向发展改革部门报告，发展改革部门可以要求项目单位重新报送可行性研究报告。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第十九条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对符合以下条件的项目，可简化部分审批程序：</w:t>
      </w:r>
    </w:p>
    <w:p>
      <w:pPr>
        <w:keepNext w:val="0"/>
        <w:keepLines w:val="0"/>
        <w:pageBreakBefore w:val="0"/>
        <w:kinsoku/>
        <w:wordWrap/>
        <w:overflowPunct/>
        <w:topLinePunct w:val="0"/>
        <w:autoSpaceDE/>
        <w:autoSpaceDN/>
        <w:bidi w:val="0"/>
        <w:adjustRightInd/>
        <w:snapToGrid/>
        <w:spacing w:line="600" w:lineRule="exact"/>
        <w:ind w:left="64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（一）项目建议书审批程序简化</w:t>
      </w:r>
      <w:r>
        <w:rPr>
          <w:rFonts w:hint="eastAsia"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对总投资估算100万元（不含）以下的项目，可不审批项目建议书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确有立项需求</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，可视情审批项目建议书</w:t>
      </w:r>
      <w:r>
        <w:rPr>
          <w:rFonts w:ascii="Times New Roman" w:hAnsi="Times New Roman" w:eastAsia="方正黑体_GBK"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对纳入各级行业发展规划、建设规划、三年滚动规划</w:t>
      </w:r>
      <w:r>
        <w:rPr>
          <w:rFonts w:hint="eastAsia" w:ascii="Times New Roman" w:hAnsi="Times New Roman" w:eastAsia="方正仿宋_GBK" w:cs="Times New Roman"/>
          <w:sz w:val="32"/>
          <w:szCs w:val="32"/>
        </w:rPr>
        <w:t>、年度计划和</w:t>
      </w:r>
      <w:r>
        <w:rPr>
          <w:rFonts w:ascii="Times New Roman" w:hAnsi="Times New Roman" w:eastAsia="方正仿宋_GBK" w:cs="Times New Roman"/>
          <w:sz w:val="32"/>
          <w:szCs w:val="32"/>
        </w:rPr>
        <w:t>政府工作报告、国民经济和社会发展计划报告，且按规定需审批可行性研究报告的项目，可以不再编制及审批项目建议书，直接编制及审批项目可行性研究报告。</w:t>
      </w:r>
    </w:p>
    <w:p>
      <w:pPr>
        <w:keepNext w:val="0"/>
        <w:keepLines w:val="0"/>
        <w:pageBreakBefore w:val="0"/>
        <w:kinsoku/>
        <w:wordWrap/>
        <w:overflowPunct/>
        <w:topLinePunct w:val="0"/>
        <w:autoSpaceDE/>
        <w:autoSpaceDN/>
        <w:bidi w:val="0"/>
        <w:adjustRightInd/>
        <w:snapToGrid/>
        <w:spacing w:line="600" w:lineRule="exact"/>
        <w:ind w:left="64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（二）可行性研究报告审批程序简化</w:t>
      </w:r>
      <w:r>
        <w:rPr>
          <w:rFonts w:hint="eastAsia"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对总投资估算100万元（含）–400万元（不含）的项目，只审批项目建议书，不再审批可行性研究报告。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（三）概算审查程序简化</w:t>
      </w:r>
      <w:r>
        <w:rPr>
          <w:rFonts w:hint="eastAsia"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对总投资估算1000万元（不含）以下的部分改（扩）建及建设内容单一、技术方案简单的项目，以及总投资估算400万元（不含）以下的其他所有项目，按照项目建议书或可行性研究报告批复的投资总额组织实施，可不再单独审查项目投资概算。</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前款所列项目的具体范围按照国家、市级有关规定执行。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（四）抢险救灾项目审批程序简化</w:t>
      </w:r>
      <w:r>
        <w:rPr>
          <w:rFonts w:hint="eastAsia"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为应对自然灾害、事故灾难、公共卫生事件、社会安全事件等突发事件，经认定机构认定为需要紧急建设的政府投资项目，可以按照有关规定简化需要报批的文件和审批程序。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（五）其他情况</w:t>
      </w:r>
      <w:r>
        <w:rPr>
          <w:rFonts w:hint="eastAsia"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国家、市级对简化审批程序另有规定的，从其规定。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第二十条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除涉及国家秘密的项目外，发展改革部门和各行业主管部门应当通过投资项目在线审批监管平台（以下简称在线平台），使用在线平台生成的项目代码办理政府投资项目审批手续，开展政府投资项目规划、政府投资年度计划编制和政府投资项目调度监管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发展改革部门和各行业主管部门应当通过在线平台列明与政府投资有关的规划、产业政策等，公开政府投资项目审批的办理流程、办理时限等，并为项目单位提供相关咨询服务。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黑体_GBK" w:cs="Times New Roman"/>
          <w:sz w:val="32"/>
          <w:szCs w:val="32"/>
        </w:rPr>
        <w:t xml:space="preserve">第二十一条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使用市级及以上政府投资资金，且以直接投资或者资本金注入方式投入的项目，项目建议书、可行性研究报告和投资概算报市发展改革部门审批、核定或者转报，</w:t>
      </w:r>
      <w:r>
        <w:rPr>
          <w:rFonts w:hint="eastAsia" w:ascii="Times New Roman" w:hAnsi="Times New Roman" w:eastAsia="方正仿宋_GBK" w:cs="方正仿宋_GBK"/>
          <w:sz w:val="32"/>
          <w:szCs w:val="32"/>
        </w:rPr>
        <w:t>初步设计按照相关规定审批。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其他政府投资项目由区级相关部门按照本实施细则规定的权限审批。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国家、市级对审批权限另有规定的，从其规定。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第二十二条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国家和市级给予区财政支持的政府投资项目，由项目单位向发展改革部门报送资金申请报告，发展改革部门报送市发展改革部门审批或者转报。国家另有规定的，从其规定。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第二十三条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采取投资补助、贷款贴息等方式安排政府投资资金的，项目单位应当按照国家有关规定办理手续。</w:t>
      </w:r>
    </w:p>
    <w:p>
      <w:pPr>
        <w:keepNext w:val="0"/>
        <w:keepLines w:val="0"/>
        <w:pageBreakBefore w:val="0"/>
        <w:widowControl w:val="0"/>
        <w:kinsoku/>
        <w:wordWrap/>
        <w:overflowPunct/>
        <w:topLinePunct w:val="0"/>
        <w:autoSpaceDE/>
        <w:autoSpaceDN/>
        <w:bidi w:val="0"/>
        <w:adjustRightInd/>
        <w:snapToGrid/>
        <w:spacing w:after="0" w:line="600" w:lineRule="exact"/>
        <w:jc w:val="both"/>
        <w:textAlignment w:val="auto"/>
        <w:rPr>
          <w:rFonts w:ascii="Times New Roman" w:hAnsi="Times New Roman" w:eastAsia="方正仿宋_GBK"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第三章  政府投资年度计划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第二十四条</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发展改革部门会同财政部门根据政府投资项目规划、年度工作任务，结合财政收支状况编制政府投资年度计划。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政府投资年度计划应当明确项目名称、建设内容及规模、建设工期、项目总投资、年度投资额及资金来源等事项。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pacing w:val="-11"/>
          <w:sz w:val="32"/>
          <w:szCs w:val="32"/>
        </w:rPr>
      </w:pPr>
      <w:r>
        <w:rPr>
          <w:rFonts w:hint="eastAsia" w:ascii="Times New Roman" w:hAnsi="Times New Roman" w:eastAsia="方正黑体_GBK" w:cs="Times New Roman"/>
          <w:sz w:val="32"/>
          <w:szCs w:val="32"/>
        </w:rPr>
        <w:t xml:space="preserve">第二十五条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pacing w:val="-11"/>
          <w:sz w:val="32"/>
          <w:szCs w:val="32"/>
        </w:rPr>
        <w:t>列入政府投资年度计划的项目应当符合下列条件：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（一）采取直接投资方式、资本金注入方式的，原则上可行性研究报告已经批准或者投资概算已经核定，或预计当年内可实现开工建设；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（二）采取投资补助、贷款贴息等方式的，已经按照国家、市级有关规定办理手续；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（三）区政府规定的其他条件。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第二十六条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政府投资年度计划按照下列规定编制：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（一）各行业主管部门、园城管委会按照规定向发展改革部门报送下一年度政府投资年度计划建议；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（二）发展改革部门统筹研究各行业主管部门、园城管委会报送的计划建议，与财政年度预算衔接平衡后，会同财政部门拟订政府投资年度计划草案；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（三）政府投资年度计划草案由发展改革部门会同财政部门报同级人民政府审定；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（四）政府投资年度计划经同级人民政府审定后，由发展改革部门会同财政部门联合下达。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第二十七条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各行业主管部门可以根据政府投资年度计划对项目单位分解下达项目建设计划。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第二十八条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政府投资年度计划应当严格执行，未经法定程序不得变更。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政府投资年度计划执行过程中确需调整的，发展改革部门应当组织拟订调整方案，报请区政府审定。涉及预算调整或者调剂的，依照有关预算的法律、行政法规和国家、市级有关规定办理。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第二十九条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政府投资年度计划下达后，发展改革部门负责计划执行的组织调度和评价，根据需要可以对重大政府投资项目实施组织协调、监督指导。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各行业主管部门负责本行业项目的督导推进，指导项目单位做好设计、征地拆迁、施工招标等开工准备工作，督促项目单位按照规定时间开工建设。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项目单位负责政府投资项目的实施，接受发展改革部门、各行业主管部门的监督指导。</w:t>
      </w:r>
    </w:p>
    <w:p>
      <w:pPr>
        <w:keepNext w:val="0"/>
        <w:keepLines w:val="0"/>
        <w:pageBreakBefore w:val="0"/>
        <w:kinsoku/>
        <w:wordWrap/>
        <w:overflowPunct/>
        <w:topLinePunct w:val="0"/>
        <w:autoSpaceDE/>
        <w:autoSpaceDN/>
        <w:bidi w:val="0"/>
        <w:adjustRightInd/>
        <w:snapToGrid/>
        <w:spacing w:line="600" w:lineRule="exact"/>
        <w:ind w:firstLine="63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第三十条</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对未纳入政府投资年度计划，但需新增启动建设程序的项目，应对项目必要性、紧迫性、可行性作评估论证，在取得行业主管部门同意，并报经发展改革和财政部门初步审核后，按照以下程序上报：</w:t>
      </w:r>
    </w:p>
    <w:p>
      <w:pPr>
        <w:keepNext w:val="0"/>
        <w:keepLines w:val="0"/>
        <w:pageBreakBefore w:val="0"/>
        <w:kinsoku/>
        <w:wordWrap/>
        <w:overflowPunct/>
        <w:topLinePunct w:val="0"/>
        <w:autoSpaceDE/>
        <w:autoSpaceDN/>
        <w:bidi w:val="0"/>
        <w:adjustRightInd/>
        <w:snapToGrid/>
        <w:spacing w:line="600" w:lineRule="exact"/>
        <w:ind w:firstLine="63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（一）总投资估算200万元（不含）以下的项目，由项目单位报分管区领导审核、常务副区长审批后启动建设手续报批；</w:t>
      </w:r>
    </w:p>
    <w:p>
      <w:pPr>
        <w:keepNext w:val="0"/>
        <w:keepLines w:val="0"/>
        <w:pageBreakBefore w:val="0"/>
        <w:kinsoku/>
        <w:wordWrap/>
        <w:overflowPunct/>
        <w:topLinePunct w:val="0"/>
        <w:autoSpaceDE/>
        <w:autoSpaceDN/>
        <w:bidi w:val="0"/>
        <w:adjustRightInd/>
        <w:snapToGrid/>
        <w:spacing w:line="600" w:lineRule="exact"/>
        <w:ind w:firstLine="63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（二）总投资估算在200万元（含）–500万元（不含）之间的项目，由项目单位报常务副区长审核、区长审批后启动建设手续报批；</w:t>
      </w:r>
    </w:p>
    <w:p>
      <w:pPr>
        <w:keepNext w:val="0"/>
        <w:keepLines w:val="0"/>
        <w:pageBreakBefore w:val="0"/>
        <w:kinsoku/>
        <w:wordWrap/>
        <w:overflowPunct/>
        <w:topLinePunct w:val="0"/>
        <w:autoSpaceDE/>
        <w:autoSpaceDN/>
        <w:bidi w:val="0"/>
        <w:adjustRightInd/>
        <w:snapToGrid/>
        <w:spacing w:line="600" w:lineRule="exact"/>
        <w:ind w:firstLine="63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（三）总投资估算在500万元（含）–1000万元（不含）之间的项目，由项目单位报区长办公会审议后启动建设手续报批；</w:t>
      </w:r>
    </w:p>
    <w:p>
      <w:pPr>
        <w:keepNext w:val="0"/>
        <w:keepLines w:val="0"/>
        <w:pageBreakBefore w:val="0"/>
        <w:kinsoku/>
        <w:wordWrap/>
        <w:overflowPunct/>
        <w:topLinePunct w:val="0"/>
        <w:autoSpaceDE/>
        <w:autoSpaceDN/>
        <w:bidi w:val="0"/>
        <w:adjustRightInd/>
        <w:snapToGrid/>
        <w:spacing w:line="600" w:lineRule="exact"/>
        <w:ind w:firstLine="63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（四）总投资估算1000万元及以上的项目，由项目单位报区政府常务会审议通过后启动建设手续报批</w:t>
      </w:r>
      <w:r>
        <w:rPr>
          <w:rFonts w:hint="eastAsia"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3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对资金来源为上级全额补助、无需区级财政配套的项目，直接启动建设手续报批。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pacing w:val="-6"/>
          <w:sz w:val="32"/>
          <w:szCs w:val="32"/>
        </w:rPr>
      </w:pPr>
      <w:r>
        <w:rPr>
          <w:rFonts w:hint="eastAsia" w:ascii="Times New Roman" w:hAnsi="Times New Roman" w:eastAsia="方正黑体_GBK" w:cs="Times New Roman"/>
          <w:sz w:val="32"/>
          <w:szCs w:val="32"/>
        </w:rPr>
        <w:t xml:space="preserve">第三十一条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财政部门应当根据经批准的预算，按照法律、行</w:t>
      </w:r>
      <w:r>
        <w:rPr>
          <w:rFonts w:hint="eastAsia" w:ascii="Times New Roman" w:hAnsi="Times New Roman" w:eastAsia="方正仿宋_GBK" w:cs="Times New Roman"/>
          <w:spacing w:val="-6"/>
          <w:sz w:val="32"/>
          <w:szCs w:val="32"/>
        </w:rPr>
        <w:t>政法规和国库管理的有关规定，及时、足额办理政府投资资金拨付。</w:t>
      </w:r>
    </w:p>
    <w:p>
      <w:pPr>
        <w:keepNext w:val="0"/>
        <w:keepLines w:val="0"/>
        <w:pageBreakBefore w:val="0"/>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ascii="Times New Roman" w:hAnsi="Times New Roman" w:eastAsia="方正黑体_GBK" w:cs="Times New Roman"/>
          <w:bCs/>
          <w:kern w:val="0"/>
          <w:sz w:val="32"/>
          <w:szCs w:val="32"/>
          <w:lang w:val="en-US" w:eastAsia="zh-CN" w:bidi="ar"/>
        </w:rPr>
      </w:pPr>
      <w:r>
        <w:rPr>
          <w:rFonts w:hint="eastAsia" w:ascii="Times New Roman" w:hAnsi="Times New Roman" w:eastAsia="方正黑体_GBK" w:cs="Times New Roman"/>
          <w:bCs/>
          <w:kern w:val="0"/>
          <w:sz w:val="32"/>
          <w:szCs w:val="32"/>
          <w:lang w:val="en-US" w:eastAsia="zh-CN" w:bidi="ar"/>
        </w:rPr>
        <w:t>第四章　政府投资项目实施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第三十二条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政府投资项目建设应当坚持估算控制概算、概算控制决算的原则，严格执行基本建设程序，按照批准的建设地点、建设规模和建设内容推进项目实施。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第三十三条</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方正黑体_GBK"/>
          <w:sz w:val="32"/>
          <w:szCs w:val="32"/>
        </w:rPr>
        <w:t>政府投资项目实行项目法人责任制，项目法人承担项目主体责任。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项目单位编制项目建议书或者可行性研究报告时，应当提出项目法人责任制实施方案，发展改革部门在审批项目建议书或者可行性研究报告时应当对项目法人予以明确。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第三十四条</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方正黑体_GBK"/>
          <w:sz w:val="32"/>
          <w:szCs w:val="32"/>
        </w:rPr>
        <w:t>项目单位为国家机关或者事业单位的公益性项目应当实施建设管理代理制，建设管理代理机构代行项目单位职责。具体操作细则按照《重庆市北碚区政府公益性项目代建制管理办法》相关规定执行。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第三十五条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方正黑体_GBK"/>
          <w:sz w:val="32"/>
          <w:szCs w:val="32"/>
        </w:rPr>
        <w:t>政府投资项目严格按照法律法规、国家以及全市有关规定实施工程建设招标投标管理和工程监理，提高政府投资项目经济社会效益，保证项目建设质量。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第三十六条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政府投资项目实行覆盖咨询、设计、招标、施工、监理等全过程的合同管理制度，各行业主管部门依法对合同的订立、履行、变更、转让、终止等进行监督管理。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第三十七条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政府投资项目开工建设，应当符合国家有关法律、行政法规规定的建设条件；不符合规定的建设条件的，不得开工建设。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国家规定应当审批开工报告的重大政府投资项目，按照规定办理开工报告审批手续后方可开工建设。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第三十八条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方正黑体_GBK"/>
          <w:sz w:val="32"/>
          <w:szCs w:val="32"/>
        </w:rPr>
        <w:t>重大政府投资项目推行投资决策、工程建设全过程咨询服务。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全过程工程咨询服务范围包括可行性研究、概算编制等投资决策综合性咨询和招标代理、勘察、设计、监理、造价、项目管理等工程建设全过程咨询等。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pacing w:val="-6"/>
          <w:sz w:val="32"/>
          <w:szCs w:val="32"/>
        </w:rPr>
      </w:pPr>
      <w:r>
        <w:rPr>
          <w:rFonts w:hint="eastAsia" w:ascii="Times New Roman" w:hAnsi="Times New Roman" w:eastAsia="方正仿宋_GBK" w:cs="Times New Roman"/>
          <w:sz w:val="32"/>
          <w:szCs w:val="32"/>
        </w:rPr>
        <w:t>鼓励重大政府投资项目单位委托第三方设计单位开展设计优</w:t>
      </w:r>
      <w:r>
        <w:rPr>
          <w:rFonts w:hint="eastAsia" w:ascii="Times New Roman" w:hAnsi="Times New Roman" w:eastAsia="方正仿宋_GBK" w:cs="Times New Roman"/>
          <w:spacing w:val="-6"/>
          <w:sz w:val="32"/>
          <w:szCs w:val="32"/>
        </w:rPr>
        <w:t>化评审。探索建立政府投资项目设计与投资控制结果挂钩奖惩机制。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第三十九条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方正黑体_GBK"/>
          <w:sz w:val="32"/>
          <w:szCs w:val="32"/>
        </w:rPr>
        <w:t>政府投资项目所需资金应当按照国家有关规定确保落实到位。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项目单位应当严格按照合同约定和法定结算程序开展资金结算，对具备条件的项目，财政资金应当采取国库集中支付方式办理支付。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政府投资项目不得由施工单位垫资建设。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第四十条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方正黑体_GBK"/>
          <w:sz w:val="32"/>
          <w:szCs w:val="32"/>
        </w:rPr>
        <w:t>政府投资项目应当按照批准的建设地点、建设规模和建设内容实施</w:t>
      </w:r>
      <w:r>
        <w:rPr>
          <w:rFonts w:hint="eastAsia" w:ascii="Times New Roman" w:hAnsi="Times New Roman" w:eastAsia="方正仿宋_GBK" w:cs="Times New Roman"/>
          <w:sz w:val="32"/>
          <w:szCs w:val="32"/>
        </w:rPr>
        <w:t>；拟变更建设地点或者拟对建设规模、建设内容等作较大变更的，应当按照规定的程序报原审批部门审批。</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第四十一条</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设计变更由项目单位书面提出变更申请（包括变更设计的项目名称、项目基本情况、设计变更类别、变更内容、变更理由、预估造价等）。</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单</w:t>
      </w:r>
      <w:r>
        <w:rPr>
          <w:rFonts w:ascii="Times New Roman" w:hAnsi="Times New Roman" w:eastAsia="方正仿宋_GBK" w:cs="Times New Roman"/>
          <w:sz w:val="32"/>
          <w:szCs w:val="32"/>
        </w:rPr>
        <w:t>项</w:t>
      </w:r>
      <w:r>
        <w:rPr>
          <w:rFonts w:hint="eastAsia" w:ascii="Times New Roman" w:hAnsi="Times New Roman" w:eastAsia="方正仿宋_GBK" w:cs="Times New Roman"/>
          <w:sz w:val="32"/>
          <w:szCs w:val="32"/>
        </w:rPr>
        <w:t>（单次）</w:t>
      </w:r>
      <w:r>
        <w:rPr>
          <w:rFonts w:ascii="Times New Roman" w:hAnsi="Times New Roman" w:eastAsia="方正仿宋_GBK" w:cs="Times New Roman"/>
          <w:sz w:val="32"/>
          <w:szCs w:val="32"/>
        </w:rPr>
        <w:t>设计变更预估造价超</w:t>
      </w:r>
      <w:r>
        <w:rPr>
          <w:rFonts w:hint="eastAsia" w:ascii="Times New Roman" w:hAnsi="Times New Roman" w:eastAsia="方正仿宋_GBK" w:cs="Times New Roman"/>
          <w:sz w:val="32"/>
          <w:szCs w:val="32"/>
        </w:rPr>
        <w:t>签约</w:t>
      </w:r>
      <w:r>
        <w:rPr>
          <w:rFonts w:ascii="Times New Roman" w:hAnsi="Times New Roman" w:eastAsia="方正仿宋_GBK" w:cs="Times New Roman"/>
          <w:sz w:val="32"/>
          <w:szCs w:val="32"/>
        </w:rPr>
        <w:t>合同价但未超概算的实行分级管理制度</w:t>
      </w:r>
      <w:r>
        <w:rPr>
          <w:rFonts w:hint="eastAsia" w:ascii="Times New Roman" w:hAnsi="Times New Roman" w:eastAsia="方正仿宋_GBK" w:cs="Times New Roman"/>
          <w:sz w:val="32"/>
          <w:szCs w:val="32"/>
        </w:rPr>
        <w:t>。</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w:t>
      </w:r>
      <w:r>
        <w:rPr>
          <w:rFonts w:ascii="Times New Roman" w:hAnsi="Times New Roman" w:eastAsia="方正仿宋_GBK" w:cs="Times New Roman"/>
          <w:sz w:val="32"/>
          <w:szCs w:val="32"/>
        </w:rPr>
        <w:t>单项（单次）设计变更增（减）工程预估造价超签约合同价</w:t>
      </w:r>
      <w:r>
        <w:rPr>
          <w:rFonts w:ascii="Times New Roman" w:hAnsi="Times New Roman" w:eastAsia="方正仿宋_GBK" w:cs="Times New Roman"/>
          <w:kern w:val="0"/>
          <w:sz w:val="32"/>
          <w:szCs w:val="32"/>
        </w:rPr>
        <w:t>比例在</w:t>
      </w:r>
      <w:r>
        <w:rPr>
          <w:rFonts w:hint="eastAsia" w:ascii="Times New Roman" w:hAnsi="Times New Roman" w:eastAsia="方正仿宋_GBK" w:cs="Times New Roman"/>
          <w:kern w:val="0"/>
          <w:sz w:val="32"/>
          <w:szCs w:val="32"/>
        </w:rPr>
        <w:t>2</w:t>
      </w:r>
      <w:r>
        <w:rPr>
          <w:rFonts w:ascii="Times New Roman" w:hAnsi="Times New Roman" w:eastAsia="方正仿宋_GBK" w:cs="Times New Roman"/>
          <w:kern w:val="0"/>
          <w:sz w:val="32"/>
          <w:szCs w:val="32"/>
        </w:rPr>
        <w:t>0%（不含）以内，</w:t>
      </w:r>
      <w:r>
        <w:rPr>
          <w:rFonts w:hint="eastAsia" w:ascii="Times New Roman" w:hAnsi="Times New Roman" w:eastAsia="方正仿宋_GBK" w:cs="Times New Roman"/>
          <w:kern w:val="0"/>
          <w:sz w:val="32"/>
          <w:szCs w:val="32"/>
        </w:rPr>
        <w:t>且</w:t>
      </w:r>
      <w:r>
        <w:rPr>
          <w:rFonts w:ascii="Times New Roman" w:hAnsi="Times New Roman" w:eastAsia="方正仿宋_GBK" w:cs="Times New Roman"/>
          <w:sz w:val="32"/>
          <w:szCs w:val="32"/>
        </w:rPr>
        <w:t>变更金额在</w:t>
      </w:r>
      <w:r>
        <w:rPr>
          <w:rFonts w:hint="eastAsia" w:ascii="Times New Roman" w:hAnsi="Times New Roman" w:eastAsia="方正仿宋_GBK" w:cs="Times New Roman"/>
          <w:sz w:val="32"/>
          <w:szCs w:val="32"/>
        </w:rPr>
        <w:t>10</w:t>
      </w:r>
      <w:r>
        <w:rPr>
          <w:rFonts w:ascii="Times New Roman" w:hAnsi="Times New Roman" w:eastAsia="方正仿宋_GBK" w:cs="Times New Roman"/>
          <w:sz w:val="32"/>
          <w:szCs w:val="32"/>
        </w:rPr>
        <w:t>0万元（不含）以下的，</w:t>
      </w:r>
      <w:r>
        <w:rPr>
          <w:rFonts w:hint="eastAsia" w:ascii="Times New Roman" w:hAnsi="Times New Roman" w:eastAsia="方正仿宋_GBK" w:cs="宋体"/>
          <w:kern w:val="0"/>
          <w:sz w:val="32"/>
          <w:szCs w:val="32"/>
        </w:rPr>
        <w:t>由项目单位依照法律法规和合同约定，会同设计单位、</w:t>
      </w:r>
      <w:r>
        <w:rPr>
          <w:rFonts w:hint="eastAsia" w:ascii="方正仿宋_GBK" w:hAnsi="Times New Roman" w:eastAsia="方正仿宋_GBK" w:cs="仿宋_GB2312"/>
          <w:kern w:val="0"/>
          <w:sz w:val="32"/>
          <w:szCs w:val="32"/>
        </w:rPr>
        <w:t>勘察单位、</w:t>
      </w:r>
      <w:r>
        <w:rPr>
          <w:rFonts w:hint="eastAsia" w:ascii="Times New Roman" w:hAnsi="Times New Roman" w:eastAsia="方正仿宋_GBK" w:cs="宋体"/>
          <w:kern w:val="0"/>
          <w:sz w:val="32"/>
          <w:szCs w:val="32"/>
        </w:rPr>
        <w:t>监理单位和施工单位等共同确认</w:t>
      </w:r>
      <w:r>
        <w:rPr>
          <w:rFonts w:hint="eastAsia" w:ascii="Times New Roman" w:hAnsi="Times New Roman" w:eastAsia="方正仿宋_GBK" w:cs="宋体"/>
          <w:kern w:val="0"/>
          <w:sz w:val="32"/>
          <w:szCs w:val="32"/>
          <w:lang w:eastAsia="zh-CN"/>
        </w:rPr>
        <w:t>，</w:t>
      </w:r>
      <w:r>
        <w:rPr>
          <w:rFonts w:hint="eastAsia" w:ascii="Times New Roman" w:hAnsi="Times New Roman" w:eastAsia="方正仿宋_GBK" w:cs="宋体"/>
          <w:kern w:val="0"/>
          <w:sz w:val="32"/>
          <w:szCs w:val="32"/>
          <w:highlight w:val="none"/>
          <w:lang w:eastAsia="zh-CN"/>
        </w:rPr>
        <w:t>技术复杂的可聘请专家咨询</w:t>
      </w:r>
      <w:r>
        <w:rPr>
          <w:rFonts w:hint="eastAsia" w:ascii="Times New Roman" w:hAnsi="Times New Roman" w:eastAsia="方正仿宋_GBK" w:cs="宋体"/>
          <w:kern w:val="0"/>
          <w:sz w:val="32"/>
          <w:szCs w:val="32"/>
          <w:lang w:eastAsia="zh-CN"/>
        </w:rPr>
        <w:t>；其中，变更金额在</w:t>
      </w:r>
      <w:r>
        <w:rPr>
          <w:rFonts w:hint="eastAsia" w:ascii="Times New Roman" w:hAnsi="Times New Roman" w:eastAsia="方正仿宋_GBK" w:cs="宋体"/>
          <w:kern w:val="0"/>
          <w:sz w:val="32"/>
          <w:szCs w:val="32"/>
          <w:lang w:val="en-US" w:eastAsia="zh-CN"/>
        </w:rPr>
        <w:t>50万元（含）以上的，</w:t>
      </w:r>
      <w:r>
        <w:rPr>
          <w:rFonts w:hint="eastAsia" w:ascii="Times New Roman" w:hAnsi="Times New Roman" w:eastAsia="方正仿宋_GBK" w:cs="宋体"/>
          <w:kern w:val="0"/>
          <w:sz w:val="32"/>
          <w:szCs w:val="32"/>
          <w:shd w:val="clear" w:color="auto" w:fill="auto"/>
        </w:rPr>
        <w:t>报发展改革</w:t>
      </w:r>
      <w:r>
        <w:rPr>
          <w:rFonts w:hint="eastAsia" w:ascii="Times New Roman" w:hAnsi="Times New Roman" w:eastAsia="方正仿宋_GBK" w:cs="宋体"/>
          <w:kern w:val="0"/>
          <w:sz w:val="32"/>
          <w:szCs w:val="32"/>
          <w:shd w:val="clear" w:color="auto" w:fill="auto"/>
          <w:lang w:eastAsia="zh-CN"/>
        </w:rPr>
        <w:t>部门、财政部门</w:t>
      </w:r>
      <w:r>
        <w:rPr>
          <w:rFonts w:hint="eastAsia" w:ascii="Times New Roman" w:hAnsi="Times New Roman" w:eastAsia="方正仿宋_GBK" w:cs="宋体"/>
          <w:kern w:val="0"/>
          <w:sz w:val="32"/>
          <w:szCs w:val="32"/>
          <w:shd w:val="clear" w:color="auto" w:fill="auto"/>
        </w:rPr>
        <w:t>备案</w:t>
      </w:r>
      <w:r>
        <w:rPr>
          <w:rFonts w:hint="eastAsia" w:ascii="Times New Roman" w:hAnsi="Times New Roman" w:eastAsia="方正仿宋_GBK" w:cs="宋体"/>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_GBK" w:cs="宋体"/>
          <w:kern w:val="0"/>
          <w:sz w:val="32"/>
          <w:szCs w:val="32"/>
          <w:highlight w:val="none"/>
        </w:rPr>
      </w:pPr>
      <w:r>
        <w:rPr>
          <w:rFonts w:hint="eastAsia" w:ascii="Times New Roman" w:hAnsi="Times New Roman" w:eastAsia="方正仿宋_GBK" w:cs="Times New Roman"/>
          <w:sz w:val="32"/>
          <w:szCs w:val="32"/>
        </w:rPr>
        <w:t>（二）</w:t>
      </w:r>
      <w:r>
        <w:rPr>
          <w:rFonts w:ascii="Times New Roman" w:hAnsi="Times New Roman" w:eastAsia="方正仿宋_GBK" w:cs="Times New Roman"/>
          <w:sz w:val="32"/>
          <w:szCs w:val="32"/>
        </w:rPr>
        <w:t>单项（单次）设计变更增（减）工程预估造价超签约合同价</w:t>
      </w:r>
      <w:r>
        <w:rPr>
          <w:rFonts w:ascii="Times New Roman" w:hAnsi="Times New Roman" w:eastAsia="方正仿宋_GBK" w:cs="Times New Roman"/>
          <w:kern w:val="0"/>
          <w:sz w:val="32"/>
          <w:szCs w:val="32"/>
        </w:rPr>
        <w:t>比例</w:t>
      </w:r>
      <w:r>
        <w:rPr>
          <w:rFonts w:hint="eastAsia" w:ascii="Times New Roman" w:hAnsi="Times New Roman" w:eastAsia="方正仿宋_GBK" w:cs="Times New Roman"/>
          <w:kern w:val="0"/>
          <w:sz w:val="32"/>
          <w:szCs w:val="32"/>
        </w:rPr>
        <w:t>在20%（不含）以内</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且</w:t>
      </w:r>
      <w:r>
        <w:rPr>
          <w:rFonts w:ascii="Times New Roman" w:hAnsi="Times New Roman" w:eastAsia="方正仿宋_GBK" w:cs="Times New Roman"/>
          <w:sz w:val="32"/>
          <w:szCs w:val="32"/>
        </w:rPr>
        <w:t>变更金额在</w:t>
      </w:r>
      <w:r>
        <w:rPr>
          <w:rFonts w:hint="eastAsia" w:ascii="Times New Roman" w:hAnsi="Times New Roman" w:eastAsia="方正仿宋_GBK" w:cs="Times New Roman"/>
          <w:sz w:val="32"/>
          <w:szCs w:val="32"/>
        </w:rPr>
        <w:t>10</w:t>
      </w:r>
      <w:r>
        <w:rPr>
          <w:rFonts w:ascii="Times New Roman" w:hAnsi="Times New Roman" w:eastAsia="方正仿宋_GBK" w:cs="Times New Roman"/>
          <w:sz w:val="32"/>
          <w:szCs w:val="32"/>
        </w:rPr>
        <w:t>0万元（含）–</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00万元（不含）的，按本条第（</w:t>
      </w:r>
      <w:r>
        <w:rPr>
          <w:rFonts w:hint="eastAsia" w:ascii="Times New Roman" w:hAnsi="Times New Roman" w:eastAsia="方正仿宋_GBK" w:cs="Times New Roman"/>
          <w:sz w:val="32"/>
          <w:szCs w:val="32"/>
        </w:rPr>
        <w:t>一</w:t>
      </w:r>
      <w:r>
        <w:rPr>
          <w:rFonts w:ascii="Times New Roman" w:hAnsi="Times New Roman" w:eastAsia="方正仿宋_GBK" w:cs="Times New Roman"/>
          <w:sz w:val="32"/>
          <w:szCs w:val="32"/>
        </w:rPr>
        <w:t>）款程序办理后</w:t>
      </w:r>
      <w:r>
        <w:rPr>
          <w:rFonts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rPr>
        <w:t>报</w:t>
      </w:r>
      <w:r>
        <w:rPr>
          <w:rFonts w:ascii="Times New Roman" w:hAnsi="Times New Roman" w:eastAsia="方正仿宋_GBK" w:cs="Times New Roman"/>
          <w:sz w:val="32"/>
          <w:szCs w:val="32"/>
          <w:highlight w:val="none"/>
        </w:rPr>
        <w:t>经行业归口</w:t>
      </w:r>
      <w:r>
        <w:rPr>
          <w:rFonts w:hint="eastAsia" w:ascii="Times New Roman" w:hAnsi="Times New Roman" w:eastAsia="方正仿宋_GBK" w:cs="宋体"/>
          <w:kern w:val="0"/>
          <w:sz w:val="32"/>
          <w:szCs w:val="32"/>
          <w:highlight w:val="none"/>
          <w:lang w:eastAsia="zh-CN"/>
        </w:rPr>
        <w:t>部门</w:t>
      </w:r>
      <w:r>
        <w:rPr>
          <w:rFonts w:hint="eastAsia" w:ascii="Times New Roman" w:hAnsi="Times New Roman" w:eastAsia="方正仿宋_GBK" w:cs="Times New Roman"/>
          <w:strike w:val="0"/>
          <w:dstrike w:val="0"/>
          <w:sz w:val="32"/>
          <w:szCs w:val="32"/>
          <w:highlight w:val="none"/>
          <w:lang w:eastAsia="zh-CN"/>
        </w:rPr>
        <w:t>、</w:t>
      </w:r>
      <w:r>
        <w:rPr>
          <w:rFonts w:hint="eastAsia" w:ascii="Times New Roman" w:hAnsi="Times New Roman" w:eastAsia="方正仿宋_GBK" w:cs="宋体"/>
          <w:kern w:val="0"/>
          <w:sz w:val="32"/>
          <w:szCs w:val="32"/>
          <w:highlight w:val="none"/>
        </w:rPr>
        <w:t>发展改革</w:t>
      </w:r>
      <w:r>
        <w:rPr>
          <w:rFonts w:hint="eastAsia" w:ascii="Times New Roman" w:hAnsi="Times New Roman" w:eastAsia="方正仿宋_GBK" w:cs="宋体"/>
          <w:kern w:val="0"/>
          <w:sz w:val="32"/>
          <w:szCs w:val="32"/>
          <w:highlight w:val="none"/>
          <w:lang w:eastAsia="zh-CN"/>
        </w:rPr>
        <w:t>部门</w:t>
      </w:r>
      <w:r>
        <w:rPr>
          <w:rFonts w:hint="eastAsia" w:ascii="Times New Roman" w:hAnsi="Times New Roman" w:eastAsia="方正仿宋_GBK" w:cs="宋体"/>
          <w:kern w:val="0"/>
          <w:sz w:val="32"/>
          <w:szCs w:val="32"/>
          <w:highlight w:val="none"/>
        </w:rPr>
        <w:t>、财政</w:t>
      </w:r>
      <w:r>
        <w:rPr>
          <w:rFonts w:hint="eastAsia" w:ascii="Times New Roman" w:hAnsi="Times New Roman" w:eastAsia="方正仿宋_GBK" w:cs="宋体"/>
          <w:kern w:val="0"/>
          <w:sz w:val="32"/>
          <w:szCs w:val="32"/>
          <w:highlight w:val="none"/>
          <w:lang w:eastAsia="zh-CN"/>
        </w:rPr>
        <w:t>部门</w:t>
      </w:r>
      <w:r>
        <w:rPr>
          <w:rFonts w:hint="eastAsia" w:ascii="Times New Roman" w:hAnsi="Times New Roman" w:eastAsia="方正仿宋_GBK" w:cs="宋体"/>
          <w:kern w:val="0"/>
          <w:sz w:val="32"/>
          <w:szCs w:val="32"/>
          <w:highlight w:val="none"/>
        </w:rPr>
        <w:t>、规划自然资源</w:t>
      </w:r>
      <w:r>
        <w:rPr>
          <w:rFonts w:hint="eastAsia" w:ascii="Times New Roman" w:hAnsi="Times New Roman" w:eastAsia="方正仿宋_GBK" w:cs="宋体"/>
          <w:kern w:val="0"/>
          <w:sz w:val="32"/>
          <w:szCs w:val="32"/>
          <w:highlight w:val="none"/>
          <w:lang w:eastAsia="zh-CN"/>
        </w:rPr>
        <w:t>部门</w:t>
      </w:r>
      <w:r>
        <w:rPr>
          <w:rFonts w:hint="eastAsia" w:ascii="Times New Roman" w:hAnsi="Times New Roman" w:eastAsia="方正仿宋_GBK" w:cs="宋体"/>
          <w:kern w:val="0"/>
          <w:sz w:val="32"/>
          <w:szCs w:val="32"/>
          <w:highlight w:val="none"/>
        </w:rPr>
        <w:t>等联合</w:t>
      </w:r>
      <w:r>
        <w:rPr>
          <w:rFonts w:hint="eastAsia" w:ascii="Times New Roman" w:hAnsi="Times New Roman" w:eastAsia="方正仿宋_GBK" w:cs="Times New Roman"/>
          <w:sz w:val="32"/>
          <w:szCs w:val="32"/>
          <w:highlight w:val="none"/>
        </w:rPr>
        <w:t>审核后</w:t>
      </w:r>
      <w:r>
        <w:rPr>
          <w:rFonts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rPr>
        <w:t>再</w:t>
      </w:r>
      <w:r>
        <w:rPr>
          <w:rFonts w:ascii="Times New Roman" w:hAnsi="Times New Roman" w:eastAsia="方正仿宋_GBK" w:cs="Times New Roman"/>
          <w:sz w:val="32"/>
          <w:szCs w:val="32"/>
          <w:highlight w:val="none"/>
        </w:rPr>
        <w:t>由项目</w:t>
      </w:r>
      <w:r>
        <w:rPr>
          <w:rFonts w:hint="eastAsia" w:ascii="Times New Roman" w:hAnsi="Times New Roman" w:eastAsia="方正仿宋_GBK" w:cs="Times New Roman"/>
          <w:sz w:val="32"/>
          <w:szCs w:val="32"/>
          <w:highlight w:val="none"/>
        </w:rPr>
        <w:t>单位</w:t>
      </w:r>
      <w:r>
        <w:rPr>
          <w:rFonts w:ascii="Times New Roman" w:hAnsi="Times New Roman" w:eastAsia="方正仿宋_GBK" w:cs="Times New Roman"/>
          <w:sz w:val="32"/>
          <w:szCs w:val="32"/>
          <w:highlight w:val="none"/>
        </w:rPr>
        <w:t>报分管区领导</w:t>
      </w:r>
      <w:r>
        <w:rPr>
          <w:rFonts w:hint="eastAsia" w:ascii="Times New Roman" w:hAnsi="Times New Roman" w:eastAsia="方正仿宋_GBK" w:cs="Times New Roman"/>
          <w:sz w:val="32"/>
          <w:szCs w:val="32"/>
          <w:highlight w:val="none"/>
        </w:rPr>
        <w:t>审定</w:t>
      </w:r>
      <w:r>
        <w:rPr>
          <w:rFonts w:hint="eastAsia" w:ascii="Times New Roman" w:hAnsi="Times New Roman" w:eastAsia="方正仿宋_GBK" w:cs="宋体"/>
          <w:kern w:val="0"/>
          <w:sz w:val="32"/>
          <w:szCs w:val="32"/>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宋体"/>
          <w:kern w:val="0"/>
          <w:sz w:val="32"/>
          <w:szCs w:val="32"/>
        </w:rPr>
      </w:pP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单项（单次）设计变更增（减）工程预估造价超签约合同价</w:t>
      </w:r>
      <w:r>
        <w:rPr>
          <w:rFonts w:ascii="Times New Roman" w:hAnsi="Times New Roman" w:eastAsia="方正仿宋_GBK" w:cs="Times New Roman"/>
          <w:kern w:val="0"/>
          <w:sz w:val="32"/>
          <w:szCs w:val="32"/>
        </w:rPr>
        <w:t>比例</w:t>
      </w:r>
      <w:r>
        <w:rPr>
          <w:rFonts w:hint="eastAsia" w:ascii="Times New Roman" w:hAnsi="Times New Roman" w:eastAsia="方正仿宋_GBK" w:cs="Times New Roman"/>
          <w:kern w:val="0"/>
          <w:sz w:val="32"/>
          <w:szCs w:val="32"/>
        </w:rPr>
        <w:t>在20%（含）</w:t>
      </w:r>
      <w:r>
        <w:rPr>
          <w:rFonts w:hint="eastAsia" w:ascii="Times New Roman" w:hAnsi="Times New Roman" w:eastAsia="方正仿宋_GBK" w:cs="Times New Roman"/>
          <w:sz w:val="32"/>
          <w:szCs w:val="32"/>
        </w:rPr>
        <w:t>以上</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或</w:t>
      </w:r>
      <w:r>
        <w:rPr>
          <w:rFonts w:ascii="Times New Roman" w:hAnsi="Times New Roman" w:eastAsia="方正仿宋_GBK" w:cs="Times New Roman"/>
          <w:sz w:val="32"/>
          <w:szCs w:val="32"/>
        </w:rPr>
        <w:t>变更金额在</w:t>
      </w:r>
      <w:r>
        <w:rPr>
          <w:rFonts w:hint="eastAsia" w:ascii="Times New Roman" w:hAnsi="Times New Roman" w:eastAsia="方正仿宋_GBK" w:cs="Times New Roman"/>
          <w:sz w:val="32"/>
          <w:szCs w:val="32"/>
        </w:rPr>
        <w:t>50</w:t>
      </w:r>
      <w:r>
        <w:rPr>
          <w:rFonts w:ascii="Times New Roman" w:hAnsi="Times New Roman" w:eastAsia="方正仿宋_GBK" w:cs="Times New Roman"/>
          <w:sz w:val="32"/>
          <w:szCs w:val="32"/>
        </w:rPr>
        <w:t>0万元（含）–</w:t>
      </w:r>
      <w:r>
        <w:rPr>
          <w:rFonts w:hint="eastAsia" w:ascii="Times New Roman" w:hAnsi="Times New Roman" w:eastAsia="方正仿宋_GBK" w:cs="Times New Roman"/>
          <w:sz w:val="32"/>
          <w:szCs w:val="32"/>
        </w:rPr>
        <w:t>10</w:t>
      </w:r>
      <w:r>
        <w:rPr>
          <w:rFonts w:ascii="Times New Roman" w:hAnsi="Times New Roman" w:eastAsia="方正仿宋_GBK" w:cs="Times New Roman"/>
          <w:sz w:val="32"/>
          <w:szCs w:val="32"/>
        </w:rPr>
        <w:t>00万元</w:t>
      </w:r>
      <w:r>
        <w:rPr>
          <w:rFonts w:hint="eastAsia" w:ascii="Times New Roman" w:hAnsi="Times New Roman" w:eastAsia="方正仿宋_GBK" w:cs="Times New Roman"/>
          <w:sz w:val="32"/>
          <w:szCs w:val="32"/>
        </w:rPr>
        <w:t>（不含）</w:t>
      </w:r>
      <w:r>
        <w:rPr>
          <w:rFonts w:ascii="Times New Roman" w:hAnsi="Times New Roman" w:eastAsia="方正仿宋_GBK" w:cs="Times New Roman"/>
          <w:sz w:val="32"/>
          <w:szCs w:val="32"/>
        </w:rPr>
        <w:t>的，按本条第（</w:t>
      </w:r>
      <w:r>
        <w:rPr>
          <w:rFonts w:hint="eastAsia" w:ascii="Times New Roman" w:hAnsi="Times New Roman" w:eastAsia="方正仿宋_GBK" w:cs="Times New Roman"/>
          <w:sz w:val="32"/>
          <w:szCs w:val="32"/>
        </w:rPr>
        <w:t>二</w:t>
      </w:r>
      <w:r>
        <w:rPr>
          <w:rFonts w:ascii="Times New Roman" w:hAnsi="Times New Roman" w:eastAsia="方正仿宋_GBK" w:cs="Times New Roman"/>
          <w:sz w:val="32"/>
          <w:szCs w:val="32"/>
        </w:rPr>
        <w:t>）款程序办理后，由项目</w:t>
      </w:r>
      <w:r>
        <w:rPr>
          <w:rFonts w:hint="eastAsia" w:ascii="Times New Roman" w:hAnsi="Times New Roman" w:eastAsia="方正仿宋_GBK" w:cs="Times New Roman"/>
          <w:sz w:val="32"/>
          <w:szCs w:val="32"/>
        </w:rPr>
        <w:t>单位</w:t>
      </w:r>
      <w:r>
        <w:rPr>
          <w:rFonts w:ascii="Times New Roman" w:hAnsi="Times New Roman" w:eastAsia="方正仿宋_GBK" w:cs="Times New Roman"/>
          <w:sz w:val="32"/>
          <w:szCs w:val="32"/>
        </w:rPr>
        <w:t>报</w:t>
      </w:r>
      <w:r>
        <w:rPr>
          <w:rFonts w:hint="eastAsia" w:ascii="Times New Roman" w:hAnsi="Times New Roman" w:eastAsia="方正仿宋_GBK" w:cs="Times New Roman"/>
          <w:sz w:val="32"/>
          <w:szCs w:val="32"/>
        </w:rPr>
        <w:t>常务副区长</w:t>
      </w:r>
      <w:r>
        <w:rPr>
          <w:rFonts w:hint="eastAsia" w:ascii="Times New Roman" w:hAnsi="Times New Roman" w:eastAsia="方正仿宋_GBK" w:cs="宋体"/>
          <w:kern w:val="0"/>
          <w:sz w:val="32"/>
          <w:szCs w:val="32"/>
        </w:rPr>
        <w:t>审定；</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_GBK" w:cs="宋体"/>
          <w:kern w:val="0"/>
          <w:sz w:val="32"/>
          <w:szCs w:val="32"/>
        </w:rPr>
      </w:pPr>
      <w:r>
        <w:rPr>
          <w:rFonts w:hint="eastAsia" w:ascii="Times New Roman" w:hAnsi="Times New Roman" w:eastAsia="方正仿宋_GBK" w:cs="Times New Roman"/>
          <w:sz w:val="32"/>
          <w:szCs w:val="32"/>
        </w:rPr>
        <w:t>（四）</w:t>
      </w:r>
      <w:r>
        <w:rPr>
          <w:rFonts w:ascii="Times New Roman" w:hAnsi="Times New Roman" w:eastAsia="方正仿宋_GBK" w:cs="Times New Roman"/>
          <w:sz w:val="32"/>
          <w:szCs w:val="32"/>
        </w:rPr>
        <w:t>单项（单次）设计变更增（减）工程预估造价超签约合同价</w:t>
      </w:r>
      <w:r>
        <w:rPr>
          <w:rFonts w:hint="eastAsia" w:ascii="Times New Roman" w:hAnsi="Times New Roman" w:eastAsia="方正仿宋_GBK" w:cs="Times New Roman"/>
          <w:sz w:val="32"/>
          <w:szCs w:val="32"/>
        </w:rPr>
        <w:t>10</w:t>
      </w:r>
      <w:r>
        <w:rPr>
          <w:rFonts w:ascii="Times New Roman" w:hAnsi="Times New Roman" w:eastAsia="方正仿宋_GBK" w:cs="Times New Roman"/>
          <w:sz w:val="32"/>
          <w:szCs w:val="32"/>
        </w:rPr>
        <w:t>00万元（含）</w:t>
      </w:r>
      <w:r>
        <w:rPr>
          <w:rFonts w:hint="eastAsia" w:ascii="Times New Roman" w:hAnsi="Times New Roman" w:eastAsia="方正仿宋_GBK" w:cs="Times New Roman"/>
          <w:sz w:val="32"/>
          <w:szCs w:val="32"/>
        </w:rPr>
        <w:t>以上</w:t>
      </w:r>
      <w:r>
        <w:rPr>
          <w:rFonts w:ascii="Times New Roman" w:hAnsi="Times New Roman" w:eastAsia="方正仿宋_GBK" w:cs="Times New Roman"/>
          <w:sz w:val="32"/>
          <w:szCs w:val="32"/>
        </w:rPr>
        <w:t>的，按本条第（</w:t>
      </w: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）款程序办理后，由项目</w:t>
      </w:r>
      <w:r>
        <w:rPr>
          <w:rFonts w:hint="eastAsia" w:ascii="Times New Roman" w:hAnsi="Times New Roman" w:eastAsia="方正仿宋_GBK" w:cs="Times New Roman"/>
          <w:sz w:val="32"/>
          <w:szCs w:val="32"/>
        </w:rPr>
        <w:t>单位</w:t>
      </w:r>
      <w:r>
        <w:rPr>
          <w:rFonts w:ascii="Times New Roman" w:hAnsi="Times New Roman" w:eastAsia="方正仿宋_GBK" w:cs="Times New Roman"/>
          <w:sz w:val="32"/>
          <w:szCs w:val="32"/>
        </w:rPr>
        <w:t>报</w:t>
      </w:r>
      <w:r>
        <w:rPr>
          <w:rFonts w:hint="eastAsia" w:ascii="Times New Roman" w:hAnsi="Times New Roman" w:eastAsia="方正仿宋_GBK" w:cs="Times New Roman"/>
          <w:sz w:val="32"/>
          <w:szCs w:val="32"/>
        </w:rPr>
        <w:t>区长</w:t>
      </w:r>
      <w:r>
        <w:rPr>
          <w:rFonts w:hint="eastAsia" w:ascii="Times New Roman" w:hAnsi="Times New Roman" w:eastAsia="方正仿宋_GBK" w:cs="宋体"/>
          <w:kern w:val="0"/>
          <w:sz w:val="32"/>
          <w:szCs w:val="32"/>
        </w:rPr>
        <w:t>审定。</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79" w:firstLineChars="181"/>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以上</w:t>
      </w:r>
      <w:r>
        <w:rPr>
          <w:rFonts w:hint="eastAsia" w:ascii="Times New Roman" w:hAnsi="Times New Roman" w:eastAsia="方正仿宋_GBK" w:cs="Times New Roman"/>
          <w:sz w:val="32"/>
          <w:szCs w:val="32"/>
        </w:rPr>
        <w:t>变更</w:t>
      </w:r>
      <w:r>
        <w:rPr>
          <w:rFonts w:hint="eastAsia" w:ascii="Times New Roman" w:hAnsi="Times New Roman" w:eastAsia="方正仿宋_GBK" w:cs="宋体"/>
          <w:kern w:val="0"/>
          <w:sz w:val="32"/>
          <w:szCs w:val="32"/>
        </w:rPr>
        <w:t>涉及方案设计调整、初步设计调整、施工图审查等情况的，由项目单位按照相关规定报原审批部门批准（备案）。</w:t>
      </w:r>
      <w:r>
        <w:rPr>
          <w:rFonts w:ascii="Times New Roman" w:hAnsi="Times New Roman" w:eastAsia="方正仿宋_GBK" w:cs="Times New Roman"/>
          <w:sz w:val="32"/>
          <w:szCs w:val="32"/>
        </w:rPr>
        <w:t>如需动用工程预备费，由项目单位向发展改革部门提出申请，发展改革部门根据审查情况进行批准。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第四十二条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方正黑体_GBK"/>
          <w:sz w:val="32"/>
          <w:szCs w:val="32"/>
        </w:rPr>
        <w:t>政府投资项目建设投资原则上不得超过经核定的投资概算。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因国家政策调整、价格上涨、地质条件发生重大变化等原因确需增加投资概算的，项目单位应当提出调整方案及资金来源，相关</w:t>
      </w:r>
      <w:r>
        <w:rPr>
          <w:rFonts w:ascii="Times New Roman" w:hAnsi="Times New Roman" w:eastAsia="方正仿宋_GBK" w:cs="Times New Roman"/>
          <w:sz w:val="32"/>
          <w:szCs w:val="32"/>
        </w:rPr>
        <w:t>报批程序按照以下方式进行：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（一）调整金额不超过100万元（不含）的，由项目单位报发展改革部门审查，并报分管区领导审核、常务副区长审批后，报原投资概算核定部门核定；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（二）调整金额在100万元（含）–200万元（不含）的，由项目单位报发展改革部门审查，并报常务副区长审核、区长审批后，报原投资概算核定部门核定；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（三）调整金额在200万元（含）–500（不含）万元的，由项目单位报发展改革部门审查，并报区长办公会审议通过后，报原投资概算核定部门核定；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（四）调整金额在500万元及以上的，由项目单位报发展改革部门审查，并报区政府常务会审议通过后，报原投资概算核定部门核定。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涉及初步设计调整的，按照规定的程序报原初步设计审批部门批准。</w:t>
      </w:r>
      <w:r>
        <w:rPr>
          <w:rFonts w:ascii="Times New Roman" w:hAnsi="Times New Roman" w:eastAsia="方正仿宋_GBK" w:cs="Times New Roman"/>
          <w:sz w:val="32"/>
          <w:szCs w:val="32"/>
        </w:rPr>
        <w:t>涉及预算调整或者调剂的，依照有关预算的法律、行政法规和国家有关规定处理。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第四十三条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方正黑体_GBK"/>
          <w:sz w:val="32"/>
          <w:szCs w:val="32"/>
        </w:rPr>
        <w:t>政府投资项目应当</w:t>
      </w:r>
      <w:r>
        <w:rPr>
          <w:rFonts w:hint="eastAsia" w:ascii="Times New Roman" w:hAnsi="Times New Roman" w:eastAsia="方正仿宋_GBK" w:cs="Times New Roman"/>
          <w:sz w:val="32"/>
          <w:szCs w:val="32"/>
        </w:rPr>
        <w:t>按照国家有关规定合理确定并严格执行建设工期，任何单位和个人不得非法干预。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第四十四条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政府投资项目建成后，应当按照国家有关规定进行竣工验收，未经竣工验收或者验收不合格的，不得交付使用，使用单位不得接收。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第四十五条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方正黑体_GBK"/>
          <w:sz w:val="32"/>
          <w:szCs w:val="32"/>
        </w:rPr>
        <w:t>对竣工验收通过的项目，项目单位应当在</w:t>
      </w:r>
      <w:r>
        <w:rPr>
          <w:rFonts w:hint="eastAsia" w:ascii="Times New Roman" w:hAnsi="Times New Roman" w:eastAsia="方正仿宋_GBK" w:cs="Times New Roman"/>
          <w:sz w:val="32"/>
          <w:szCs w:val="32"/>
        </w:rPr>
        <w:t>3个月内编报竣工财务决算，特殊情况确需延长的，中小型项目不得超过2个月，大型项目不得超过6个月。竣工财务决算办理按照财政部门有关规定执行。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政府投资项目结余的财政资金，应当按照国家有关规定缴回国库。</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第四十六条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方正黑体_GBK"/>
          <w:sz w:val="32"/>
          <w:szCs w:val="32"/>
        </w:rPr>
        <w:t>政府投资项目依法应当办理不动产登记的，按照国家有关规定向相关不动产登记机构申请办理。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实施建设管理代理制的项目，建设管理代理机构应当在竣工验收合格后及时将资产使用权移交至使用单位；使用单位应当及时接管并对项目设施进行管护，避免建管脱节。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第四十七条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方正黑体_GBK"/>
          <w:sz w:val="32"/>
          <w:szCs w:val="32"/>
        </w:rPr>
        <w:t>发展改革部门或者各行业主管部门，按照国家有关规定，选择有代表性的已建成政府投资项目，委托中介服务机构对所选项目进行后评价。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后评价应当根据项目建成后的实际效果，对项目审批和实施进行全面评价并提出明确意见。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第五章  监督管理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pacing w:val="-6"/>
          <w:sz w:val="32"/>
          <w:szCs w:val="32"/>
        </w:rPr>
      </w:pPr>
      <w:r>
        <w:rPr>
          <w:rFonts w:hint="eastAsia" w:ascii="Times New Roman" w:hAnsi="Times New Roman" w:eastAsia="方正黑体_GBK" w:cs="Times New Roman"/>
          <w:sz w:val="32"/>
          <w:szCs w:val="32"/>
        </w:rPr>
        <w:t>第四十八条</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发展改革部门、各行业主管部门等应当采取在线</w:t>
      </w:r>
      <w:r>
        <w:rPr>
          <w:rFonts w:hint="eastAsia" w:ascii="Times New Roman" w:hAnsi="Times New Roman" w:eastAsia="方正仿宋_GBK" w:cs="Times New Roman"/>
          <w:spacing w:val="-6"/>
          <w:sz w:val="32"/>
          <w:szCs w:val="32"/>
        </w:rPr>
        <w:t>监测、现场核查等方式，加强对政府投资项目实施情况的监督检查。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第四十九条</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发展改革部门、各行业主管部门、财政部门、审计机关等应当建立政府投资项目信息共享机制，通过在线平台实现信息共享。</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在编制政府投资项目规划、政府投资年度计划、审批或者转报资金申请报告等政府投资管理活动中，发展改革部门、各行业主管部门应当加强协作，建立分级分类沟通机制，促进政府投资决策更加科学、合理。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第五十条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项目单位应当遵守下列规定：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（一）通过在线平台如实报送政府投资项目开工建设、建设进度、竣工的基本信息，及时报告项目实施中出现的重大问题；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（二）按照国家有关规定加强政府投资项目档案管理，将项目审批和实施过程中的有关文件、资料存档备查；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（三）配合发展改革部门、各行业主管部门、财政部门、审计机关的监督检查。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第五十一条</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政府投资项目规划、政府投资年度计划、政府投资项目审批和实施以及监督检查的信息应当按照政府信息公开的规定依法公开。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第五十二条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政府投资项目的绩效管理、建设工程质量管理、安全生产管理、生态环境保护管理等事项，依照有关法律、行政法规和国家有关规定执行。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 xml:space="preserve">第六章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黑体_GBK" w:cs="Times New Roman"/>
          <w:sz w:val="32"/>
          <w:szCs w:val="32"/>
        </w:rPr>
        <w:t>法律责任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第五十三条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有下列情形之一的，责令改正，对负有责任的领导人员和直接责任人员依法给予处分：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（一）超越审批权限审批政府投资项目；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（二）对不符合规定的政府投资项目予以批准；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（三）未按照规定核定或者调整政府投资项目的投资概算；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（四）为不符合规定的项目安排投资补助、贷款贴息等政府投资资金；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（五）履行政府投资管理职责中其他玩忽职守、滥用职权、徇私舞弊的情形。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第五十四条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有下列情形之一的，依照有关预算的法律、行政法规和国家有关规定追究法律责任：</w:t>
      </w:r>
    </w:p>
    <w:p>
      <w:pPr>
        <w:keepNext w:val="0"/>
        <w:keepLines w:val="0"/>
        <w:pageBreakBefore w:val="0"/>
        <w:kinsoku/>
        <w:wordWrap/>
        <w:overflowPunct/>
        <w:topLinePunct w:val="0"/>
        <w:autoSpaceDE/>
        <w:autoSpaceDN/>
        <w:bidi w:val="0"/>
        <w:adjustRightInd/>
        <w:snapToGrid/>
        <w:spacing w:line="600" w:lineRule="exact"/>
        <w:ind w:firstLine="616" w:firstLineChars="200"/>
        <w:textAlignment w:val="auto"/>
        <w:rPr>
          <w:rFonts w:ascii="Times New Roman" w:hAnsi="Times New Roman" w:eastAsia="方正仿宋_GBK" w:cs="Times New Roman"/>
          <w:spacing w:val="-6"/>
          <w:sz w:val="32"/>
          <w:szCs w:val="32"/>
        </w:rPr>
      </w:pPr>
      <w:r>
        <w:rPr>
          <w:rFonts w:hint="eastAsia" w:ascii="Times New Roman" w:hAnsi="Times New Roman" w:eastAsia="方正仿宋_GBK" w:cs="Times New Roman"/>
          <w:spacing w:val="-6"/>
          <w:sz w:val="32"/>
          <w:szCs w:val="32"/>
        </w:rPr>
        <w:t>（一）政府及其有关部门违法违规举借债务筹措政府投资资金；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（二）未按照规定及时、足额办理政府投资资金拨付；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（三）转移、侵占、挪用政府投资资金。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第五十五条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项目单位有下列情形之一的，责令改正，根据具体情况，暂停、停止拨付资金或者收回已拨付的资金，暂停或者停止建设活动，对负有责任的领导人员和直接责任人员依法给予处分：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（一）未经批准或者不符合规定的建设条件开工建设政府投资项目；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（二）弄虚作假骗取政府投资项目审批或者投资补助、贷款贴息等政府投资资金；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（三）未经批准变更政府投资项目的建设地点或者对建设规模、建设内容等作较大变更；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（四）擅自增加投资概算；</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（五）故意拆分项目，将项目化整为零，规避建设手续办理及公开招标；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（六）要求施工单位对政府投资项目垫资建设；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（七）无正当理由不实施或者不按照建设工期实施已批准的政府投资项目；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（八）未按照规定开展政府投资项目前期工作；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（九）未按照规定实施项目法人责任制和建设管理代理制；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（十）未按照规定及时办理竣工验收或者财务决算手续；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（十一）未及时报告项目实施中出现的重大问题。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第五十六条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项目单位未按照规定将政府投资项目审批和实施过程中的有关文件、资料存档备查，或者转移、隐匿、篡改、毁弃项目有关文件、资料的，责令改正，对负有责任的领导人员和直接责任人员依法给予处分。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第五十七条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专业机构、中介服务机构及其工作人员在工作过程中弄虚作假或者有重大疏忽情形的，由有权机关责令改正，依照有关法律法规规定予以处罚，并将违法情况纳入信用管理。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第五十八条</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违反本实施细则规定，其他法律法规已有处罚规定的，从其规定；造成损失的，依法给予赔偿；涉嫌犯罪的，移送司法机关依法处理。</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 xml:space="preserve">第七章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黑体_GBK" w:cs="Times New Roman"/>
          <w:sz w:val="32"/>
          <w:szCs w:val="32"/>
        </w:rPr>
        <w:t>附 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第五十九条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本实施细则中下列用语的含义：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（一）政府投资，是指使用预算安排的资金进行固定资产投资建设活动，包括新建、扩建、改建、技术改造等。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（二）直接投资，是指政府安排政府投资资金投入非经营性项目，并由政府有关机构或其指定、委托的机关、团体、事业单位等作为项目单位组织建设实施的方式。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（三）资本金注入，是指政府安排政府投资资金作为经营性项目的资本金，指定政府出资人代表行使所有者权益，项目建成后政府投资形成相应国有产权的方式。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（四）投资补助，是指政府安排政府投资资金，对市场不能有效配置资源、确需支持的经营性项目，适当予以补助的方式。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（五）贷款贴息，是指政府安排政府投资资金，对使用贷款的投资项目贷款利息予以补贴的方式。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第六十条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使用预算安排的资金购置房屋、大型装备设备，进行装饰装修、大型维修改造，参照本实施细则执行。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使用由政府负责偿还或者提供还款担保的国际金融机构贷款、外国主权基金等法律、法规规定资金的项目，按照政府投资项目进行管理。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国家、市级对政务信息化项目建设另有规定的，从其规定。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第六十一条</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各街道办事处、镇人民政府投资管理适用本实施细则。区属国有企业、区属事业单位纳入政府投资年度计划的项目，按本实施细则执行。国家、市级有相关专项管理办法的，按专项管理办法执行。我区以前制定的相关规定与本实施细则有抵触的，按本实施细则执行。</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val="0"/>
          <w:kern w:val="0"/>
          <w:sz w:val="32"/>
          <w:szCs w:val="32"/>
        </w:rPr>
      </w:pPr>
      <w:r>
        <w:rPr>
          <w:rFonts w:hint="eastAsia" w:ascii="Times New Roman" w:hAnsi="Times New Roman" w:eastAsia="方正黑体_GBK" w:cs="Times New Roman"/>
          <w:sz w:val="32"/>
          <w:szCs w:val="32"/>
        </w:rPr>
        <w:t xml:space="preserve">第六十二条 </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rPr>
        <w:t>本实施细则自2021年5月1日起施行。</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val="0"/>
          <w:kern w:val="0"/>
          <w:sz w:val="32"/>
          <w:szCs w:val="32"/>
        </w:rPr>
      </w:pP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val="0"/>
          <w:kern w:val="0"/>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val="0"/>
          <w:kern w:val="0"/>
          <w:sz w:val="32"/>
          <w:szCs w:val="32"/>
        </w:rPr>
      </w:pPr>
    </w:p>
    <w:p>
      <w:pPr>
        <w:pStyle w:val="2"/>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val="0"/>
          <w:kern w:val="0"/>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val="0"/>
          <w:kern w:val="0"/>
          <w:sz w:val="32"/>
          <w:szCs w:val="32"/>
        </w:rPr>
      </w:pPr>
    </w:p>
    <w:p>
      <w:pPr>
        <w:pStyle w:val="2"/>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val="0"/>
          <w:kern w:val="0"/>
          <w:sz w:val="32"/>
          <w:szCs w:val="32"/>
        </w:rPr>
      </w:pPr>
    </w:p>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方正仿宋_GBK" w:hAnsi="方正仿宋_GBK" w:eastAsia="方正仿宋_GBK" w:cs="方正仿宋_GBK"/>
          <w:b w:val="0"/>
          <w:bCs w:val="0"/>
          <w:kern w:val="0"/>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5772"/>
      </w:tabs>
      <w:ind w:left="4788" w:leftChars="2280" w:firstLine="6400" w:firstLineChars="2000"/>
      <w:rPr>
        <w:rFonts w:hint="eastAsia"/>
        <w:sz w:val="32"/>
        <w:lang w:eastAsia="zh-CN"/>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sz w:val="32"/>
        <w:lang w:eastAsia="zh-CN"/>
      </w:rPr>
      <w:tab/>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11" name="直接连接符 1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7769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p6XR1AAAAAYBAAAPAAAAAAAAAAEAIAAAACIAAABkcnMv&#10;ZG93bnJldi54bWxQSwECFAAUAAAACACHTuJAkbyVSs4BAABpAwAADgAAAAAAAAABACAAAAAjAQAA&#10;ZHJzL2Uyb0RvYy54bWxQSwUGAAAAAAYABgBZAQAAYw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重庆市北碚区人民政府办公室发布     </w:t>
    </w:r>
  </w:p>
  <w:p>
    <w:pPr>
      <w:pStyle w:val="7"/>
      <w:wordWrap w:val="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7" name="直接连接符 7"/>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7360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FvjXq9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9" name="图片 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重庆市北碚区人民政府行政</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13"/>
        <w:szCs w:val="13"/>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C8C3764"/>
    <w:rsid w:val="0E025194"/>
    <w:rsid w:val="0EEF0855"/>
    <w:rsid w:val="0F4B2646"/>
    <w:rsid w:val="11DB7C71"/>
    <w:rsid w:val="152D2DCA"/>
    <w:rsid w:val="187168EA"/>
    <w:rsid w:val="196673CA"/>
    <w:rsid w:val="1CF734C9"/>
    <w:rsid w:val="1DEC284C"/>
    <w:rsid w:val="1E3B4927"/>
    <w:rsid w:val="1E6523AC"/>
    <w:rsid w:val="22440422"/>
    <w:rsid w:val="22BB4BBB"/>
    <w:rsid w:val="25EB1AF4"/>
    <w:rsid w:val="2DD05FE1"/>
    <w:rsid w:val="2EAE3447"/>
    <w:rsid w:val="31A15F24"/>
    <w:rsid w:val="36C068C0"/>
    <w:rsid w:val="36FB1DF0"/>
    <w:rsid w:val="38EB6EBE"/>
    <w:rsid w:val="395347B5"/>
    <w:rsid w:val="39A232A0"/>
    <w:rsid w:val="39E745AA"/>
    <w:rsid w:val="3B5A6BBB"/>
    <w:rsid w:val="3B7A63F0"/>
    <w:rsid w:val="3CA154E3"/>
    <w:rsid w:val="3CD8402F"/>
    <w:rsid w:val="3E3A0604"/>
    <w:rsid w:val="3EDA13A6"/>
    <w:rsid w:val="3FF56C14"/>
    <w:rsid w:val="417B75E9"/>
    <w:rsid w:val="42430A63"/>
    <w:rsid w:val="42F058B7"/>
    <w:rsid w:val="436109F6"/>
    <w:rsid w:val="441A38D4"/>
    <w:rsid w:val="4504239D"/>
    <w:rsid w:val="4A884AFD"/>
    <w:rsid w:val="4BC77339"/>
    <w:rsid w:val="4BCF566C"/>
    <w:rsid w:val="4C5A7CB7"/>
    <w:rsid w:val="4C9236C5"/>
    <w:rsid w:val="4D944D7A"/>
    <w:rsid w:val="4E250A85"/>
    <w:rsid w:val="4FEE2525"/>
    <w:rsid w:val="4FFD4925"/>
    <w:rsid w:val="505C172E"/>
    <w:rsid w:val="506405EA"/>
    <w:rsid w:val="52F46F0B"/>
    <w:rsid w:val="532B6A10"/>
    <w:rsid w:val="539E4E99"/>
    <w:rsid w:val="53D8014D"/>
    <w:rsid w:val="550C209A"/>
    <w:rsid w:val="55E064E0"/>
    <w:rsid w:val="572C6D10"/>
    <w:rsid w:val="592212BA"/>
    <w:rsid w:val="5DC34279"/>
    <w:rsid w:val="5FCD688E"/>
    <w:rsid w:val="5FF9BDAA"/>
    <w:rsid w:val="608816D1"/>
    <w:rsid w:val="60EF4E7F"/>
    <w:rsid w:val="610E0790"/>
    <w:rsid w:val="61BC49E7"/>
    <w:rsid w:val="63E14E0F"/>
    <w:rsid w:val="645E4AC6"/>
    <w:rsid w:val="648B0A32"/>
    <w:rsid w:val="658F6764"/>
    <w:rsid w:val="665233C1"/>
    <w:rsid w:val="69AC0D42"/>
    <w:rsid w:val="6AD9688B"/>
    <w:rsid w:val="6B68303F"/>
    <w:rsid w:val="6D0E3F22"/>
    <w:rsid w:val="6D7D7E94"/>
    <w:rsid w:val="6E4B1760"/>
    <w:rsid w:val="71C850E9"/>
    <w:rsid w:val="72883494"/>
    <w:rsid w:val="744E4660"/>
    <w:rsid w:val="753355A2"/>
    <w:rsid w:val="759F1C61"/>
    <w:rsid w:val="769F2DE8"/>
    <w:rsid w:val="76FDEB7C"/>
    <w:rsid w:val="79C65162"/>
    <w:rsid w:val="79EE7E31"/>
    <w:rsid w:val="7A2E7A48"/>
    <w:rsid w:val="7C9011D9"/>
    <w:rsid w:val="7DC651C5"/>
    <w:rsid w:val="7EB15592"/>
    <w:rsid w:val="7EF04E6D"/>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4">
    <w:name w:val="annotation text"/>
    <w:basedOn w:val="1"/>
    <w:qFormat/>
    <w:uiPriority w:val="0"/>
    <w:pPr>
      <w:jc w:val="left"/>
    </w:pPr>
  </w:style>
  <w:style w:type="paragraph" w:styleId="5">
    <w:name w:val="Body Text"/>
    <w:basedOn w:val="1"/>
    <w:next w:val="1"/>
    <w:unhideWhenUsed/>
    <w:qFormat/>
    <w:uiPriority w:val="0"/>
    <w:pPr>
      <w:spacing w:line="600" w:lineRule="exact"/>
      <w:jc w:val="center"/>
    </w:pPr>
    <w:rPr>
      <w:rFonts w:ascii="方正小标宋_GBK" w:hAnsi="宋体" w:eastAsia="方正小标宋_GBK"/>
      <w:bCs/>
      <w:sz w:val="44"/>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9151</Words>
  <Characters>9226</Characters>
  <Lines>1</Lines>
  <Paragraphs>1</Paragraphs>
  <TotalTime>4</TotalTime>
  <ScaleCrop>false</ScaleCrop>
  <LinksUpToDate>false</LinksUpToDate>
  <CharactersWithSpaces>9366</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asus</cp:lastModifiedBy>
  <cp:lastPrinted>2022-06-06T16:09:00Z</cp:lastPrinted>
  <dcterms:modified xsi:type="dcterms:W3CDTF">2022-06-15T08:18:59Z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48C61CB29D3F4D9384F5922CF0F7FFB4</vt:lpwstr>
  </property>
</Properties>
</file>