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方正仿宋_GBK" w:hAnsi="方正仿宋_GBK" w:eastAsia="方正仿宋_GBK" w:cs="方正仿宋_GBK"/>
          <w:bCs/>
          <w:sz w:val="13"/>
          <w:szCs w:val="13"/>
          <w:lang w:eastAsia="zh-CN"/>
        </w:rPr>
      </w:pPr>
    </w:p>
    <w:p>
      <w:pPr>
        <w:pStyle w:val="2"/>
        <w:rPr>
          <w:rFonts w:hint="eastAsia"/>
          <w:sz w:val="13"/>
          <w:szCs w:val="13"/>
          <w:lang w:eastAsia="zh-CN"/>
        </w:rPr>
      </w:pPr>
    </w:p>
    <w:p>
      <w:pPr>
        <w:rPr>
          <w:rFonts w:hint="eastAsia"/>
          <w:sz w:val="13"/>
          <w:szCs w:val="13"/>
          <w:lang w:eastAsia="zh-CN"/>
        </w:rPr>
      </w:pPr>
    </w:p>
    <w:p>
      <w:pPr>
        <w:pStyle w:val="2"/>
        <w:rPr>
          <w:rFonts w:hint="default"/>
          <w:lang w:val="en-US" w:eastAsia="zh-CN"/>
        </w:rPr>
      </w:pPr>
      <w:r>
        <w:rPr>
          <w:rFonts w:hint="eastAsia"/>
          <w:sz w:val="13"/>
          <w:szCs w:val="13"/>
          <w:lang w:val="en-US" w:eastAsia="zh-CN"/>
        </w:rPr>
        <w:t xml:space="preserve"> </w:t>
      </w:r>
    </w:p>
    <w:p>
      <w:pPr>
        <w:pStyle w:val="2"/>
        <w:rPr>
          <w:rFonts w:hint="eastAsia"/>
          <w:lang w:eastAsia="zh-CN"/>
        </w:rPr>
      </w:pPr>
    </w:p>
    <w:p>
      <w:pPr>
        <w:keepNext w:val="0"/>
        <w:keepLines w:val="0"/>
        <w:pageBreakBefore w:val="0"/>
        <w:widowControl w:val="0"/>
        <w:tabs>
          <w:tab w:val="left" w:pos="1162"/>
          <w:tab w:val="center" w:pos="42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outlineLvl w:val="9"/>
        <w:rPr>
          <w:rFonts w:hint="eastAsia" w:ascii="方正仿宋_GBK" w:hAnsi="方正仿宋_GBK" w:eastAsia="方正仿宋_GBK" w:cs="方正仿宋_GBK"/>
          <w:bCs/>
          <w:sz w:val="11"/>
          <w:szCs w:val="11"/>
        </w:rPr>
      </w:pPr>
      <w:r>
        <w:rPr>
          <w:rFonts w:hint="eastAsia" w:ascii="方正仿宋_GBK" w:hAnsi="方正仿宋_GBK" w:eastAsia="方正仿宋_GBK" w:cs="方正仿宋_GBK"/>
          <w:bCs/>
          <w:sz w:val="32"/>
          <w:szCs w:val="32"/>
          <w:lang w:eastAsia="zh-CN"/>
        </w:rPr>
        <w:tab/>
      </w:r>
      <w:r>
        <w:rPr>
          <w:rFonts w:hint="eastAsia" w:ascii="方正仿宋_GBK" w:hAnsi="方正仿宋_GBK" w:eastAsia="方正仿宋_GBK" w:cs="方正仿宋_GBK"/>
          <w:bCs/>
          <w:sz w:val="32"/>
          <w:szCs w:val="32"/>
          <w:lang w:eastAsia="zh-CN"/>
        </w:rPr>
        <w:tab/>
      </w:r>
      <w:bookmarkStart w:id="0" w:name="_GoBack"/>
      <w:r>
        <w:rPr>
          <w:rFonts w:hint="eastAsia" w:ascii="方正仿宋_GBK" w:hAnsi="方正仿宋_GBK" w:eastAsia="方正仿宋_GBK" w:cs="方正仿宋_GBK"/>
          <w:bCs/>
          <w:sz w:val="32"/>
          <w:szCs w:val="32"/>
          <w:lang w:eastAsia="zh-CN"/>
        </w:rPr>
        <w:t>北碚发改</w:t>
      </w:r>
      <w:r>
        <w:rPr>
          <w:rFonts w:hint="eastAsia" w:ascii="方正仿宋_GBK" w:hAnsi="方正仿宋_GBK" w:eastAsia="方正仿宋_GBK" w:cs="方正仿宋_GBK"/>
          <w:bCs/>
          <w:sz w:val="32"/>
          <w:szCs w:val="32"/>
        </w:rPr>
        <w:t>〔20</w:t>
      </w:r>
      <w:r>
        <w:rPr>
          <w:rFonts w:hint="eastAsia" w:ascii="方正仿宋_GBK" w:hAnsi="方正仿宋_GBK" w:eastAsia="方正仿宋_GBK" w:cs="方正仿宋_GBK"/>
          <w:bCs/>
          <w:sz w:val="32"/>
          <w:szCs w:val="32"/>
          <w:lang w:val="en-US" w:eastAsia="zh-CN"/>
        </w:rPr>
        <w:t>23</w:t>
      </w:r>
      <w:r>
        <w:rPr>
          <w:rFonts w:hint="eastAsia" w:ascii="方正仿宋_GBK" w:hAnsi="方正仿宋_GBK" w:eastAsia="方正仿宋_GBK" w:cs="方正仿宋_GBK"/>
          <w:bCs/>
          <w:sz w:val="32"/>
          <w:szCs w:val="32"/>
        </w:rPr>
        <w:t>〕</w:t>
      </w:r>
      <w:r>
        <w:rPr>
          <w:rFonts w:hint="eastAsia" w:ascii="方正仿宋_GBK" w:hAnsi="方正仿宋_GBK" w:eastAsia="方正仿宋_GBK" w:cs="方正仿宋_GBK"/>
          <w:bCs/>
          <w:sz w:val="32"/>
          <w:szCs w:val="32"/>
          <w:lang w:val="en-US" w:eastAsia="zh-CN"/>
        </w:rPr>
        <w:t>263</w:t>
      </w:r>
      <w:r>
        <w:rPr>
          <w:rFonts w:hint="eastAsia" w:ascii="方正仿宋_GBK" w:hAnsi="方正仿宋_GBK" w:eastAsia="方正仿宋_GBK" w:cs="方正仿宋_GBK"/>
          <w:bCs/>
          <w:sz w:val="32"/>
          <w:szCs w:val="32"/>
        </w:rPr>
        <w:t>号</w:t>
      </w:r>
    </w:p>
    <w:bookmarkEnd w:id="0"/>
    <w:p>
      <w:pPr>
        <w:jc w:val="center"/>
        <w:rPr>
          <w:rFonts w:hint="eastAsia" w:ascii="方正仿宋_GBK" w:hAnsi="方正仿宋_GBK" w:eastAsia="方正仿宋_GBK" w:cs="方正仿宋_GBK"/>
          <w:bCs/>
          <w:sz w:val="18"/>
          <w:szCs w:val="18"/>
        </w:rPr>
      </w:pPr>
    </w:p>
    <w:p>
      <w:pPr>
        <w:pageBreakBefore w:val="0"/>
        <w:kinsoku/>
        <w:wordWrap/>
        <w:overflowPunct/>
        <w:topLinePunct w:val="0"/>
        <w:autoSpaceDE/>
        <w:autoSpaceDN/>
        <w:bidi w:val="0"/>
        <w:snapToGrid/>
        <w:spacing w:line="600" w:lineRule="exact"/>
        <w:textAlignment w:val="auto"/>
        <w:rPr>
          <w:rFonts w:hint="eastAsia"/>
          <w:sz w:val="13"/>
          <w:szCs w:val="13"/>
          <w:lang w:val="en-US" w:eastAsia="zh-CN"/>
        </w:rPr>
      </w:pPr>
      <w:r>
        <w:rPr>
          <w:rFonts w:hint="eastAsia"/>
          <w:sz w:val="13"/>
          <w:szCs w:val="13"/>
          <w:lang w:val="en-US" w:eastAsia="zh-CN"/>
        </w:rPr>
        <w:t xml:space="preserve">                   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jc w:val="center"/>
        <w:textAlignment w:val="auto"/>
        <w:outlineLvl w:val="9"/>
        <w:rPr>
          <w:rFonts w:hint="eastAsia" w:ascii="方正小标宋_GBK" w:hAnsi="方正小标宋_GBK" w:eastAsia="方正小标宋_GBK" w:cs="方正小标宋_GBK"/>
          <w:sz w:val="44"/>
          <w:szCs w:val="44"/>
          <w:lang w:eastAsia="zh-CN"/>
        </w:rPr>
      </w:pP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重庆市</w:t>
      </w:r>
      <w:r>
        <w:rPr>
          <w:rFonts w:hint="eastAsia" w:ascii="方正小标宋_GBK" w:hAnsi="方正小标宋_GBK" w:eastAsia="方正小标宋_GBK" w:cs="方正小标宋_GBK"/>
          <w:sz w:val="44"/>
          <w:szCs w:val="44"/>
          <w:lang w:eastAsia="zh-CN"/>
        </w:rPr>
        <w:t>北碚区发展和改革委员会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sz w:val="44"/>
          <w:szCs w:val="44"/>
        </w:rPr>
      </w:pPr>
      <w:r>
        <w:rPr>
          <w:rFonts w:hint="eastAsia" w:ascii="方正小标宋_GBK" w:hAnsi="方正小标宋_GBK" w:eastAsia="方正小标宋_GBK" w:cs="方正小标宋_GBK"/>
          <w:sz w:val="44"/>
          <w:szCs w:val="44"/>
          <w:lang w:eastAsia="zh-CN"/>
        </w:rPr>
        <w:t>关于转发</w:t>
      </w:r>
      <w:r>
        <w:rPr>
          <w:rFonts w:hint="eastAsia" w:ascii="方正小标宋_GBK" w:hAnsi="方正小标宋_GBK" w:eastAsia="方正小标宋_GBK" w:cs="方正小标宋_GBK"/>
          <w:sz w:val="44"/>
          <w:szCs w:val="44"/>
          <w:lang w:val="en" w:eastAsia="zh-CN"/>
        </w:rPr>
        <w:t>《</w:t>
      </w: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重庆市发展和改革委员会关于</w:t>
      </w:r>
      <w:r>
        <w:rPr>
          <w:rFonts w:hint="eastAsia" w:ascii="方正小标宋_GBK" w:hAnsi="方正小标宋_GBK" w:eastAsia="方正小标宋_GBK" w:cs="方正小标宋_GBK"/>
          <w:sz w:val="44"/>
          <w:szCs w:val="44"/>
          <w:lang w:eastAsia="zh-CN"/>
        </w:rPr>
        <w:t>城镇路灯照明电价及有关事项</w:t>
      </w:r>
      <w:r>
        <w:rPr>
          <w:rFonts w:hint="eastAsia" w:ascii="方正小标宋_GBK" w:hAnsi="方正小标宋_GBK" w:eastAsia="方正小标宋_GBK" w:cs="方正小标宋_GBK"/>
          <w:sz w:val="44"/>
          <w:szCs w:val="44"/>
          <w:lang w:val="en-US" w:eastAsia="zh-CN"/>
        </w:rPr>
        <w:t>的</w:t>
      </w: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通知</w:t>
      </w:r>
      <w:r>
        <w:rPr>
          <w:rFonts w:hint="eastAsia" w:ascii="方正小标宋_GBK" w:hAnsi="方正小标宋_GBK" w:eastAsia="方正小标宋_GBK" w:cs="方正小标宋_GBK"/>
          <w:sz w:val="44"/>
          <w:szCs w:val="44"/>
          <w:lang w:val="en" w:eastAsia="zh-CN"/>
        </w:rPr>
        <w:t>》</w:t>
      </w:r>
      <w:r>
        <w:rPr>
          <w:rFonts w:hint="eastAsia" w:ascii="方正小标宋_GBK" w:hAnsi="方正小标宋_GBK" w:eastAsia="方正小标宋_GBK" w:cs="方正小标宋_GBK"/>
          <w:sz w:val="44"/>
          <w:szCs w:val="44"/>
          <w:lang w:val="en-US" w:eastAsia="zh-CN"/>
        </w:rPr>
        <w:t>的通知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20" w:firstLineChars="200"/>
        <w:jc w:val="both"/>
        <w:textAlignment w:val="auto"/>
        <w:outlineLvl w:val="9"/>
        <w:rPr>
          <w:rFonts w:ascii="方正仿宋_GBK" w:cs="方正仿宋_GBK"/>
          <w:bCs/>
          <w:szCs w:val="20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/>
        <w:jc w:val="both"/>
        <w:textAlignment w:val="auto"/>
        <w:outlineLvl w:val="9"/>
        <w:rPr>
          <w:rFonts w:hint="eastAsia" w:ascii="方正仿宋_GBK" w:hAnsi="方正仿宋_GBK" w:eastAsia="方正仿宋_GBK" w:cs="方正仿宋_GBK"/>
          <w:color w:val="333333"/>
          <w:sz w:val="32"/>
          <w:szCs w:val="32"/>
          <w:shd w:val="clear" w:color="auto" w:fill="FFFFFF"/>
          <w:lang w:val="en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highlight w:val="none"/>
          <w:lang w:val="en-US" w:eastAsia="zh-CN"/>
        </w:rPr>
        <w:t>国网北碚供电公司</w:t>
      </w:r>
      <w:r>
        <w:rPr>
          <w:rFonts w:hint="eastAsia" w:ascii="方正仿宋_GBK" w:hAnsi="方正仿宋_GBK" w:eastAsia="方正仿宋_GBK" w:cs="方正仿宋_GBK"/>
          <w:color w:val="333333"/>
          <w:sz w:val="32"/>
          <w:szCs w:val="32"/>
          <w:shd w:val="clear" w:color="auto" w:fill="FFFFFF"/>
          <w:lang w:val="en" w:eastAsia="zh-CN"/>
        </w:rPr>
        <w:t>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jc w:val="both"/>
        <w:textAlignment w:val="auto"/>
        <w:rPr>
          <w:rFonts w:hint="eastAsia" w:ascii="方正仿宋_GBK" w:hAnsi="方正仿宋_GBK" w:eastAsia="方正仿宋_GBK" w:cs="方正仿宋_GBK"/>
          <w:color w:val="333333"/>
          <w:sz w:val="32"/>
          <w:szCs w:val="32"/>
          <w:shd w:val="clear" w:color="auto" w:fill="FFFFFF"/>
          <w:lang w:val="en" w:eastAsia="zh-CN"/>
        </w:rPr>
      </w:pPr>
      <w:r>
        <w:rPr>
          <w:rFonts w:hint="eastAsia" w:ascii="方正仿宋_GBK" w:hAnsi="方正仿宋_GBK" w:eastAsia="方正仿宋_GBK" w:cs="方正仿宋_GBK"/>
          <w:color w:val="333333"/>
          <w:sz w:val="32"/>
          <w:szCs w:val="32"/>
          <w:shd w:val="clear" w:color="auto" w:fill="FFFFFF"/>
          <w:lang w:val="en" w:eastAsia="zh-CN"/>
        </w:rPr>
        <w:t>现将《重庆市发展和改革委员会关于城镇路灯照明电价及有关事项</w:t>
      </w:r>
      <w:r>
        <w:rPr>
          <w:rFonts w:hint="eastAsia" w:ascii="方正仿宋_GBK" w:hAnsi="方正仿宋_GBK" w:eastAsia="方正仿宋_GBK" w:cs="方正仿宋_GBK"/>
          <w:color w:val="333333"/>
          <w:sz w:val="32"/>
          <w:szCs w:val="32"/>
          <w:shd w:val="clear" w:color="auto" w:fill="FFFFFF"/>
          <w:lang w:val="en-US" w:eastAsia="zh-CN"/>
        </w:rPr>
        <w:t>的</w:t>
      </w:r>
      <w:r>
        <w:rPr>
          <w:rFonts w:hint="eastAsia" w:ascii="方正仿宋_GBK" w:hAnsi="方正仿宋_GBK" w:eastAsia="方正仿宋_GBK" w:cs="方正仿宋_GBK"/>
          <w:color w:val="333333"/>
          <w:sz w:val="32"/>
          <w:szCs w:val="32"/>
          <w:shd w:val="clear" w:color="auto" w:fill="FFFFFF"/>
          <w:lang w:val="en" w:eastAsia="zh-CN"/>
        </w:rPr>
        <w:t>通知》（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渝发改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价格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〔202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3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〕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1164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号</w:t>
      </w:r>
      <w:r>
        <w:rPr>
          <w:rFonts w:hint="eastAsia" w:ascii="方正仿宋_GBK" w:hAnsi="方正仿宋_GBK" w:eastAsia="方正仿宋_GBK" w:cs="方正仿宋_GBK"/>
          <w:color w:val="333333"/>
          <w:sz w:val="32"/>
          <w:szCs w:val="32"/>
          <w:shd w:val="clear" w:color="auto" w:fill="FFFFFF"/>
          <w:lang w:val="en" w:eastAsia="zh-CN"/>
        </w:rPr>
        <w:t>）转发给你们，请遵照执行。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598" w:leftChars="304" w:right="0" w:hanging="960" w:hangingChars="300"/>
        <w:jc w:val="both"/>
        <w:textAlignment w:val="auto"/>
        <w:outlineLvl w:val="9"/>
        <w:rPr>
          <w:rFonts w:hint="eastAsia" w:ascii="方正仿宋_GBK" w:hAnsi="方正仿宋_GBK" w:eastAsia="方正仿宋_GBK" w:cs="方正仿宋_GBK"/>
          <w:bCs/>
          <w:smallCaps/>
          <w:kern w:val="0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color w:val="333333"/>
          <w:sz w:val="32"/>
          <w:szCs w:val="32"/>
          <w:shd w:val="clear" w:color="auto" w:fill="FFFFFF"/>
          <w:lang w:val="en" w:eastAsia="zh-CN"/>
        </w:rPr>
        <w:t>附件：重庆市发展和改革委员会关于城镇路灯照明电价及有关事项</w:t>
      </w:r>
      <w:r>
        <w:rPr>
          <w:rFonts w:hint="eastAsia" w:ascii="方正仿宋_GBK" w:hAnsi="方正仿宋_GBK" w:eastAsia="方正仿宋_GBK" w:cs="方正仿宋_GBK"/>
          <w:color w:val="333333"/>
          <w:sz w:val="32"/>
          <w:szCs w:val="32"/>
          <w:shd w:val="clear" w:color="auto" w:fill="FFFFFF"/>
          <w:lang w:val="en-US" w:eastAsia="zh-CN"/>
        </w:rPr>
        <w:t>的</w:t>
      </w:r>
      <w:r>
        <w:rPr>
          <w:rFonts w:hint="eastAsia" w:ascii="方正仿宋_GBK" w:hAnsi="方正仿宋_GBK" w:eastAsia="方正仿宋_GBK" w:cs="方正仿宋_GBK"/>
          <w:color w:val="333333"/>
          <w:sz w:val="32"/>
          <w:szCs w:val="32"/>
          <w:shd w:val="clear" w:color="auto" w:fill="FFFFFF"/>
          <w:lang w:val="en" w:eastAsia="zh-CN"/>
        </w:rPr>
        <w:t>通知（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渝发改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价格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〔202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3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〕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1164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号</w:t>
      </w:r>
      <w:r>
        <w:rPr>
          <w:rFonts w:hint="eastAsia" w:ascii="方正仿宋_GBK" w:hAnsi="方正仿宋_GBK" w:eastAsia="方正仿宋_GBK" w:cs="方正仿宋_GBK"/>
          <w:color w:val="333333"/>
          <w:sz w:val="32"/>
          <w:szCs w:val="32"/>
          <w:shd w:val="clear" w:color="auto" w:fill="FFFFFF"/>
          <w:lang w:val="en" w:eastAsia="zh-CN"/>
        </w:rPr>
        <w:t>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/>
        <w:jc w:val="center"/>
        <w:textAlignment w:val="auto"/>
        <w:outlineLvl w:val="9"/>
        <w:rPr>
          <w:rFonts w:hint="eastAsia" w:ascii="方正仿宋_GBK" w:hAnsi="方正仿宋_GBK" w:eastAsia="方正仿宋_GBK" w:cs="方正仿宋_GBK"/>
          <w:bCs/>
          <w:smallCaps/>
          <w:kern w:val="0"/>
          <w:sz w:val="32"/>
          <w:szCs w:val="32"/>
          <w:lang w:eastAsia="zh-CN"/>
        </w:rPr>
      </w:pPr>
      <w:r>
        <w:rPr>
          <w:rFonts w:hint="eastAsia" w:ascii="方正仿宋_GBK" w:hAnsi="方正仿宋_GBK" w:eastAsia="方正仿宋_GBK" w:cs="方正仿宋_GBK"/>
          <w:bCs/>
          <w:smallCaps/>
          <w:kern w:val="0"/>
          <w:sz w:val="32"/>
          <w:szCs w:val="32"/>
          <w:lang w:val="en-US" w:eastAsia="zh-CN"/>
        </w:rPr>
        <w:t xml:space="preserve">                     </w:t>
      </w:r>
      <w:r>
        <w:rPr>
          <w:rFonts w:hint="eastAsia" w:ascii="方正仿宋_GBK" w:hAnsi="方正仿宋_GBK" w:eastAsia="方正仿宋_GBK" w:cs="方正仿宋_GBK"/>
          <w:bCs/>
          <w:smallCaps/>
          <w:kern w:val="0"/>
          <w:sz w:val="32"/>
          <w:szCs w:val="32"/>
        </w:rPr>
        <w:t>重庆市</w:t>
      </w:r>
      <w:r>
        <w:rPr>
          <w:rFonts w:hint="eastAsia" w:ascii="方正仿宋_GBK" w:hAnsi="方正仿宋_GBK" w:eastAsia="方正仿宋_GBK" w:cs="方正仿宋_GBK"/>
          <w:bCs/>
          <w:smallCaps/>
          <w:kern w:val="0"/>
          <w:sz w:val="32"/>
          <w:szCs w:val="32"/>
          <w:lang w:eastAsia="zh-CN"/>
        </w:rPr>
        <w:t>北碚区发展和改革委员会</w:t>
      </w:r>
    </w:p>
    <w:p>
      <w:pPr>
        <w:jc w:val="center"/>
        <w:rPr>
          <w:rFonts w:hint="eastAsia" w:ascii="方正仿宋_GBK" w:hAnsi="方正仿宋_GBK" w:eastAsia="方正仿宋_GBK" w:cs="方正仿宋_GBK"/>
          <w:bCs/>
          <w:smallCaps/>
          <w:kern w:val="0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bCs/>
          <w:smallCaps/>
          <w:kern w:val="0"/>
          <w:sz w:val="32"/>
          <w:szCs w:val="32"/>
          <w:lang w:val="en-US" w:eastAsia="zh-CN"/>
        </w:rPr>
        <w:t xml:space="preserve">                    </w:t>
      </w:r>
      <w:r>
        <w:rPr>
          <w:rFonts w:hint="eastAsia" w:ascii="方正仿宋_GBK" w:hAnsi="方正仿宋_GBK" w:eastAsia="方正仿宋_GBK" w:cs="方正仿宋_GBK"/>
          <w:bCs/>
          <w:smallCaps/>
          <w:kern w:val="0"/>
          <w:sz w:val="32"/>
          <w:szCs w:val="32"/>
        </w:rPr>
        <w:t>20</w:t>
      </w:r>
      <w:r>
        <w:rPr>
          <w:rFonts w:hint="eastAsia" w:ascii="方正仿宋_GBK" w:hAnsi="方正仿宋_GBK" w:eastAsia="方正仿宋_GBK" w:cs="方正仿宋_GBK"/>
          <w:bCs/>
          <w:smallCaps/>
          <w:kern w:val="0"/>
          <w:sz w:val="32"/>
          <w:szCs w:val="32"/>
          <w:lang w:val="en-US" w:eastAsia="zh-CN"/>
        </w:rPr>
        <w:t>23</w:t>
      </w:r>
      <w:r>
        <w:rPr>
          <w:rFonts w:hint="eastAsia" w:ascii="方正仿宋_GBK" w:hAnsi="方正仿宋_GBK" w:eastAsia="方正仿宋_GBK" w:cs="方正仿宋_GBK"/>
          <w:bCs/>
          <w:smallCaps/>
          <w:kern w:val="0"/>
          <w:sz w:val="32"/>
          <w:szCs w:val="32"/>
        </w:rPr>
        <w:t>年</w:t>
      </w:r>
      <w:r>
        <w:rPr>
          <w:rFonts w:hint="eastAsia" w:ascii="方正仿宋_GBK" w:hAnsi="方正仿宋_GBK" w:eastAsia="方正仿宋_GBK" w:cs="方正仿宋_GBK"/>
          <w:bCs/>
          <w:smallCaps/>
          <w:kern w:val="0"/>
          <w:sz w:val="32"/>
          <w:szCs w:val="32"/>
          <w:lang w:val="en-US" w:eastAsia="zh-CN"/>
        </w:rPr>
        <w:t>10</w:t>
      </w:r>
      <w:r>
        <w:rPr>
          <w:rFonts w:hint="eastAsia" w:ascii="方正仿宋_GBK" w:hAnsi="方正仿宋_GBK" w:eastAsia="方正仿宋_GBK" w:cs="方正仿宋_GBK"/>
          <w:bCs/>
          <w:smallCaps/>
          <w:kern w:val="0"/>
          <w:sz w:val="32"/>
          <w:szCs w:val="32"/>
        </w:rPr>
        <w:t>月</w:t>
      </w:r>
      <w:r>
        <w:rPr>
          <w:rFonts w:hint="eastAsia" w:ascii="方正仿宋_GBK" w:hAnsi="方正仿宋_GBK" w:eastAsia="方正仿宋_GBK" w:cs="方正仿宋_GBK"/>
          <w:bCs/>
          <w:smallCaps/>
          <w:kern w:val="0"/>
          <w:sz w:val="32"/>
          <w:szCs w:val="32"/>
          <w:lang w:val="en-US" w:eastAsia="zh-CN"/>
        </w:rPr>
        <w:t>12</w:t>
      </w:r>
      <w:r>
        <w:rPr>
          <w:rFonts w:hint="eastAsia" w:ascii="方正仿宋_GBK" w:hAnsi="方正仿宋_GBK" w:eastAsia="方正仿宋_GBK" w:cs="方正仿宋_GBK"/>
          <w:bCs/>
          <w:smallCaps/>
          <w:kern w:val="0"/>
          <w:sz w:val="32"/>
          <w:szCs w:val="32"/>
        </w:rPr>
        <w:t>日</w:t>
      </w:r>
    </w:p>
    <w:p/>
    <w:p>
      <w:r>
        <w:drawing>
          <wp:inline distT="0" distB="0" distL="114300" distR="114300">
            <wp:extent cx="5597525" cy="7917815"/>
            <wp:effectExtent l="0" t="0" r="3175" b="6985"/>
            <wp:docPr id="1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791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597525" cy="7917815"/>
            <wp:effectExtent l="0" t="0" r="3175" b="6985"/>
            <wp:docPr id="1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791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</w:p>
    <w:p/>
    <w:p>
      <w:pPr>
        <w:pStyle w:val="2"/>
      </w:pPr>
    </w:p>
    <w:p/>
    <w:p/>
    <w:p/>
    <w:p/>
    <w:p/>
    <w:p/>
    <w:p/>
    <w:p>
      <w:pPr>
        <w:rPr>
          <w:rFonts w:hint="eastAsia" w:ascii="方正仿宋_GBK"/>
          <w:sz w:val="28"/>
          <w:szCs w:val="28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pStyle w:val="2"/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pStyle w:val="2"/>
        <w:rPr>
          <w:rFonts w:hint="eastAsia"/>
        </w:rPr>
      </w:pPr>
    </w:p>
    <w:p>
      <w:pPr>
        <w:pStyle w:val="2"/>
        <w:rPr>
          <w:rFonts w:hint="eastAsia"/>
        </w:rPr>
      </w:pPr>
    </w:p>
    <w:p>
      <w:pPr>
        <w:pStyle w:val="2"/>
        <w:rPr>
          <w:rFonts w:hint="eastAsia"/>
        </w:rPr>
      </w:pPr>
    </w:p>
    <w:p>
      <w:pPr>
        <w:rPr>
          <w:rFonts w:hint="eastAsia"/>
        </w:rPr>
      </w:pPr>
    </w:p>
    <w:p>
      <w:pPr>
        <w:pageBreakBefore w:val="0"/>
        <w:kinsoku/>
        <w:wordWrap/>
        <w:overflowPunct/>
        <w:topLinePunct w:val="0"/>
        <w:autoSpaceDE/>
        <w:autoSpaceDN/>
        <w:bidi w:val="0"/>
        <w:snapToGrid w:val="0"/>
        <w:textAlignment w:val="auto"/>
        <w:rPr>
          <w:rFonts w:hint="eastAsia"/>
          <w:sz w:val="10"/>
          <w:szCs w:val="10"/>
        </w:rPr>
      </w:pPr>
    </w:p>
    <w:p>
      <w:pPr>
        <w:widowControl/>
        <w:pBdr>
          <w:top w:val="single" w:color="auto" w:sz="6" w:space="2"/>
          <w:bottom w:val="single" w:color="auto" w:sz="6" w:space="1"/>
        </w:pBdr>
        <w:snapToGrid w:val="0"/>
        <w:ind w:firstLine="280" w:firstLineChars="100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hint="eastAsia" w:ascii="方正仿宋_GBK" w:hAnsi="方正仿宋_GBK" w:eastAsia="方正仿宋_GBK" w:cs="方正仿宋_GBK"/>
          <w:sz w:val="28"/>
          <w:szCs w:val="28"/>
        </w:rPr>
        <w:t>抄送：</w:t>
      </w:r>
      <w:r>
        <w:rPr>
          <w:rFonts w:hint="eastAsia" w:ascii="方正仿宋_GBK" w:hAnsi="方正仿宋_GBK" w:eastAsia="方正仿宋_GBK" w:cs="方正仿宋_GBK"/>
          <w:sz w:val="28"/>
          <w:szCs w:val="28"/>
          <w:lang w:eastAsia="zh-CN"/>
        </w:rPr>
        <w:t>区财政局、区城市管理局。</w:t>
      </w:r>
    </w:p>
    <w:p>
      <w:pPr>
        <w:widowControl/>
        <w:pBdr>
          <w:bottom w:val="single" w:color="auto" w:sz="6" w:space="1"/>
          <w:between w:val="single" w:color="auto" w:sz="6" w:space="1"/>
        </w:pBdr>
        <w:snapToGrid w:val="0"/>
        <w:ind w:firstLine="240" w:firstLineChars="100"/>
        <w:rPr>
          <w:rFonts w:hint="eastAsia"/>
          <w:sz w:val="28"/>
          <w:szCs w:val="28"/>
        </w:rPr>
      </w:pPr>
      <w:r>
        <w:rPr>
          <w:rFonts w:hint="eastAsia" w:ascii="方正仿宋_GBK" w:hAnsi="方正仿宋_GBK" w:eastAsia="方正仿宋_GBK" w:cs="方正仿宋_GBK"/>
          <w:spacing w:val="-20"/>
          <w:sz w:val="28"/>
          <w:szCs w:val="28"/>
        </w:rPr>
        <w:t xml:space="preserve">重庆市北碚区发展和改革委员会办公室             </w:t>
      </w:r>
      <w:r>
        <w:rPr>
          <w:rFonts w:hint="eastAsia" w:ascii="方正仿宋_GBK" w:hAnsi="方正仿宋_GBK" w:eastAsia="方正仿宋_GBK" w:cs="方正仿宋_GBK"/>
          <w:spacing w:val="-20"/>
          <w:sz w:val="28"/>
          <w:szCs w:val="28"/>
          <w:lang w:val="en-US" w:eastAsia="zh-CN"/>
        </w:rPr>
        <w:t xml:space="preserve">     </w:t>
      </w:r>
      <w:r>
        <w:rPr>
          <w:rFonts w:hint="eastAsia" w:ascii="方正仿宋_GBK" w:hAnsi="方正仿宋_GBK" w:eastAsia="方正仿宋_GBK" w:cs="方正仿宋_GBK"/>
          <w:spacing w:val="-20"/>
          <w:sz w:val="28"/>
          <w:szCs w:val="28"/>
        </w:rPr>
        <w:t>20</w:t>
      </w:r>
      <w:r>
        <w:rPr>
          <w:rFonts w:hint="eastAsia" w:ascii="方正仿宋_GBK" w:hAnsi="方正仿宋_GBK" w:eastAsia="方正仿宋_GBK" w:cs="方正仿宋_GBK"/>
          <w:spacing w:val="-20"/>
          <w:sz w:val="28"/>
          <w:szCs w:val="28"/>
          <w:lang w:val="en-US" w:eastAsia="zh-CN"/>
        </w:rPr>
        <w:t>23</w:t>
      </w:r>
      <w:r>
        <w:rPr>
          <w:rFonts w:hint="eastAsia" w:ascii="方正仿宋_GBK" w:hAnsi="方正仿宋_GBK" w:eastAsia="方正仿宋_GBK" w:cs="方正仿宋_GBK"/>
          <w:spacing w:val="-20"/>
          <w:sz w:val="28"/>
          <w:szCs w:val="28"/>
        </w:rPr>
        <w:t>年</w:t>
      </w:r>
      <w:r>
        <w:rPr>
          <w:rFonts w:hint="eastAsia" w:ascii="方正仿宋_GBK" w:hAnsi="方正仿宋_GBK" w:eastAsia="方正仿宋_GBK" w:cs="方正仿宋_GBK"/>
          <w:spacing w:val="-20"/>
          <w:sz w:val="28"/>
          <w:szCs w:val="28"/>
          <w:lang w:val="en-US" w:eastAsia="zh-CN"/>
        </w:rPr>
        <w:t>10</w:t>
      </w:r>
      <w:r>
        <w:rPr>
          <w:rFonts w:hint="eastAsia" w:ascii="方正仿宋_GBK" w:hAnsi="方正仿宋_GBK" w:eastAsia="方正仿宋_GBK" w:cs="方正仿宋_GBK"/>
          <w:spacing w:val="-20"/>
          <w:sz w:val="28"/>
          <w:szCs w:val="28"/>
        </w:rPr>
        <w:t>月</w:t>
      </w:r>
      <w:r>
        <w:rPr>
          <w:rFonts w:hint="eastAsia" w:ascii="方正仿宋_GBK" w:hAnsi="方正仿宋_GBK" w:eastAsia="方正仿宋_GBK" w:cs="方正仿宋_GBK"/>
          <w:spacing w:val="-20"/>
          <w:sz w:val="28"/>
          <w:szCs w:val="28"/>
          <w:lang w:val="en-US" w:eastAsia="zh-CN"/>
        </w:rPr>
        <w:t>12</w:t>
      </w:r>
      <w:r>
        <w:rPr>
          <w:rFonts w:hint="eastAsia" w:ascii="方正仿宋_GBK" w:hAnsi="方正仿宋_GBK" w:eastAsia="方正仿宋_GBK" w:cs="方正仿宋_GBK"/>
          <w:spacing w:val="-20"/>
          <w:sz w:val="28"/>
          <w:szCs w:val="28"/>
        </w:rPr>
        <w:t>日印发</w:t>
      </w:r>
    </w:p>
    <w:sectPr>
      <w:footerReference r:id="rId3" w:type="default"/>
      <w:pgSz w:w="11906" w:h="16838"/>
      <w:pgMar w:top="2098" w:right="1474" w:bottom="1984" w:left="1587" w:header="851" w:footer="992" w:gutter="0"/>
      <w:pgNumType w:fmt="numberInDash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28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黑体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" name="文本框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4"/>
                            <w:rPr>
                              <w:rFonts w:hint="eastAsia" w:eastAsiaTheme="minorEastAsia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sz w:val="21"/>
                              <w:szCs w:val="21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sz w:val="21"/>
                              <w:szCs w:val="21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sz w:val="21"/>
                              <w:szCs w:val="21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sz w:val="21"/>
                              <w:szCs w:val="21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sz w:val="21"/>
                              <w:szCs w:val="21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4"/>
                      <w:rPr>
                        <w:rFonts w:hint="eastAsia" w:eastAsiaTheme="minorEastAsia"/>
                        <w:lang w:eastAsia="zh-CN"/>
                      </w:rPr>
                    </w:pPr>
                    <w:r>
                      <w:rPr>
                        <w:rFonts w:hint="eastAsia"/>
                        <w:sz w:val="21"/>
                        <w:szCs w:val="21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sz w:val="21"/>
                        <w:szCs w:val="21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sz w:val="21"/>
                        <w:szCs w:val="21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sz w:val="21"/>
                        <w:szCs w:val="21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sz w:val="21"/>
                        <w:szCs w:val="21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4FE7857"/>
    <w:rsid w:val="044F7AC5"/>
    <w:rsid w:val="09E50A3C"/>
    <w:rsid w:val="124B6D7A"/>
    <w:rsid w:val="12F65F1E"/>
    <w:rsid w:val="157F164A"/>
    <w:rsid w:val="1671257D"/>
    <w:rsid w:val="17F10FB9"/>
    <w:rsid w:val="1ADB75A2"/>
    <w:rsid w:val="1AEC2637"/>
    <w:rsid w:val="1E0A3575"/>
    <w:rsid w:val="1EBF4D10"/>
    <w:rsid w:val="1EF612AF"/>
    <w:rsid w:val="21B7234F"/>
    <w:rsid w:val="25B64B09"/>
    <w:rsid w:val="32196AB4"/>
    <w:rsid w:val="32F43761"/>
    <w:rsid w:val="344037BE"/>
    <w:rsid w:val="36A8309B"/>
    <w:rsid w:val="37AF3B40"/>
    <w:rsid w:val="385167BF"/>
    <w:rsid w:val="38A54787"/>
    <w:rsid w:val="3AAB6493"/>
    <w:rsid w:val="3B2E5D56"/>
    <w:rsid w:val="3D2B2650"/>
    <w:rsid w:val="3E3D32AB"/>
    <w:rsid w:val="42E63408"/>
    <w:rsid w:val="452D57E1"/>
    <w:rsid w:val="453F7000"/>
    <w:rsid w:val="47650ABC"/>
    <w:rsid w:val="49A30C40"/>
    <w:rsid w:val="51BC1177"/>
    <w:rsid w:val="531E72E7"/>
    <w:rsid w:val="54044A0B"/>
    <w:rsid w:val="58630592"/>
    <w:rsid w:val="5A924908"/>
    <w:rsid w:val="6053697D"/>
    <w:rsid w:val="61DF6767"/>
    <w:rsid w:val="630950A3"/>
    <w:rsid w:val="63F44780"/>
    <w:rsid w:val="64D6725D"/>
    <w:rsid w:val="64FE7857"/>
    <w:rsid w:val="65093289"/>
    <w:rsid w:val="68A11021"/>
    <w:rsid w:val="69B8128F"/>
    <w:rsid w:val="6F3429E7"/>
    <w:rsid w:val="705145E0"/>
    <w:rsid w:val="705F3FB2"/>
    <w:rsid w:val="72452E22"/>
    <w:rsid w:val="728A333D"/>
    <w:rsid w:val="746F23FE"/>
    <w:rsid w:val="75C703A8"/>
    <w:rsid w:val="76EF37F0"/>
    <w:rsid w:val="785C23EF"/>
    <w:rsid w:val="7943530D"/>
    <w:rsid w:val="7A0D58EE"/>
    <w:rsid w:val="7DDA54FD"/>
    <w:rsid w:val="7DDB6BA9"/>
    <w:rsid w:val="7EC565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nhideWhenUsed="0" w:uiPriority="9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paragraph" w:styleId="2">
    <w:name w:val="heading 4"/>
    <w:basedOn w:val="3"/>
    <w:next w:val="1"/>
    <w:qFormat/>
    <w:uiPriority w:val="9"/>
    <w:pPr>
      <w:widowControl/>
      <w:adjustRightInd w:val="0"/>
      <w:snapToGrid w:val="0"/>
      <w:spacing w:line="594" w:lineRule="exact"/>
      <w:jc w:val="left"/>
      <w:outlineLvl w:val="3"/>
    </w:pPr>
    <w:rPr>
      <w:rFonts w:ascii="Times New Roman" w:hAnsi="Times New Roman" w:eastAsia="方正黑体_GBK"/>
      <w:sz w:val="28"/>
      <w:szCs w:val="28"/>
    </w:rPr>
  </w:style>
  <w:style w:type="character" w:default="1" w:styleId="6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rFonts w:hint="eastAsia"/>
      <w:sz w:val="18"/>
    </w:rPr>
  </w:style>
  <w:style w:type="paragraph" w:styleId="5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hint="eastAsia"/>
      <w:sz w:val="18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区发改委</Company>
  <Pages>1</Pages>
  <Words>0</Words>
  <Characters>0</Characters>
  <Lines>0</Lines>
  <Paragraphs>0</Paragraphs>
  <TotalTime>18</TotalTime>
  <ScaleCrop>false</ScaleCrop>
  <LinksUpToDate>false</LinksUpToDate>
  <CharactersWithSpaces>0</CharactersWithSpaces>
  <Application>WPS Office_10.8.2.6948_F1E327BC-269C-435d-A152-05C5408002CA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2021-01-07T07:09:00Z</dcterms:created>
  <dc:creator>BBQFGW010</dc:creator>
  <cp:lastModifiedBy>Administrator</cp:lastModifiedBy>
  <cp:lastPrinted>2023-10-16T03:07:03Z</cp:lastPrinted>
  <dcterms:modified xsi:type="dcterms:W3CDTF">2023-10-16T09:59:33Z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2052-10.8.2.6948</vt:lpwstr>
  </property>
  <property fmtid="{D5CDD505-2E9C-101B-9397-08002B2CF9AE}" pid="3" name="ICV">
    <vt:lpwstr>277BE7E9073F424CA9E08AFD7389A20A</vt:lpwstr>
  </property>
</Properties>
</file>