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firstLine="808" w:firstLineChars="200"/>
        <w:jc w:val="center"/>
        <w:outlineLvl w:val="0"/>
        <w:rPr>
          <w:rFonts w:ascii="仿宋_GB2312" w:hAnsi="宋体" w:eastAsia="仿宋_GB2312"/>
          <w:color w:val="000000"/>
          <w:spacing w:val="-18"/>
          <w:sz w:val="44"/>
          <w:szCs w:val="44"/>
          <w:highlight w:val="none"/>
        </w:rPr>
      </w:pPr>
    </w:p>
    <w:p>
      <w:pPr>
        <w:spacing w:line="900" w:lineRule="exact"/>
        <w:ind w:firstLine="1608" w:firstLineChars="200"/>
        <w:outlineLvl w:val="0"/>
        <w:rPr>
          <w:rFonts w:ascii="宋体"/>
          <w:color w:val="000000"/>
          <w:spacing w:val="-18"/>
          <w:sz w:val="84"/>
          <w:szCs w:val="84"/>
          <w:highlight w:val="none"/>
        </w:rPr>
      </w:pPr>
    </w:p>
    <w:p>
      <w:pPr>
        <w:spacing w:line="360" w:lineRule="auto"/>
        <w:jc w:val="center"/>
        <w:rPr>
          <w:b/>
          <w:bCs/>
          <w:color w:val="000000"/>
          <w:sz w:val="84"/>
          <w:szCs w:val="84"/>
          <w:highlight w:val="none"/>
        </w:rPr>
      </w:pPr>
      <w:r>
        <w:rPr>
          <w:rFonts w:hint="eastAsia"/>
          <w:b/>
          <w:bCs/>
          <w:color w:val="000000"/>
          <w:sz w:val="84"/>
          <w:szCs w:val="84"/>
          <w:highlight w:val="none"/>
        </w:rPr>
        <w:t>政府采购</w:t>
      </w:r>
    </w:p>
    <w:p>
      <w:pPr>
        <w:spacing w:line="900" w:lineRule="exact"/>
        <w:jc w:val="center"/>
        <w:outlineLvl w:val="0"/>
        <w:rPr>
          <w:rFonts w:ascii="华文中宋" w:hAnsi="华文中宋" w:eastAsia="华文中宋"/>
          <w:color w:val="000000"/>
          <w:spacing w:val="-18"/>
          <w:sz w:val="84"/>
          <w:szCs w:val="84"/>
          <w:highlight w:val="none"/>
        </w:rPr>
      </w:pPr>
      <w:r>
        <w:rPr>
          <w:rFonts w:hint="eastAsia"/>
          <w:b/>
          <w:bCs/>
          <w:color w:val="000000"/>
          <w:sz w:val="84"/>
          <w:szCs w:val="84"/>
          <w:highlight w:val="none"/>
        </w:rPr>
        <w:t>竞争性磋商文件</w:t>
      </w:r>
    </w:p>
    <w:p>
      <w:pPr>
        <w:spacing w:line="400" w:lineRule="exact"/>
        <w:ind w:firstLine="808" w:firstLineChars="200"/>
        <w:outlineLvl w:val="0"/>
        <w:rPr>
          <w:rFonts w:ascii="仿宋_GB2312" w:hAnsi="宋体" w:eastAsia="仿宋_GB2312"/>
          <w:b/>
          <w:color w:val="000000"/>
          <w:spacing w:val="-18"/>
          <w:sz w:val="44"/>
          <w:szCs w:val="44"/>
          <w:highlight w:val="none"/>
        </w:rPr>
      </w:pPr>
    </w:p>
    <w:p>
      <w:pPr>
        <w:spacing w:line="400" w:lineRule="exact"/>
        <w:ind w:left="798" w:leftChars="285" w:firstLine="408" w:firstLineChars="200"/>
        <w:outlineLvl w:val="0"/>
        <w:rPr>
          <w:rFonts w:ascii="仿宋_GB2312" w:hAnsi="宋体" w:eastAsia="仿宋_GB2312"/>
          <w:b/>
          <w:color w:val="000000"/>
          <w:spacing w:val="-18"/>
          <w:sz w:val="24"/>
          <w:szCs w:val="24"/>
          <w:highlight w:val="none"/>
        </w:rPr>
      </w:pPr>
    </w:p>
    <w:p>
      <w:pPr>
        <w:spacing w:line="400" w:lineRule="exact"/>
        <w:ind w:left="798" w:leftChars="285" w:firstLine="408" w:firstLineChars="200"/>
        <w:outlineLvl w:val="0"/>
        <w:rPr>
          <w:rFonts w:ascii="仿宋_GB2312" w:hAnsi="宋体" w:eastAsia="仿宋_GB2312"/>
          <w:b/>
          <w:color w:val="000000"/>
          <w:spacing w:val="-18"/>
          <w:sz w:val="24"/>
          <w:szCs w:val="24"/>
          <w:highlight w:val="none"/>
        </w:rPr>
      </w:pPr>
    </w:p>
    <w:p>
      <w:pPr>
        <w:spacing w:line="400" w:lineRule="exact"/>
        <w:outlineLvl w:val="0"/>
        <w:rPr>
          <w:rFonts w:ascii="方正仿宋_GBK" w:hAnsi="仿宋" w:eastAsia="方正仿宋_GBK"/>
          <w:b/>
          <w:color w:val="000000"/>
          <w:spacing w:val="-18"/>
          <w:sz w:val="32"/>
          <w:szCs w:val="32"/>
          <w:highlight w:val="none"/>
        </w:rPr>
      </w:pPr>
    </w:p>
    <w:p>
      <w:pPr>
        <w:spacing w:line="400" w:lineRule="exact"/>
        <w:outlineLvl w:val="0"/>
        <w:rPr>
          <w:rFonts w:ascii="方正仿宋_GBK" w:hAnsi="仿宋" w:eastAsia="方正仿宋_GBK"/>
          <w:b/>
          <w:color w:val="000000"/>
          <w:spacing w:val="-18"/>
          <w:sz w:val="32"/>
          <w:szCs w:val="32"/>
          <w:highlight w:val="none"/>
        </w:rPr>
      </w:pPr>
    </w:p>
    <w:p>
      <w:pPr>
        <w:spacing w:line="400" w:lineRule="exact"/>
        <w:jc w:val="center"/>
        <w:outlineLvl w:val="0"/>
        <w:rPr>
          <w:rFonts w:hint="default" w:ascii="方正仿宋_GBK" w:hAnsi="仿宋" w:eastAsia="方正仿宋_GBK"/>
          <w:b/>
          <w:color w:val="000000"/>
          <w:spacing w:val="-18"/>
          <w:sz w:val="32"/>
          <w:szCs w:val="32"/>
          <w:highlight w:val="none"/>
          <w:lang w:val="en-US" w:eastAsia="zh-CN"/>
        </w:rPr>
      </w:pPr>
      <w:r>
        <w:rPr>
          <w:rFonts w:hint="eastAsia" w:ascii="方正仿宋_GBK" w:hAnsi="仿宋" w:eastAsia="方正仿宋_GBK"/>
          <w:b/>
          <w:color w:val="000000"/>
          <w:spacing w:val="-18"/>
          <w:sz w:val="32"/>
          <w:szCs w:val="32"/>
          <w:highlight w:val="none"/>
        </w:rPr>
        <w:t>采购项目名称：</w:t>
      </w:r>
      <w:r>
        <w:rPr>
          <w:rFonts w:hint="eastAsia" w:ascii="方正仿宋_GBK" w:hAnsi="仿宋" w:eastAsia="方正仿宋_GBK"/>
          <w:b/>
          <w:color w:val="000000"/>
          <w:spacing w:val="-18"/>
          <w:sz w:val="32"/>
          <w:szCs w:val="32"/>
          <w:highlight w:val="none"/>
          <w:lang w:val="en-US" w:eastAsia="zh-CN"/>
        </w:rPr>
        <w:t>2022年北碚区管道天然气安全自闭阀采购</w:t>
      </w:r>
    </w:p>
    <w:p>
      <w:pPr>
        <w:spacing w:line="400" w:lineRule="exact"/>
        <w:ind w:firstLine="568" w:firstLineChars="200"/>
        <w:rPr>
          <w:rFonts w:ascii="方正仿宋_GBK" w:hAnsi="仿宋" w:eastAsia="方正仿宋_GBK"/>
          <w:b/>
          <w:color w:val="000000"/>
          <w:spacing w:val="-18"/>
          <w:sz w:val="32"/>
          <w:szCs w:val="32"/>
          <w:highlight w:val="none"/>
        </w:rPr>
      </w:pPr>
      <w:bookmarkStart w:id="13" w:name="_GoBack"/>
      <w:bookmarkEnd w:id="13"/>
    </w:p>
    <w:p>
      <w:pPr>
        <w:spacing w:line="400" w:lineRule="exact"/>
        <w:ind w:firstLine="568" w:firstLineChars="200"/>
        <w:rPr>
          <w:rFonts w:ascii="方正仿宋_GBK" w:hAnsi="仿宋" w:eastAsia="方正仿宋_GBK"/>
          <w:b/>
          <w:color w:val="000000"/>
          <w:spacing w:val="-18"/>
          <w:sz w:val="32"/>
          <w:szCs w:val="32"/>
          <w:highlight w:val="none"/>
        </w:rPr>
      </w:pPr>
    </w:p>
    <w:p>
      <w:pPr>
        <w:spacing w:line="400" w:lineRule="exact"/>
        <w:ind w:firstLine="568" w:firstLineChars="200"/>
        <w:rPr>
          <w:rFonts w:ascii="方正仿宋_GBK" w:hAnsi="仿宋" w:eastAsia="方正仿宋_GBK"/>
          <w:b/>
          <w:color w:val="000000"/>
          <w:spacing w:val="-18"/>
          <w:sz w:val="32"/>
          <w:szCs w:val="32"/>
          <w:highlight w:val="none"/>
        </w:rPr>
      </w:pPr>
    </w:p>
    <w:p>
      <w:pPr>
        <w:spacing w:line="400" w:lineRule="exact"/>
        <w:ind w:firstLine="568" w:firstLineChars="200"/>
        <w:rPr>
          <w:rFonts w:ascii="方正仿宋_GBK" w:hAnsi="仿宋" w:eastAsia="方正仿宋_GBK"/>
          <w:b/>
          <w:color w:val="000000"/>
          <w:spacing w:val="-18"/>
          <w:sz w:val="32"/>
          <w:szCs w:val="32"/>
          <w:highlight w:val="none"/>
        </w:rPr>
      </w:pPr>
    </w:p>
    <w:p>
      <w:pPr>
        <w:spacing w:line="400" w:lineRule="exact"/>
        <w:ind w:firstLine="568" w:firstLineChars="200"/>
        <w:rPr>
          <w:rFonts w:ascii="方正仿宋_GBK" w:hAnsi="仿宋" w:eastAsia="方正仿宋_GBK"/>
          <w:b/>
          <w:color w:val="000000"/>
          <w:spacing w:val="-18"/>
          <w:sz w:val="32"/>
          <w:szCs w:val="32"/>
          <w:highlight w:val="none"/>
        </w:rPr>
      </w:pPr>
    </w:p>
    <w:p>
      <w:pPr>
        <w:spacing w:line="400" w:lineRule="exact"/>
        <w:ind w:firstLine="568" w:firstLineChars="200"/>
        <w:rPr>
          <w:rFonts w:ascii="方正仿宋_GBK" w:hAnsi="仿宋" w:eastAsia="方正仿宋_GBK"/>
          <w:b/>
          <w:color w:val="000000"/>
          <w:spacing w:val="-18"/>
          <w:sz w:val="32"/>
          <w:szCs w:val="32"/>
          <w:highlight w:val="none"/>
        </w:rPr>
      </w:pPr>
    </w:p>
    <w:p>
      <w:pPr>
        <w:spacing w:line="400" w:lineRule="exact"/>
        <w:ind w:firstLine="568" w:firstLineChars="200"/>
        <w:rPr>
          <w:rFonts w:ascii="方正仿宋_GBK" w:hAnsi="仿宋" w:eastAsia="方正仿宋_GBK"/>
          <w:b/>
          <w:color w:val="000000"/>
          <w:spacing w:val="-18"/>
          <w:sz w:val="32"/>
          <w:szCs w:val="32"/>
          <w:highlight w:val="none"/>
        </w:rPr>
      </w:pPr>
    </w:p>
    <w:p>
      <w:pPr>
        <w:spacing w:line="400" w:lineRule="exact"/>
        <w:ind w:firstLine="568" w:firstLineChars="200"/>
        <w:rPr>
          <w:rFonts w:ascii="方正仿宋_GBK" w:hAnsi="仿宋" w:eastAsia="方正仿宋_GBK"/>
          <w:b/>
          <w:color w:val="000000"/>
          <w:spacing w:val="-18"/>
          <w:sz w:val="32"/>
          <w:szCs w:val="32"/>
          <w:highlight w:val="none"/>
        </w:rPr>
      </w:pPr>
    </w:p>
    <w:p>
      <w:pPr>
        <w:spacing w:line="400" w:lineRule="exact"/>
        <w:ind w:firstLine="568" w:firstLineChars="200"/>
        <w:jc w:val="center"/>
        <w:rPr>
          <w:rFonts w:ascii="方正仿宋_GBK" w:hAnsi="仿宋" w:eastAsia="方正仿宋_GBK"/>
          <w:b/>
          <w:color w:val="000000"/>
          <w:spacing w:val="-18"/>
          <w:sz w:val="32"/>
          <w:szCs w:val="32"/>
          <w:highlight w:val="none"/>
        </w:rPr>
      </w:pPr>
    </w:p>
    <w:p>
      <w:pPr>
        <w:spacing w:line="400" w:lineRule="exact"/>
        <w:jc w:val="center"/>
        <w:outlineLvl w:val="0"/>
        <w:rPr>
          <w:rFonts w:ascii="方正仿宋_GBK" w:hAnsi="仿宋" w:eastAsia="方正仿宋_GBK"/>
          <w:b/>
          <w:color w:val="000000"/>
          <w:spacing w:val="-18"/>
          <w:sz w:val="32"/>
          <w:szCs w:val="32"/>
          <w:highlight w:val="none"/>
        </w:rPr>
      </w:pPr>
      <w:r>
        <w:rPr>
          <w:rFonts w:hint="eastAsia" w:ascii="方正仿宋_GBK" w:hAnsi="仿宋" w:eastAsia="方正仿宋_GBK"/>
          <w:b/>
          <w:color w:val="000000"/>
          <w:spacing w:val="-18"/>
          <w:sz w:val="32"/>
          <w:szCs w:val="32"/>
          <w:highlight w:val="none"/>
        </w:rPr>
        <w:t>采购人：重庆市北碚区经济和信息化委员会</w:t>
      </w:r>
    </w:p>
    <w:p>
      <w:pPr>
        <w:snapToGrid w:val="0"/>
        <w:spacing w:line="400" w:lineRule="exact"/>
        <w:ind w:firstLine="568" w:firstLineChars="200"/>
        <w:jc w:val="center"/>
        <w:rPr>
          <w:rFonts w:ascii="方正仿宋_GBK" w:hAnsi="仿宋" w:eastAsia="方正仿宋_GBK"/>
          <w:b/>
          <w:color w:val="000000"/>
          <w:spacing w:val="-18"/>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964" w:footer="992" w:gutter="0"/>
          <w:pgNumType w:start="1"/>
          <w:cols w:space="720" w:num="1"/>
          <w:titlePg/>
          <w:docGrid w:type="linesAndChars" w:linePitch="312" w:charSpace="0"/>
        </w:sectPr>
      </w:pPr>
      <w:r>
        <w:rPr>
          <w:rFonts w:hint="eastAsia" w:ascii="方正仿宋_GBK" w:hAnsi="仿宋" w:eastAsia="方正仿宋_GBK"/>
          <w:b/>
          <w:color w:val="000000"/>
          <w:spacing w:val="-18"/>
          <w:sz w:val="32"/>
          <w:szCs w:val="32"/>
          <w:highlight w:val="none"/>
        </w:rPr>
        <w:t>二○二</w:t>
      </w:r>
      <w:r>
        <w:rPr>
          <w:rFonts w:hint="eastAsia" w:ascii="方正仿宋_GBK" w:hAnsi="仿宋" w:eastAsia="方正仿宋_GBK"/>
          <w:b/>
          <w:color w:val="000000"/>
          <w:spacing w:val="-18"/>
          <w:sz w:val="32"/>
          <w:szCs w:val="32"/>
          <w:highlight w:val="none"/>
          <w:lang w:eastAsia="zh-CN"/>
        </w:rPr>
        <w:t>二</w:t>
      </w:r>
      <w:r>
        <w:rPr>
          <w:rFonts w:hint="eastAsia" w:ascii="方正仿宋_GBK" w:hAnsi="仿宋" w:eastAsia="方正仿宋_GBK"/>
          <w:b/>
          <w:color w:val="000000"/>
          <w:spacing w:val="-18"/>
          <w:sz w:val="32"/>
          <w:szCs w:val="32"/>
          <w:highlight w:val="none"/>
        </w:rPr>
        <w:t>年</w:t>
      </w:r>
      <w:r>
        <w:rPr>
          <w:rFonts w:hint="eastAsia" w:ascii="方正仿宋_GBK" w:hAnsi="仿宋" w:eastAsia="方正仿宋_GBK"/>
          <w:b/>
          <w:color w:val="000000"/>
          <w:spacing w:val="-18"/>
          <w:sz w:val="32"/>
          <w:szCs w:val="32"/>
          <w:highlight w:val="none"/>
          <w:lang w:eastAsia="zh-CN"/>
        </w:rPr>
        <w:t>九</w:t>
      </w:r>
      <w:r>
        <w:rPr>
          <w:rFonts w:hint="eastAsia" w:ascii="方正仿宋_GBK" w:hAnsi="仿宋" w:eastAsia="方正仿宋_GBK"/>
          <w:b/>
          <w:color w:val="000000"/>
          <w:spacing w:val="-18"/>
          <w:sz w:val="32"/>
          <w:szCs w:val="32"/>
          <w:highlight w:val="none"/>
        </w:rPr>
        <w:t>月</w:t>
      </w:r>
    </w:p>
    <w:p>
      <w:pPr>
        <w:spacing w:line="560" w:lineRule="exact"/>
        <w:rPr>
          <w:rFonts w:ascii="黑体" w:hAnsi="黑体" w:eastAsia="黑体"/>
          <w:color w:val="000000"/>
          <w:spacing w:val="-18"/>
          <w:sz w:val="32"/>
          <w:szCs w:val="32"/>
          <w:highlight w:val="none"/>
        </w:rPr>
      </w:pPr>
      <w:r>
        <w:rPr>
          <w:rFonts w:hint="eastAsia" w:ascii="黑体" w:hAnsi="黑体" w:eastAsia="黑体" w:cs="方正黑体_GBK"/>
          <w:color w:val="000000"/>
          <w:spacing w:val="-18"/>
          <w:sz w:val="32"/>
          <w:szCs w:val="32"/>
          <w:highlight w:val="none"/>
        </w:rPr>
        <w:t>一、采购邀请书</w:t>
      </w:r>
    </w:p>
    <w:p>
      <w:pPr>
        <w:spacing w:line="560" w:lineRule="exact"/>
        <w:ind w:firstLine="640" w:firstLineChars="200"/>
        <w:outlineLvl w:val="0"/>
        <w:rPr>
          <w:rFonts w:hint="eastAsia" w:ascii="方正仿宋_GBK" w:hAnsi="仿宋" w:eastAsia="方正仿宋_GBK" w:cs="宋体"/>
          <w:snapToGrid w:val="0"/>
          <w:color w:val="000000"/>
          <w:kern w:val="0"/>
          <w:sz w:val="32"/>
          <w:szCs w:val="32"/>
          <w:highlight w:val="none"/>
        </w:rPr>
      </w:pPr>
      <w:r>
        <w:rPr>
          <w:rFonts w:hint="eastAsia" w:ascii="方正仿宋_GBK" w:hAnsi="仿宋" w:eastAsia="方正仿宋_GBK" w:cs="宋体"/>
          <w:snapToGrid w:val="0"/>
          <w:color w:val="000000"/>
          <w:kern w:val="0"/>
          <w:sz w:val="32"/>
          <w:szCs w:val="32"/>
          <w:highlight w:val="none"/>
        </w:rPr>
        <w:t>重庆市北碚区经济和信息化委员会按照有关规定，对2022年北碚区管道天然气安全自闭阀采购进行磋商，欢迎具备相关资质的供应商参与。</w:t>
      </w:r>
    </w:p>
    <w:p>
      <w:pPr>
        <w:spacing w:line="560" w:lineRule="exact"/>
        <w:ind w:firstLine="640" w:firstLineChars="200"/>
        <w:outlineLvl w:val="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（一）采购内容</w:t>
      </w:r>
    </w:p>
    <w:tbl>
      <w:tblPr>
        <w:tblStyle w:val="19"/>
        <w:tblW w:w="9036" w:type="dxa"/>
        <w:jc w:val="center"/>
        <w:tblInd w:w="0" w:type="dxa"/>
        <w:tblLayout w:type="fixed"/>
        <w:tblCellMar>
          <w:top w:w="15" w:type="dxa"/>
          <w:left w:w="15" w:type="dxa"/>
          <w:bottom w:w="15" w:type="dxa"/>
          <w:right w:w="15" w:type="dxa"/>
        </w:tblCellMar>
      </w:tblPr>
      <w:tblGrid>
        <w:gridCol w:w="3199"/>
        <w:gridCol w:w="2439"/>
        <w:gridCol w:w="1719"/>
        <w:gridCol w:w="1679"/>
      </w:tblGrid>
      <w:tr>
        <w:tblPrEx>
          <w:tblLayout w:type="fixed"/>
          <w:tblCellMar>
            <w:top w:w="15" w:type="dxa"/>
            <w:left w:w="15" w:type="dxa"/>
            <w:bottom w:w="15" w:type="dxa"/>
            <w:right w:w="15" w:type="dxa"/>
          </w:tblCellMar>
        </w:tblPrEx>
        <w:trPr>
          <w:trHeight w:val="577" w:hRule="atLeast"/>
          <w:jc w:val="center"/>
        </w:trPr>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方正仿宋_GBK" w:hAnsi="方正仿宋_GBK" w:eastAsia="方正仿宋_GBK" w:cs="方正仿宋_GBK"/>
                <w:b w:val="0"/>
                <w:bCs/>
                <w:color w:val="000000"/>
                <w:sz w:val="28"/>
                <w:szCs w:val="28"/>
                <w:highlight w:val="none"/>
              </w:rPr>
            </w:pPr>
            <w:r>
              <w:rPr>
                <w:rFonts w:hint="eastAsia" w:ascii="方正仿宋_GBK" w:hAnsi="方正仿宋_GBK" w:eastAsia="方正仿宋_GBK" w:cs="方正仿宋_GBK"/>
                <w:b w:val="0"/>
                <w:bCs/>
                <w:color w:val="000000"/>
                <w:kern w:val="0"/>
                <w:sz w:val="28"/>
                <w:szCs w:val="28"/>
                <w:highlight w:val="none"/>
              </w:rPr>
              <w:t>项目名称</w:t>
            </w:r>
          </w:p>
        </w:tc>
        <w:tc>
          <w:tcPr>
            <w:tcW w:w="24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 w:val="0"/>
                <w:bCs/>
                <w:color w:val="000000"/>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采购数</w:t>
            </w:r>
          </w:p>
        </w:tc>
        <w:tc>
          <w:tcPr>
            <w:tcW w:w="17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b w:val="0"/>
                <w:bCs/>
                <w:color w:val="000000"/>
                <w:sz w:val="28"/>
                <w:szCs w:val="28"/>
                <w:highlight w:val="none"/>
              </w:rPr>
            </w:pPr>
            <w:r>
              <w:rPr>
                <w:rFonts w:hint="eastAsia" w:ascii="方正仿宋_GBK" w:hAnsi="方正仿宋_GBK" w:eastAsia="方正仿宋_GBK" w:cs="方正仿宋_GBK"/>
                <w:b w:val="0"/>
                <w:bCs/>
                <w:color w:val="auto"/>
                <w:sz w:val="28"/>
                <w:szCs w:val="28"/>
                <w:highlight w:val="none"/>
                <w:lang w:eastAsia="zh-CN"/>
              </w:rPr>
              <w:t>采购</w:t>
            </w:r>
            <w:r>
              <w:rPr>
                <w:rFonts w:hint="eastAsia" w:ascii="方正仿宋_GBK" w:hAnsi="方正仿宋_GBK" w:eastAsia="方正仿宋_GBK" w:cs="方正仿宋_GBK"/>
                <w:b w:val="0"/>
                <w:bCs/>
                <w:color w:val="auto"/>
                <w:sz w:val="28"/>
                <w:szCs w:val="28"/>
                <w:highlight w:val="none"/>
              </w:rPr>
              <w:t>单价最高限价</w:t>
            </w:r>
          </w:p>
        </w:tc>
        <w:tc>
          <w:tcPr>
            <w:tcW w:w="167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b w:val="0"/>
                <w:bCs/>
                <w:color w:val="auto"/>
                <w:sz w:val="28"/>
                <w:szCs w:val="28"/>
                <w:highlight w:val="none"/>
              </w:rPr>
            </w:pPr>
            <w:r>
              <w:rPr>
                <w:rFonts w:hint="eastAsia" w:ascii="方正仿宋_GBK" w:hAnsi="方正仿宋_GBK" w:eastAsia="方正仿宋_GBK" w:cs="方正仿宋_GBK"/>
                <w:b w:val="0"/>
                <w:bCs/>
                <w:color w:val="auto"/>
                <w:sz w:val="28"/>
                <w:szCs w:val="28"/>
                <w:highlight w:val="none"/>
              </w:rPr>
              <w:t>总价最高限价</w:t>
            </w:r>
          </w:p>
          <w:p>
            <w:pPr>
              <w:jc w:val="center"/>
              <w:rPr>
                <w:rFonts w:hint="eastAsia" w:ascii="方正仿宋_GBK" w:hAnsi="方正仿宋_GBK" w:eastAsia="方正仿宋_GBK" w:cs="方正仿宋_GBK"/>
                <w:b w:val="0"/>
                <w:bCs/>
                <w:color w:val="000000"/>
                <w:kern w:val="0"/>
                <w:sz w:val="28"/>
                <w:szCs w:val="28"/>
                <w:highlight w:val="none"/>
              </w:rPr>
            </w:pPr>
            <w:r>
              <w:rPr>
                <w:rFonts w:hint="eastAsia" w:ascii="方正仿宋_GBK" w:hAnsi="方正仿宋_GBK" w:eastAsia="方正仿宋_GBK" w:cs="方正仿宋_GBK"/>
                <w:b w:val="0"/>
                <w:bCs/>
                <w:color w:val="auto"/>
                <w:sz w:val="28"/>
                <w:szCs w:val="28"/>
                <w:highlight w:val="none"/>
              </w:rPr>
              <w:t>（元）</w:t>
            </w:r>
          </w:p>
        </w:tc>
      </w:tr>
      <w:tr>
        <w:tblPrEx>
          <w:tblLayout w:type="fixed"/>
          <w:tblCellMar>
            <w:top w:w="15" w:type="dxa"/>
            <w:left w:w="15" w:type="dxa"/>
            <w:bottom w:w="15" w:type="dxa"/>
            <w:right w:w="15" w:type="dxa"/>
          </w:tblCellMar>
        </w:tblPrEx>
        <w:trPr>
          <w:trHeight w:val="1073" w:hRule="atLeast"/>
          <w:jc w:val="center"/>
        </w:trPr>
        <w:tc>
          <w:tcPr>
            <w:tcW w:w="319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方正仿宋_GBK" w:hAnsi="方正仿宋_GBK" w:eastAsia="方正仿宋_GBK" w:cs="方正仿宋_GBK"/>
                <w:b w:val="0"/>
                <w:bCs/>
                <w:color w:val="000000"/>
                <w:sz w:val="28"/>
                <w:szCs w:val="28"/>
                <w:highlight w:val="none"/>
              </w:rPr>
            </w:pPr>
            <w:r>
              <w:rPr>
                <w:rFonts w:hint="eastAsia" w:ascii="方正仿宋_GBK" w:hAnsi="方正仿宋_GBK" w:eastAsia="方正仿宋_GBK" w:cs="方正仿宋_GBK"/>
                <w:b w:val="0"/>
                <w:bCs/>
                <w:color w:val="000000"/>
                <w:sz w:val="28"/>
                <w:szCs w:val="28"/>
                <w:highlight w:val="none"/>
              </w:rPr>
              <w:t>2022年北碚区管道天然气安全自闭阀采购</w:t>
            </w:r>
          </w:p>
        </w:tc>
        <w:tc>
          <w:tcPr>
            <w:tcW w:w="2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val="0"/>
                <w:bCs/>
                <w:color w:val="000000"/>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3100</w:t>
            </w:r>
            <w:r>
              <w:rPr>
                <w:rFonts w:hint="eastAsia" w:ascii="方正仿宋_GBK" w:hAnsi="方正仿宋_GBK" w:eastAsia="方正仿宋_GBK" w:cs="方正仿宋_GBK"/>
                <w:b w:val="0"/>
                <w:bCs/>
                <w:color w:val="auto"/>
                <w:sz w:val="28"/>
                <w:szCs w:val="28"/>
                <w:highlight w:val="none"/>
                <w:lang w:eastAsia="zh-CN"/>
              </w:rPr>
              <w:t>个（以实际采购数为准）</w:t>
            </w:r>
          </w:p>
        </w:tc>
        <w:tc>
          <w:tcPr>
            <w:tcW w:w="171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eastAsia="方正仿宋_GBK" w:cs="方正仿宋_GBK"/>
                <w:b w:val="0"/>
                <w:bCs/>
                <w:color w:val="FF0000"/>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rPr>
              <w:t>1</w:t>
            </w:r>
            <w:r>
              <w:rPr>
                <w:rFonts w:hint="eastAsia" w:ascii="方正仿宋_GBK" w:hAnsi="方正仿宋_GBK" w:eastAsia="方正仿宋_GBK" w:cs="方正仿宋_GBK"/>
                <w:b w:val="0"/>
                <w:bCs/>
                <w:color w:val="auto"/>
                <w:sz w:val="28"/>
                <w:szCs w:val="28"/>
                <w:highlight w:val="none"/>
                <w:lang w:val="en-US" w:eastAsia="zh-CN"/>
              </w:rPr>
              <w:t>6</w:t>
            </w:r>
            <w:r>
              <w:rPr>
                <w:rFonts w:hint="eastAsia" w:ascii="方正仿宋_GBK" w:hAnsi="方正仿宋_GBK" w:eastAsia="方正仿宋_GBK" w:cs="方正仿宋_GBK"/>
                <w:b w:val="0"/>
                <w:bCs/>
                <w:color w:val="auto"/>
                <w:sz w:val="28"/>
                <w:szCs w:val="28"/>
                <w:highlight w:val="none"/>
              </w:rPr>
              <w:t>5元/</w:t>
            </w:r>
            <w:r>
              <w:rPr>
                <w:rFonts w:hint="eastAsia" w:ascii="方正仿宋_GBK" w:hAnsi="方正仿宋_GBK" w:eastAsia="方正仿宋_GBK" w:cs="方正仿宋_GBK"/>
                <w:b w:val="0"/>
                <w:bCs/>
                <w:color w:val="auto"/>
                <w:sz w:val="28"/>
                <w:szCs w:val="28"/>
                <w:highlight w:val="none"/>
                <w:lang w:eastAsia="zh-CN"/>
              </w:rPr>
              <w:t>个</w:t>
            </w:r>
          </w:p>
        </w:tc>
        <w:tc>
          <w:tcPr>
            <w:tcW w:w="1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b w:val="0"/>
                <w:bCs/>
                <w:color w:val="000000"/>
                <w:kern w:val="0"/>
                <w:sz w:val="28"/>
                <w:szCs w:val="28"/>
                <w:highlight w:val="none"/>
              </w:rPr>
            </w:pPr>
            <w:r>
              <w:rPr>
                <w:rFonts w:hint="eastAsia" w:ascii="方正仿宋_GBK" w:hAnsi="方正仿宋_GBK" w:eastAsia="方正仿宋_GBK" w:cs="方正仿宋_GBK"/>
                <w:b w:val="0"/>
                <w:bCs/>
                <w:color w:val="auto"/>
                <w:sz w:val="28"/>
                <w:szCs w:val="28"/>
                <w:highlight w:val="none"/>
                <w:lang w:val="en-US" w:eastAsia="zh-CN"/>
              </w:rPr>
              <w:t>511500</w:t>
            </w:r>
          </w:p>
        </w:tc>
      </w:tr>
      <w:tr>
        <w:tblPrEx>
          <w:tblLayout w:type="fixed"/>
          <w:tblCellMar>
            <w:top w:w="15" w:type="dxa"/>
            <w:left w:w="15" w:type="dxa"/>
            <w:bottom w:w="15" w:type="dxa"/>
            <w:right w:w="15" w:type="dxa"/>
          </w:tblCellMar>
        </w:tblPrEx>
        <w:trPr>
          <w:trHeight w:val="587" w:hRule="atLeast"/>
          <w:jc w:val="center"/>
        </w:trPr>
        <w:tc>
          <w:tcPr>
            <w:tcW w:w="9036" w:type="dxa"/>
            <w:gridSpan w:val="4"/>
            <w:tcBorders>
              <w:top w:val="single" w:color="000000" w:sz="4" w:space="0"/>
              <w:left w:val="single" w:color="000000" w:sz="4" w:space="0"/>
              <w:bottom w:val="single" w:color="000000" w:sz="4" w:space="0"/>
              <w:right w:val="single" w:color="auto" w:sz="4" w:space="0"/>
            </w:tcBorders>
            <w:vAlign w:val="center"/>
          </w:tcPr>
          <w:p>
            <w:pPr>
              <w:widowControl/>
              <w:spacing w:line="560" w:lineRule="exact"/>
              <w:ind w:firstLine="560" w:firstLineChars="200"/>
              <w:textAlignment w:val="center"/>
              <w:rPr>
                <w:rFonts w:hint="eastAsia" w:ascii="方正仿宋_GBK" w:hAnsi="方正仿宋_GBK" w:eastAsia="方正仿宋_GBK" w:cs="方正仿宋_GBK"/>
                <w:b w:val="0"/>
                <w:bCs/>
                <w:color w:val="000000"/>
                <w:kern w:val="0"/>
                <w:sz w:val="28"/>
                <w:szCs w:val="28"/>
                <w:highlight w:val="none"/>
              </w:rPr>
            </w:pPr>
            <w:r>
              <w:rPr>
                <w:rFonts w:hint="eastAsia" w:ascii="方正仿宋_GBK" w:hAnsi="方正仿宋_GBK" w:eastAsia="方正仿宋_GBK" w:cs="方正仿宋_GBK"/>
                <w:b w:val="0"/>
                <w:bCs/>
                <w:color w:val="auto"/>
                <w:kern w:val="0"/>
                <w:sz w:val="28"/>
                <w:szCs w:val="28"/>
                <w:highlight w:val="none"/>
              </w:rPr>
              <w:t>本项目最高限价为：</w:t>
            </w:r>
            <w:r>
              <w:rPr>
                <w:rFonts w:hint="eastAsia" w:ascii="方正仿宋_GBK" w:hAnsi="方正仿宋_GBK" w:eastAsia="方正仿宋_GBK" w:cs="方正仿宋_GBK"/>
                <w:b w:val="0"/>
                <w:bCs/>
                <w:color w:val="auto"/>
                <w:sz w:val="28"/>
                <w:szCs w:val="28"/>
                <w:highlight w:val="none"/>
                <w:lang w:val="en-US" w:eastAsia="zh-CN"/>
              </w:rPr>
              <w:t>511500</w:t>
            </w:r>
            <w:r>
              <w:rPr>
                <w:rFonts w:hint="eastAsia" w:ascii="方正仿宋_GBK" w:hAnsi="方正仿宋_GBK" w:eastAsia="方正仿宋_GBK" w:cs="方正仿宋_GBK"/>
                <w:b w:val="0"/>
                <w:bCs/>
                <w:color w:val="auto"/>
                <w:kern w:val="0"/>
                <w:sz w:val="28"/>
                <w:szCs w:val="28"/>
                <w:highlight w:val="none"/>
                <w:lang w:val="en-US" w:eastAsia="zh-CN"/>
              </w:rPr>
              <w:t>元</w:t>
            </w:r>
            <w:r>
              <w:rPr>
                <w:rFonts w:hint="eastAsia" w:ascii="方正仿宋_GBK" w:hAnsi="方正仿宋_GBK" w:eastAsia="方正仿宋_GBK" w:cs="方正仿宋_GBK"/>
                <w:b w:val="0"/>
                <w:bCs/>
                <w:color w:val="auto"/>
                <w:kern w:val="0"/>
                <w:sz w:val="28"/>
                <w:szCs w:val="28"/>
                <w:highlight w:val="none"/>
              </w:rPr>
              <w:t>，包含：</w:t>
            </w:r>
            <w:r>
              <w:rPr>
                <w:rFonts w:hint="eastAsia" w:ascii="方正仿宋_GBK" w:hAnsi="方正仿宋_GBK" w:eastAsia="方正仿宋_GBK" w:cs="方正仿宋_GBK"/>
                <w:b w:val="0"/>
                <w:bCs/>
                <w:snapToGrid w:val="0"/>
                <w:color w:val="auto"/>
                <w:kern w:val="0"/>
                <w:sz w:val="28"/>
                <w:szCs w:val="28"/>
                <w:highlight w:val="none"/>
                <w:lang w:eastAsia="zh-CN"/>
              </w:rPr>
              <w:t>安全自闭阀、</w:t>
            </w:r>
            <w:r>
              <w:rPr>
                <w:rFonts w:hint="eastAsia" w:ascii="方正仿宋_GBK" w:hAnsi="方正仿宋_GBK" w:eastAsia="方正仿宋_GBK" w:cs="方正仿宋_GBK"/>
                <w:b w:val="0"/>
                <w:bCs/>
                <w:color w:val="auto"/>
                <w:kern w:val="0"/>
                <w:sz w:val="28"/>
                <w:szCs w:val="28"/>
                <w:highlight w:val="none"/>
                <w:lang w:eastAsia="zh-CN"/>
              </w:rPr>
              <w:t>运输</w:t>
            </w:r>
            <w:r>
              <w:rPr>
                <w:rFonts w:hint="eastAsia" w:ascii="方正仿宋_GBK" w:hAnsi="方正仿宋_GBK" w:eastAsia="方正仿宋_GBK" w:cs="方正仿宋_GBK"/>
                <w:b w:val="0"/>
                <w:bCs/>
                <w:color w:val="auto"/>
                <w:kern w:val="0"/>
                <w:sz w:val="28"/>
                <w:szCs w:val="28"/>
                <w:highlight w:val="none"/>
              </w:rPr>
              <w:t>、</w:t>
            </w:r>
            <w:r>
              <w:rPr>
                <w:rFonts w:hint="eastAsia" w:ascii="方正仿宋_GBK" w:hAnsi="方正仿宋_GBK" w:eastAsia="方正仿宋_GBK" w:cs="方正仿宋_GBK"/>
                <w:b w:val="0"/>
                <w:bCs/>
                <w:color w:val="auto"/>
                <w:kern w:val="0"/>
                <w:sz w:val="28"/>
                <w:szCs w:val="28"/>
                <w:highlight w:val="none"/>
                <w:lang w:eastAsia="zh-CN"/>
              </w:rPr>
              <w:t>安装、辅材、</w:t>
            </w:r>
            <w:r>
              <w:rPr>
                <w:rFonts w:hint="eastAsia" w:ascii="方正仿宋_GBK" w:hAnsi="方正仿宋_GBK" w:eastAsia="方正仿宋_GBK" w:cs="方正仿宋_GBK"/>
                <w:b w:val="0"/>
                <w:bCs/>
                <w:color w:val="auto"/>
                <w:kern w:val="0"/>
                <w:sz w:val="28"/>
                <w:szCs w:val="28"/>
                <w:highlight w:val="none"/>
              </w:rPr>
              <w:t>税费等全部费用。</w:t>
            </w:r>
          </w:p>
        </w:tc>
      </w:tr>
    </w:tbl>
    <w:p>
      <w:pPr>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bookmarkStart w:id="0" w:name="_Toc465959231"/>
      <w:r>
        <w:rPr>
          <w:rFonts w:hint="eastAsia" w:ascii="方正仿宋_GBK" w:hAnsi="方正楷体_GBK" w:eastAsia="方正仿宋_GBK" w:cs="方正楷体_GBK"/>
          <w:snapToGrid w:val="0"/>
          <w:color w:val="000000"/>
          <w:kern w:val="0"/>
          <w:sz w:val="32"/>
          <w:szCs w:val="32"/>
          <w:highlight w:val="none"/>
        </w:rPr>
        <w:t>（二）资金来源</w:t>
      </w:r>
    </w:p>
    <w:p>
      <w:pPr>
        <w:spacing w:line="560" w:lineRule="exact"/>
        <w:ind w:firstLine="640" w:firstLineChars="200"/>
        <w:rPr>
          <w:rFonts w:ascii="方正仿宋_GBK" w:hAnsi="方正仿宋_GBK" w:eastAsia="方正仿宋_GBK" w:cs="方正仿宋_GBK"/>
          <w:snapToGrid w:val="0"/>
          <w:color w:val="000000"/>
          <w:kern w:val="0"/>
          <w:sz w:val="32"/>
          <w:szCs w:val="32"/>
          <w:highlight w:val="none"/>
        </w:rPr>
      </w:pPr>
      <w:r>
        <w:rPr>
          <w:rFonts w:hint="eastAsia" w:ascii="方正仿宋_GBK" w:hAnsi="方正仿宋_GBK" w:eastAsia="方正仿宋_GBK" w:cs="方正仿宋_GBK"/>
          <w:snapToGrid w:val="0"/>
          <w:color w:val="000000"/>
          <w:kern w:val="0"/>
          <w:sz w:val="32"/>
          <w:szCs w:val="32"/>
          <w:highlight w:val="none"/>
        </w:rPr>
        <w:t>财政预算资金。</w:t>
      </w:r>
    </w:p>
    <w:p>
      <w:pPr>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（三）磋商资格</w:t>
      </w:r>
    </w:p>
    <w:p>
      <w:pPr>
        <w:spacing w:line="560" w:lineRule="exact"/>
        <w:ind w:firstLine="640" w:firstLineChars="200"/>
        <w:rPr>
          <w:rFonts w:ascii="方正仿宋_GBK" w:hAnsi="仿宋" w:eastAsia="方正仿宋_GBK" w:cs="宋体"/>
          <w:snapToGrid w:val="0"/>
          <w:color w:val="000000"/>
          <w:kern w:val="0"/>
          <w:sz w:val="32"/>
          <w:szCs w:val="32"/>
          <w:highlight w:val="none"/>
        </w:rPr>
      </w:pPr>
      <w:r>
        <w:rPr>
          <w:rFonts w:hint="eastAsia" w:ascii="方正仿宋_GBK" w:hAnsi="仿宋" w:eastAsia="方正仿宋_GBK" w:cs="宋体"/>
          <w:snapToGrid w:val="0"/>
          <w:color w:val="000000"/>
          <w:kern w:val="0"/>
          <w:sz w:val="32"/>
          <w:szCs w:val="32"/>
          <w:highlight w:val="none"/>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560" w:lineRule="exact"/>
        <w:ind w:firstLine="640" w:firstLineChars="200"/>
        <w:rPr>
          <w:rFonts w:ascii="方正仿宋_GBK" w:hAnsi="仿宋" w:eastAsia="方正仿宋_GBK" w:cs="宋体"/>
          <w:snapToGrid w:val="0"/>
          <w:color w:val="000000"/>
          <w:kern w:val="0"/>
          <w:sz w:val="32"/>
          <w:szCs w:val="32"/>
          <w:highlight w:val="none"/>
        </w:rPr>
      </w:pPr>
      <w:r>
        <w:rPr>
          <w:rFonts w:hint="eastAsia" w:ascii="仿宋" w:hAnsi="仿宋" w:eastAsia="仿宋" w:cs="仿宋"/>
          <w:snapToGrid w:val="0"/>
          <w:color w:val="000000"/>
          <w:kern w:val="0"/>
          <w:sz w:val="32"/>
          <w:szCs w:val="32"/>
          <w:highlight w:val="none"/>
          <w:lang w:val="en-US" w:eastAsia="zh-CN"/>
        </w:rPr>
        <w:t>1.</w:t>
      </w:r>
      <w:r>
        <w:rPr>
          <w:rFonts w:hint="eastAsia" w:ascii="方正仿宋_GBK" w:hAnsi="仿宋" w:eastAsia="方正仿宋_GBK" w:cs="宋体"/>
          <w:snapToGrid w:val="0"/>
          <w:color w:val="000000"/>
          <w:kern w:val="0"/>
          <w:sz w:val="32"/>
          <w:szCs w:val="32"/>
          <w:highlight w:val="none"/>
        </w:rPr>
        <w:t>一般资质条件：</w:t>
      </w:r>
    </w:p>
    <w:p>
      <w:pPr>
        <w:snapToGrid w:val="0"/>
        <w:spacing w:line="560" w:lineRule="exact"/>
        <w:ind w:firstLine="640" w:firstLineChars="200"/>
        <w:outlineLvl w:val="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lang w:val="en-US" w:eastAsia="zh-CN"/>
        </w:rPr>
        <w:t>1</w:t>
      </w: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rPr>
        <w:t>具有独立承担民事责任的能力；</w:t>
      </w:r>
    </w:p>
    <w:p>
      <w:pPr>
        <w:snapToGrid w:val="0"/>
        <w:spacing w:line="560" w:lineRule="exact"/>
        <w:ind w:firstLine="640" w:firstLineChars="200"/>
        <w:outlineLvl w:val="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lang w:val="en-US" w:eastAsia="zh-CN"/>
        </w:rPr>
        <w:t>2</w:t>
      </w: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rPr>
        <w:t>具有良好的商业信誉和健全的财务会计制度；</w:t>
      </w:r>
    </w:p>
    <w:p>
      <w:pPr>
        <w:snapToGrid w:val="0"/>
        <w:spacing w:line="560" w:lineRule="exact"/>
        <w:ind w:firstLine="640" w:firstLineChars="200"/>
        <w:outlineLvl w:val="0"/>
        <w:rPr>
          <w:rFonts w:hint="eastAsia"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lang w:val="en-US" w:eastAsia="zh-CN"/>
        </w:rPr>
        <w:t>3</w:t>
      </w: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rPr>
        <w:t>具有履行合同所必需的设备和专业技术能力；</w:t>
      </w:r>
    </w:p>
    <w:p>
      <w:pPr>
        <w:snapToGrid w:val="0"/>
        <w:spacing w:line="560" w:lineRule="exact"/>
        <w:ind w:firstLine="640" w:firstLineChars="200"/>
        <w:outlineLvl w:val="0"/>
        <w:rPr>
          <w:rFonts w:hint="eastAsia" w:ascii="方正仿宋_GBK" w:hAnsi="仿宋" w:eastAsia="方正仿宋_GBK"/>
          <w:snapToGrid w:val="0"/>
          <w:color w:val="000000"/>
          <w:kern w:val="0"/>
          <w:sz w:val="32"/>
          <w:szCs w:val="32"/>
          <w:highlight w:val="none"/>
          <w:lang w:eastAsia="zh-CN"/>
        </w:rPr>
      </w:pP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lang w:val="en-US" w:eastAsia="zh-CN"/>
        </w:rPr>
        <w:t>4</w:t>
      </w: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rPr>
        <w:t>有依法缴纳税收和社会保障资金的良好记录；</w:t>
      </w:r>
    </w:p>
    <w:p>
      <w:pPr>
        <w:snapToGrid w:val="0"/>
        <w:spacing w:line="560" w:lineRule="exact"/>
        <w:ind w:firstLine="640" w:firstLineChars="200"/>
        <w:outlineLvl w:val="0"/>
        <w:rPr>
          <w:rFonts w:hint="eastAsia"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lang w:val="en-US" w:eastAsia="zh-CN"/>
        </w:rPr>
        <w:t>5</w:t>
      </w: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rPr>
        <w:t>参加政府采购活动前三年内，在经营活动中没有重大违法记录；</w:t>
      </w:r>
    </w:p>
    <w:p>
      <w:pPr>
        <w:snapToGrid w:val="0"/>
        <w:spacing w:line="560" w:lineRule="exact"/>
        <w:ind w:firstLine="640" w:firstLineChars="200"/>
        <w:outlineLvl w:val="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lang w:val="en-US" w:eastAsia="zh-CN"/>
        </w:rPr>
        <w:t>6</w:t>
      </w: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rPr>
        <w:t>法律、行政法规规定的其他条件。</w:t>
      </w:r>
    </w:p>
    <w:p>
      <w:pPr>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仿宋" w:eastAsia="方正仿宋_GBK" w:cs="宋体"/>
          <w:snapToGrid w:val="0"/>
          <w:color w:val="000000"/>
          <w:kern w:val="0"/>
          <w:sz w:val="32"/>
          <w:szCs w:val="32"/>
          <w:highlight w:val="none"/>
        </w:rPr>
      </w:pPr>
      <w:r>
        <w:rPr>
          <w:rFonts w:hint="eastAsia" w:ascii="仿宋" w:hAnsi="仿宋" w:eastAsia="仿宋" w:cs="仿宋"/>
          <w:snapToGrid w:val="0"/>
          <w:color w:val="000000"/>
          <w:kern w:val="0"/>
          <w:sz w:val="32"/>
          <w:szCs w:val="32"/>
          <w:highlight w:val="none"/>
          <w:lang w:val="en-US" w:eastAsia="zh-CN"/>
        </w:rPr>
        <w:t>2.</w:t>
      </w:r>
      <w:r>
        <w:rPr>
          <w:rFonts w:hint="eastAsia" w:ascii="方正仿宋_GBK" w:hAnsi="仿宋" w:eastAsia="方正仿宋_GBK" w:cs="宋体"/>
          <w:snapToGrid w:val="0"/>
          <w:color w:val="000000"/>
          <w:kern w:val="0"/>
          <w:sz w:val="32"/>
          <w:szCs w:val="32"/>
          <w:highlight w:val="none"/>
        </w:rPr>
        <w:t>特定资格条件：</w:t>
      </w:r>
    </w:p>
    <w:p>
      <w:pPr>
        <w:pStyle w:val="2"/>
        <w:keepLines w:val="0"/>
        <w:pageBreakBefore w:val="0"/>
        <w:widowControl w:val="0"/>
        <w:kinsoku/>
        <w:wordWrap/>
        <w:overflowPunct/>
        <w:topLinePunct w:val="0"/>
        <w:autoSpaceDE/>
        <w:autoSpaceDN/>
        <w:bidi w:val="0"/>
        <w:adjustRightInd/>
        <w:spacing w:beforeLines="0" w:afterLines="0" w:line="56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（1）供应商是安全自闭阀生产企业，或是委托经营企业（提供产品质量检测合格报告，委托经营企业还需提供产品生产企业与委托经营企业签订的产品销售书面协议及生产企业营业执照）。</w:t>
      </w:r>
    </w:p>
    <w:p>
      <w:pPr>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napToGrid w:val="0"/>
          <w:color w:val="000000"/>
          <w:kern w:val="0"/>
          <w:sz w:val="32"/>
          <w:szCs w:val="32"/>
          <w:highlight w:val="none"/>
        </w:rPr>
      </w:pPr>
      <w:r>
        <w:rPr>
          <w:rFonts w:hint="eastAsia" w:ascii="方正仿宋_GBK" w:hAnsi="方正仿宋_GBK" w:eastAsia="方正仿宋_GBK" w:cs="方正仿宋_GBK"/>
          <w:snapToGrid w:val="0"/>
          <w:color w:val="000000"/>
          <w:kern w:val="0"/>
          <w:sz w:val="32"/>
          <w:szCs w:val="32"/>
          <w:highlight w:val="none"/>
          <w:lang w:val="en-US" w:eastAsia="zh-CN"/>
        </w:rPr>
        <w:t>（2）</w:t>
      </w:r>
      <w:r>
        <w:rPr>
          <w:rFonts w:hint="eastAsia" w:ascii="方正仿宋_GBK" w:hAnsi="方正仿宋_GBK" w:eastAsia="方正仿宋_GBK" w:cs="方正仿宋_GBK"/>
          <w:snapToGrid w:val="0"/>
          <w:color w:val="000000"/>
          <w:kern w:val="0"/>
          <w:sz w:val="32"/>
          <w:szCs w:val="32"/>
          <w:highlight w:val="none"/>
          <w:lang w:eastAsia="zh-CN"/>
        </w:rPr>
        <w:t>供应商需</w:t>
      </w:r>
      <w:r>
        <w:rPr>
          <w:rFonts w:hint="eastAsia" w:ascii="方正仿宋_GBK" w:hAnsi="方正仿宋_GBK" w:eastAsia="方正仿宋_GBK" w:cs="方正仿宋_GBK"/>
          <w:snapToGrid w:val="0"/>
          <w:color w:val="000000"/>
          <w:kern w:val="0"/>
          <w:sz w:val="32"/>
          <w:szCs w:val="32"/>
          <w:highlight w:val="none"/>
        </w:rPr>
        <w:t>具有市政公用工程施工总承包资质三级及以上资质（提供资质证书复印件并加盖供应商公章）。</w:t>
      </w:r>
    </w:p>
    <w:p>
      <w:pPr>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（四）磋商有关说明</w:t>
      </w:r>
    </w:p>
    <w:p>
      <w:pPr>
        <w:spacing w:line="560" w:lineRule="exact"/>
        <w:ind w:firstLine="640" w:firstLineChars="200"/>
        <w:rPr>
          <w:rFonts w:hint="eastAsia" w:ascii="方正仿宋_GBK" w:hAnsi="仿宋" w:eastAsia="方正仿宋_GBK"/>
          <w:snapToGrid w:val="0"/>
          <w:color w:val="FF0000"/>
          <w:kern w:val="0"/>
          <w:sz w:val="32"/>
          <w:szCs w:val="32"/>
          <w:highlight w:val="none"/>
          <w:lang w:eastAsia="zh-CN"/>
        </w:rPr>
      </w:pPr>
      <w:r>
        <w:rPr>
          <w:rFonts w:hint="eastAsia" w:ascii="方正仿宋_GBK" w:hAnsi="仿宋" w:eastAsia="方正仿宋_GBK"/>
          <w:snapToGrid w:val="0"/>
          <w:color w:val="000000"/>
          <w:kern w:val="0"/>
          <w:sz w:val="32"/>
          <w:szCs w:val="32"/>
          <w:highlight w:val="none"/>
        </w:rPr>
        <w:t xml:space="preserve"> 1.方式：凡有意参加磋商的供应商，请于公告发布之日起自行在重庆市北碚区人民政府（http://www.beibei.gov.cn/）上下载本项目竞争性磋商文件、补遗等磋商前公布的所有项目资料</w:t>
      </w:r>
      <w:r>
        <w:rPr>
          <w:rFonts w:hint="eastAsia" w:ascii="方正仿宋_GBK" w:hAnsi="仿宋" w:eastAsia="方正仿宋_GBK"/>
          <w:snapToGrid w:val="0"/>
          <w:color w:val="000000"/>
          <w:kern w:val="0"/>
          <w:sz w:val="32"/>
          <w:szCs w:val="32"/>
          <w:highlight w:val="none"/>
          <w:lang w:eastAsia="zh-CN"/>
        </w:rPr>
        <w:t>。</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 xml:space="preserve"> 2.竞争性磋商文件售价：无</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 xml:space="preserve"> 3.投标保证金：无</w:t>
      </w:r>
    </w:p>
    <w:p>
      <w:pPr>
        <w:spacing w:line="560" w:lineRule="exact"/>
        <w:ind w:firstLine="640" w:firstLineChars="200"/>
        <w:rPr>
          <w:rFonts w:hint="eastAsia" w:ascii="方正仿宋_GBK" w:hAnsi="仿宋" w:eastAsia="方正仿宋_GBK"/>
          <w:snapToGrid w:val="0"/>
          <w:color w:val="000000"/>
          <w:kern w:val="0"/>
          <w:sz w:val="32"/>
          <w:szCs w:val="32"/>
          <w:highlight w:val="none"/>
          <w:lang w:eastAsia="zh-CN"/>
        </w:rPr>
      </w:pPr>
      <w:r>
        <w:rPr>
          <w:rFonts w:hint="eastAsia" w:ascii="方正仿宋_GBK" w:hAnsi="仿宋" w:eastAsia="方正仿宋_GBK"/>
          <w:snapToGrid w:val="0"/>
          <w:color w:val="000000"/>
          <w:kern w:val="0"/>
          <w:sz w:val="32"/>
          <w:szCs w:val="32"/>
          <w:highlight w:val="none"/>
        </w:rPr>
        <w:t xml:space="preserve"> 4.供应商须按时递交响应文件，其响应文件才被接受</w:t>
      </w:r>
      <w:r>
        <w:rPr>
          <w:rFonts w:hint="eastAsia" w:ascii="方正仿宋_GBK" w:hAnsi="仿宋" w:eastAsia="方正仿宋_GBK"/>
          <w:snapToGrid w:val="0"/>
          <w:color w:val="000000"/>
          <w:kern w:val="0"/>
          <w:sz w:val="32"/>
          <w:szCs w:val="32"/>
          <w:highlight w:val="none"/>
          <w:lang w:eastAsia="zh-CN"/>
        </w:rPr>
        <w:t>。</w:t>
      </w:r>
    </w:p>
    <w:p>
      <w:pPr>
        <w:spacing w:line="560" w:lineRule="exact"/>
        <w:ind w:firstLine="640" w:firstLineChars="200"/>
        <w:rPr>
          <w:rFonts w:ascii="方正仿宋_GBK" w:hAnsi="仿宋" w:eastAsia="方正仿宋_GBK"/>
          <w:snapToGrid w:val="0"/>
          <w:color w:val="000000" w:themeColor="text1"/>
          <w:kern w:val="0"/>
          <w:sz w:val="32"/>
          <w:szCs w:val="32"/>
          <w:highlight w:val="none"/>
          <w14:textFill>
            <w14:solidFill>
              <w14:schemeClr w14:val="tx1"/>
            </w14:solidFill>
          </w14:textFill>
        </w:rPr>
      </w:pPr>
      <w:r>
        <w:rPr>
          <w:rFonts w:hint="eastAsia" w:ascii="方正仿宋_GBK" w:hAnsi="仿宋" w:eastAsia="方正仿宋_GBK"/>
          <w:snapToGrid w:val="0"/>
          <w:color w:val="000000"/>
          <w:kern w:val="0"/>
          <w:sz w:val="32"/>
          <w:szCs w:val="32"/>
          <w:highlight w:val="none"/>
        </w:rPr>
        <w:t xml:space="preserve"> </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5.提交响应文件起止时间：202</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2</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年</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10</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月</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12</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日</w:t>
      </w:r>
      <w:r>
        <w:rPr>
          <w:rFonts w:hint="eastAsia" w:ascii="方正仿宋_GBK" w:hAnsi="仿宋" w:eastAsia="方正仿宋_GBK"/>
          <w:snapToGrid w:val="0"/>
          <w:color w:val="000000" w:themeColor="text1"/>
          <w:kern w:val="0"/>
          <w:sz w:val="32"/>
          <w:szCs w:val="32"/>
          <w:highlight w:val="none"/>
          <w:lang w:eastAsia="zh-CN"/>
          <w14:textFill>
            <w14:solidFill>
              <w14:schemeClr w14:val="tx1"/>
            </w14:solidFill>
          </w14:textFill>
        </w:rPr>
        <w:t>上午</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 xml:space="preserve">9：00 </w:t>
      </w:r>
      <w:r>
        <w:rPr>
          <w:rFonts w:hint="eastAsia" w:ascii="方正仿宋_GBK" w:hAnsi="仿宋" w:eastAsia="方正仿宋_GBK"/>
          <w:snapToGrid w:val="0"/>
          <w:color w:val="000000" w:themeColor="text1"/>
          <w:kern w:val="0"/>
          <w:sz w:val="32"/>
          <w:szCs w:val="32"/>
          <w:highlight w:val="none"/>
          <w:lang w:eastAsia="zh-CN"/>
          <w14:textFill>
            <w14:solidFill>
              <w14:schemeClr w14:val="tx1"/>
            </w14:solidFill>
          </w14:textFill>
        </w:rPr>
        <w:t>至</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202</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2</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年</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10</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月</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12</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日上午</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 xml:space="preserve">9:30 </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（北京时间）。</w:t>
      </w:r>
    </w:p>
    <w:p>
      <w:pPr>
        <w:spacing w:line="560" w:lineRule="exact"/>
        <w:ind w:firstLine="640" w:firstLineChars="200"/>
        <w:rPr>
          <w:rFonts w:ascii="方正仿宋_GBK" w:hAnsi="仿宋" w:eastAsia="方正仿宋_GBK"/>
          <w:snapToGrid w:val="0"/>
          <w:color w:val="000000" w:themeColor="text1"/>
          <w:kern w:val="0"/>
          <w:sz w:val="32"/>
          <w:szCs w:val="32"/>
          <w:highlight w:val="none"/>
          <w14:textFill>
            <w14:solidFill>
              <w14:schemeClr w14:val="tx1"/>
            </w14:solidFill>
          </w14:textFill>
        </w:rPr>
      </w:pP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 xml:space="preserve"> 6.开标地点：</w:t>
      </w:r>
      <w:r>
        <w:rPr>
          <w:rFonts w:hint="eastAsia" w:ascii="方正仿宋_GBK" w:hAnsi="仿宋" w:eastAsia="方正仿宋_GBK" w:cs="宋体"/>
          <w:snapToGrid w:val="0"/>
          <w:color w:val="000000" w:themeColor="text1"/>
          <w:kern w:val="0"/>
          <w:sz w:val="32"/>
          <w:szCs w:val="32"/>
          <w:highlight w:val="none"/>
          <w14:textFill>
            <w14:solidFill>
              <w14:schemeClr w14:val="tx1"/>
            </w14:solidFill>
          </w14:textFill>
        </w:rPr>
        <w:t>重庆市北碚区经济和信息化委员会</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（重庆市北碚区冯时行路298号4楼415室）。</w:t>
      </w:r>
    </w:p>
    <w:p>
      <w:pPr>
        <w:spacing w:line="560" w:lineRule="exact"/>
        <w:ind w:firstLine="640" w:firstLineChars="200"/>
        <w:rPr>
          <w:rFonts w:ascii="方正仿宋_GBK" w:hAnsi="仿宋" w:eastAsia="方正仿宋_GBK"/>
          <w:snapToGrid w:val="0"/>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snapToGrid w:val="0"/>
          <w:color w:val="000000" w:themeColor="text1"/>
          <w:kern w:val="0"/>
          <w:sz w:val="32"/>
          <w:szCs w:val="32"/>
          <w:highlight w:val="none"/>
          <w14:textFill>
            <w14:solidFill>
              <w14:schemeClr w14:val="tx1"/>
            </w14:solidFill>
          </w14:textFill>
        </w:rPr>
        <w:t xml:space="preserve"> 7.开标时间：</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202</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2</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年</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10</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月</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12</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日</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9:30</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（北京时间）。</w:t>
      </w:r>
    </w:p>
    <w:p>
      <w:pPr>
        <w:spacing w:line="560" w:lineRule="exact"/>
        <w:ind w:firstLine="800" w:firstLineChars="25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8.联系方式：023-6886327</w:t>
      </w:r>
      <w:r>
        <w:rPr>
          <w:rFonts w:hint="eastAsia" w:ascii="方正仿宋_GBK" w:hAnsi="仿宋" w:eastAsia="方正仿宋_GBK"/>
          <w:snapToGrid w:val="0"/>
          <w:color w:val="000000" w:themeColor="text1"/>
          <w:kern w:val="0"/>
          <w:sz w:val="32"/>
          <w:szCs w:val="32"/>
          <w:highlight w:val="none"/>
          <w:lang w:val="en-US" w:eastAsia="zh-CN"/>
          <w14:textFill>
            <w14:solidFill>
              <w14:schemeClr w14:val="tx1"/>
            </w14:solidFill>
          </w14:textFill>
        </w:rPr>
        <w:t>1</w:t>
      </w:r>
      <w:r>
        <w:rPr>
          <w:rFonts w:hint="eastAsia" w:ascii="方正仿宋_GBK" w:hAnsi="仿宋" w:eastAsia="方正仿宋_GBK"/>
          <w:snapToGrid w:val="0"/>
          <w:color w:val="000000" w:themeColor="text1"/>
          <w:kern w:val="0"/>
          <w:sz w:val="32"/>
          <w:szCs w:val="32"/>
          <w:highlight w:val="none"/>
          <w14:textFill>
            <w14:solidFill>
              <w14:schemeClr w14:val="tx1"/>
            </w14:solidFill>
          </w14:textFill>
        </w:rPr>
        <w:t>；</w:t>
      </w:r>
    </w:p>
    <w:p>
      <w:pPr>
        <w:spacing w:line="560" w:lineRule="exact"/>
        <w:ind w:firstLine="700" w:firstLineChars="250"/>
        <w:rPr>
          <w:rFonts w:ascii="方正仿宋_GBK" w:hAnsi="仿宋" w:eastAsia="方正仿宋_GBK"/>
          <w:snapToGrid w:val="0"/>
          <w:color w:val="000000"/>
          <w:kern w:val="0"/>
          <w:sz w:val="32"/>
          <w:szCs w:val="32"/>
          <w:highlight w:val="none"/>
          <w:u w:val="single"/>
        </w:rPr>
      </w:pPr>
      <w:r>
        <w:rPr>
          <w:rFonts w:hint="eastAsia" w:ascii="方正仿宋_GBK" w:hAnsi="仿宋" w:eastAsia="方正仿宋_GBK"/>
          <w:snapToGrid w:val="0"/>
          <w:color w:val="000000"/>
          <w:spacing w:val="-20"/>
          <w:kern w:val="0"/>
          <w:sz w:val="32"/>
          <w:szCs w:val="32"/>
          <w:highlight w:val="none"/>
        </w:rPr>
        <w:t>联系地址：</w:t>
      </w:r>
      <w:r>
        <w:rPr>
          <w:rFonts w:hint="eastAsia" w:ascii="方正仿宋_GBK" w:hAnsi="仿宋" w:eastAsia="方正仿宋_GBK" w:cs="宋体"/>
          <w:snapToGrid w:val="0"/>
          <w:color w:val="000000"/>
          <w:kern w:val="0"/>
          <w:sz w:val="32"/>
          <w:szCs w:val="32"/>
          <w:highlight w:val="none"/>
        </w:rPr>
        <w:t>重庆市北碚区经济和信息化委员会</w:t>
      </w:r>
      <w:r>
        <w:rPr>
          <w:rFonts w:hint="eastAsia" w:ascii="方正仿宋_GBK" w:hAnsi="仿宋" w:eastAsia="方正仿宋_GBK"/>
          <w:snapToGrid w:val="0"/>
          <w:color w:val="000000"/>
          <w:kern w:val="0"/>
          <w:sz w:val="32"/>
          <w:szCs w:val="32"/>
          <w:highlight w:val="none"/>
        </w:rPr>
        <w:t>（重庆市北碚区冯时行路298号）</w:t>
      </w:r>
    </w:p>
    <w:p>
      <w:pPr>
        <w:spacing w:line="560" w:lineRule="exact"/>
        <w:ind w:firstLine="640" w:firstLineChars="200"/>
        <w:rPr>
          <w:rFonts w:ascii="黑体" w:hAnsi="黑体" w:eastAsia="黑体" w:cs="方正黑体_GBK"/>
          <w:snapToGrid w:val="0"/>
          <w:color w:val="000000"/>
          <w:kern w:val="0"/>
          <w:sz w:val="32"/>
          <w:szCs w:val="32"/>
          <w:highlight w:val="none"/>
        </w:rPr>
      </w:pPr>
      <w:r>
        <w:rPr>
          <w:rFonts w:hint="eastAsia" w:ascii="黑体" w:hAnsi="黑体" w:eastAsia="黑体" w:cs="方正黑体_GBK"/>
          <w:snapToGrid w:val="0"/>
          <w:color w:val="000000"/>
          <w:kern w:val="0"/>
          <w:sz w:val="32"/>
          <w:szCs w:val="32"/>
          <w:highlight w:val="none"/>
        </w:rPr>
        <w:t>二、采购服务内容</w:t>
      </w:r>
    </w:p>
    <w:p>
      <w:pPr>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（一）项目内容</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根据</w:t>
      </w:r>
      <w:r>
        <w:rPr>
          <w:rStyle w:val="17"/>
          <w:rFonts w:hint="eastAsia" w:ascii="方正仿宋_GBK" w:hAnsi="方正仿宋_GBK" w:eastAsia="方正仿宋_GBK" w:cs="方正仿宋_GBK"/>
          <w:b w:val="0"/>
          <w:bCs/>
          <w:i w:val="0"/>
          <w:iCs w:val="0"/>
          <w:caps w:val="0"/>
          <w:color w:val="000000"/>
          <w:spacing w:val="0"/>
          <w:sz w:val="32"/>
          <w:szCs w:val="32"/>
          <w:highlight w:val="none"/>
          <w:lang w:eastAsia="zh-CN"/>
        </w:rPr>
        <w:t>根据《中华人民共和国安全生产法》《燃气工程项目规范》《重庆市人民政府办公厅</w:t>
      </w:r>
      <w:r>
        <w:rPr>
          <w:rFonts w:hint="eastAsia" w:ascii="方正仿宋_GBK" w:hAnsi="方正仿宋_GBK" w:eastAsia="方正仿宋_GBK" w:cs="方正仿宋_GBK"/>
          <w:b w:val="0"/>
          <w:bCs/>
          <w:i w:val="0"/>
          <w:iCs w:val="0"/>
          <w:caps w:val="0"/>
          <w:color w:val="000000"/>
          <w:spacing w:val="0"/>
          <w:sz w:val="32"/>
          <w:szCs w:val="32"/>
          <w:highlight w:val="none"/>
        </w:rPr>
        <w:t>关于印发重庆市深化燃气安全专项整治实施方案的通知</w:t>
      </w:r>
      <w:r>
        <w:rPr>
          <w:rStyle w:val="17"/>
          <w:rFonts w:hint="eastAsia" w:ascii="方正仿宋_GBK" w:hAnsi="方正仿宋_GBK" w:eastAsia="方正仿宋_GBK" w:cs="方正仿宋_GBK"/>
          <w:b w:val="0"/>
          <w:bCs/>
          <w:i w:val="0"/>
          <w:iCs w:val="0"/>
          <w:caps w:val="0"/>
          <w:color w:val="000000"/>
          <w:spacing w:val="0"/>
          <w:sz w:val="32"/>
          <w:szCs w:val="32"/>
          <w:highlight w:val="none"/>
          <w:lang w:eastAsia="zh-CN"/>
        </w:rPr>
        <w:t>》要求</w:t>
      </w:r>
      <w:r>
        <w:rPr>
          <w:rFonts w:hint="eastAsia" w:ascii="Times New Roman" w:hAnsi="Times New Roman" w:eastAsia="方正仿宋_GBK" w:cs="Times New Roman"/>
          <w:sz w:val="32"/>
          <w:szCs w:val="32"/>
          <w:highlight w:val="none"/>
          <w:lang w:eastAsia="zh-CN"/>
        </w:rPr>
        <w:t>，北碚区经济</w:t>
      </w:r>
      <w:r>
        <w:rPr>
          <w:rFonts w:hint="eastAsia" w:eastAsia="方正仿宋_GBK" w:cs="Times New Roman"/>
          <w:sz w:val="32"/>
          <w:szCs w:val="32"/>
          <w:highlight w:val="none"/>
          <w:lang w:eastAsia="zh-CN"/>
        </w:rPr>
        <w:t>和</w:t>
      </w:r>
      <w:r>
        <w:rPr>
          <w:rFonts w:hint="eastAsia" w:ascii="Times New Roman" w:hAnsi="Times New Roman" w:eastAsia="方正仿宋_GBK" w:cs="Times New Roman"/>
          <w:sz w:val="32"/>
          <w:szCs w:val="32"/>
          <w:highlight w:val="none"/>
          <w:lang w:eastAsia="zh-CN"/>
        </w:rPr>
        <w:t>信息</w:t>
      </w:r>
      <w:r>
        <w:rPr>
          <w:rFonts w:hint="eastAsia" w:eastAsia="方正仿宋_GBK" w:cs="Times New Roman"/>
          <w:sz w:val="32"/>
          <w:szCs w:val="32"/>
          <w:highlight w:val="none"/>
          <w:lang w:eastAsia="zh-CN"/>
        </w:rPr>
        <w:t>化委员会拟采购管道天然气安全自闭阀，用于保障我区困难群众用气安全。</w:t>
      </w:r>
    </w:p>
    <w:p>
      <w:pPr>
        <w:spacing w:line="560" w:lineRule="exact"/>
        <w:ind w:firstLine="640" w:firstLineChars="200"/>
        <w:rPr>
          <w:rFonts w:hint="eastAsia"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（二）服务内容</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本次采购服务内容包括但不限于：</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1.根据招标人要求，供应商提供质量合格的</w:t>
      </w:r>
      <w:r>
        <w:rPr>
          <w:rFonts w:hint="eastAsia" w:eastAsia="方正仿宋_GBK" w:cs="Times New Roman"/>
          <w:sz w:val="32"/>
          <w:szCs w:val="32"/>
          <w:highlight w:val="none"/>
          <w:lang w:eastAsia="zh-CN"/>
        </w:rPr>
        <w:t>管道天然气</w:t>
      </w:r>
      <w:r>
        <w:rPr>
          <w:rFonts w:hint="eastAsia" w:ascii="Times New Roman" w:hAnsi="Times New Roman" w:eastAsia="方正仿宋_GBK" w:cs="Times New Roman"/>
          <w:sz w:val="32"/>
          <w:szCs w:val="32"/>
          <w:highlight w:val="none"/>
          <w:lang w:val="en-US" w:eastAsia="zh-CN"/>
        </w:rPr>
        <w:t>安全自闭阀</w:t>
      </w:r>
      <w:r>
        <w:rPr>
          <w:rFonts w:hint="eastAsia" w:eastAsia="方正仿宋_GBK" w:cs="Times New Roman"/>
          <w:sz w:val="32"/>
          <w:szCs w:val="32"/>
          <w:highlight w:val="none"/>
          <w:lang w:val="en-US" w:eastAsia="zh-CN"/>
        </w:rPr>
        <w:t>，产品需具备工业互联网标识。产品需具备三年质保维修，质保期内的免费上门维修。产品应当满足下列技术参数要求，并提供第三方专业机构出具的型式检验合格报告。</w:t>
      </w:r>
    </w:p>
    <w:p>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eastAsia="zh-CN"/>
        </w:rPr>
        <w:t>管道天然气</w:t>
      </w:r>
      <w:r>
        <w:rPr>
          <w:rFonts w:hint="eastAsia" w:ascii="Times New Roman" w:hAnsi="Times New Roman" w:eastAsia="方正仿宋_GBK" w:cs="Times New Roman"/>
          <w:sz w:val="32"/>
          <w:szCs w:val="32"/>
          <w:highlight w:val="none"/>
          <w:lang w:val="en-US" w:eastAsia="zh-CN"/>
        </w:rPr>
        <w:t>安全自闭阀是通过其间的燃气压力参数的变化进行识别，当管道供气压力出现欠压、超压时，能自动关闭阀门，切断气源并须手动开启的装置。</w:t>
      </w:r>
    </w:p>
    <w:tbl>
      <w:tblPr>
        <w:tblStyle w:val="19"/>
        <w:tblpPr w:leftFromText="180" w:rightFromText="180" w:vertAnchor="text" w:horzAnchor="page" w:tblpX="1657" w:tblpY="516"/>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2" w:type="dxa"/>
            <w:vAlign w:val="center"/>
          </w:tcPr>
          <w:p>
            <w:pPr>
              <w:jc w:val="center"/>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技术参数</w:t>
            </w:r>
          </w:p>
        </w:tc>
        <w:tc>
          <w:tcPr>
            <w:tcW w:w="4543" w:type="dxa"/>
            <w:vAlign w:val="center"/>
          </w:tcPr>
          <w:p>
            <w:pPr>
              <w:jc w:val="center"/>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2" w:hRule="atLeast"/>
        </w:trPr>
        <w:tc>
          <w:tcPr>
            <w:tcW w:w="4422" w:type="dxa"/>
            <w:vAlign w:val="center"/>
          </w:tcPr>
          <w:p>
            <w:pPr>
              <w:numPr>
                <w:ilvl w:val="0"/>
                <w:numId w:val="1"/>
              </w:numPr>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额定工作流量：0.9m³/h</w:t>
            </w:r>
          </w:p>
          <w:p>
            <w:pPr>
              <w:numPr>
                <w:ilvl w:val="0"/>
                <w:numId w:val="1"/>
              </w:numPr>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过流关闭流量：</w:t>
            </w:r>
            <w:r>
              <w:rPr>
                <w:rFonts w:hint="eastAsia" w:ascii="方正仿宋_GBK" w:hAnsi="方正仿宋_GBK" w:eastAsia="方正仿宋_GBK" w:cs="方正仿宋_GBK"/>
                <w:b w:val="0"/>
                <w:bCs w:val="0"/>
                <w:color w:val="auto"/>
                <w:sz w:val="28"/>
                <w:szCs w:val="28"/>
                <w:highlight w:val="none"/>
                <w:lang w:eastAsia="zh-CN"/>
              </w:rPr>
              <w:t>标称的过流自动关闭流量不应大于额定流量的</w:t>
            </w:r>
            <w:r>
              <w:rPr>
                <w:rFonts w:hint="eastAsia" w:ascii="方正仿宋_GBK" w:hAnsi="方正仿宋_GBK" w:eastAsia="方正仿宋_GBK" w:cs="方正仿宋_GBK"/>
                <w:b w:val="0"/>
                <w:bCs w:val="0"/>
                <w:color w:val="auto"/>
                <w:sz w:val="28"/>
                <w:szCs w:val="28"/>
                <w:highlight w:val="none"/>
                <w:lang w:val="en-US" w:eastAsia="zh-CN"/>
              </w:rPr>
              <w:t>2倍。</w:t>
            </w:r>
          </w:p>
          <w:p>
            <w:pPr>
              <w:numPr>
                <w:ilvl w:val="0"/>
                <w:numId w:val="1"/>
              </w:numPr>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正常工作压力：2000Pa</w:t>
            </w:r>
          </w:p>
          <w:p>
            <w:pPr>
              <w:numPr>
                <w:ilvl w:val="0"/>
                <w:numId w:val="1"/>
              </w:numPr>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超压关闭压力：</w:t>
            </w:r>
            <w:r>
              <w:rPr>
                <w:rFonts w:hint="eastAsia" w:ascii="方正仿宋_GBK" w:hAnsi="方正仿宋_GBK" w:eastAsia="方正仿宋_GBK" w:cs="方正仿宋_GBK"/>
                <w:b w:val="0"/>
                <w:bCs w:val="0"/>
                <w:color w:val="auto"/>
                <w:sz w:val="28"/>
                <w:szCs w:val="28"/>
                <w:highlight w:val="none"/>
                <w:lang w:val="en-US" w:eastAsia="zh-CN"/>
              </w:rPr>
              <w:t>6</w:t>
            </w:r>
            <w:r>
              <w:rPr>
                <w:rFonts w:hint="eastAsia" w:ascii="方正仿宋_GBK" w:hAnsi="方正仿宋_GBK" w:eastAsia="方正仿宋_GBK" w:cs="方正仿宋_GBK"/>
                <w:b w:val="0"/>
                <w:bCs w:val="0"/>
                <w:color w:val="auto"/>
                <w:sz w:val="28"/>
                <w:szCs w:val="28"/>
                <w:highlight w:val="none"/>
              </w:rPr>
              <w:t>000Pa±2000Pa</w:t>
            </w:r>
          </w:p>
          <w:p>
            <w:pPr>
              <w:numPr>
                <w:ilvl w:val="0"/>
                <w:numId w:val="1"/>
              </w:numPr>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欠压关闭压力：800Pa±200Pa</w:t>
            </w:r>
          </w:p>
        </w:tc>
        <w:tc>
          <w:tcPr>
            <w:tcW w:w="4543" w:type="dxa"/>
            <w:vAlign w:val="center"/>
          </w:tcPr>
          <w:p>
            <w:pPr>
              <w:numPr>
                <w:ilvl w:val="0"/>
                <w:numId w:val="0"/>
              </w:numPr>
              <w:ind w:leftChars="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手动开关</w:t>
            </w:r>
          </w:p>
          <w:p>
            <w:pPr>
              <w:numPr>
                <w:ilvl w:val="0"/>
                <w:numId w:val="0"/>
              </w:numPr>
              <w:ind w:leftChars="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超流量泄露自动关闭（户内总阀除外）</w:t>
            </w:r>
          </w:p>
          <w:p>
            <w:pPr>
              <w:numPr>
                <w:ilvl w:val="0"/>
                <w:numId w:val="0"/>
              </w:numPr>
              <w:ind w:leftChars="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3.</w:t>
            </w:r>
            <w:r>
              <w:rPr>
                <w:rFonts w:hint="eastAsia" w:ascii="方正仿宋_GBK" w:hAnsi="方正仿宋_GBK" w:eastAsia="方正仿宋_GBK" w:cs="方正仿宋_GBK"/>
                <w:b w:val="0"/>
                <w:bCs w:val="0"/>
                <w:color w:val="auto"/>
                <w:sz w:val="28"/>
                <w:szCs w:val="28"/>
                <w:highlight w:val="none"/>
              </w:rPr>
              <w:t>欠压自动关闭</w:t>
            </w:r>
          </w:p>
          <w:p>
            <w:pPr>
              <w:numPr>
                <w:ilvl w:val="0"/>
                <w:numId w:val="0"/>
              </w:numPr>
              <w:ind w:leftChars="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超压自动关闭</w:t>
            </w:r>
          </w:p>
          <w:p>
            <w:pPr>
              <w:numPr>
                <w:ilvl w:val="0"/>
                <w:numId w:val="0"/>
              </w:numPr>
              <w:ind w:leftChars="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5.</w:t>
            </w:r>
            <w:r>
              <w:rPr>
                <w:rFonts w:hint="eastAsia" w:ascii="方正仿宋_GBK" w:hAnsi="方正仿宋_GBK" w:eastAsia="方正仿宋_GBK" w:cs="方正仿宋_GBK"/>
                <w:b w:val="0"/>
                <w:bCs w:val="0"/>
                <w:color w:val="auto"/>
                <w:sz w:val="28"/>
                <w:szCs w:val="28"/>
                <w:highlight w:val="none"/>
              </w:rPr>
              <w:t>停气自动关闭</w:t>
            </w:r>
          </w:p>
        </w:tc>
      </w:tr>
    </w:tbl>
    <w:p>
      <w:pPr>
        <w:pStyle w:val="1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提供产品安装、检查、维护等服务。</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val="en-US" w:eastAsia="zh-CN"/>
        </w:rPr>
        <w:t>.采购人指定的其他有关工作。</w:t>
      </w:r>
    </w:p>
    <w:p>
      <w:pPr>
        <w:spacing w:line="560" w:lineRule="exact"/>
        <w:ind w:firstLine="640" w:firstLineChars="200"/>
        <w:rPr>
          <w:rFonts w:ascii="黑体" w:hAnsi="黑体" w:eastAsia="黑体" w:cs="方正黑体_GBK"/>
          <w:snapToGrid w:val="0"/>
          <w:color w:val="000000"/>
          <w:kern w:val="0"/>
          <w:sz w:val="32"/>
          <w:szCs w:val="32"/>
          <w:highlight w:val="none"/>
        </w:rPr>
      </w:pPr>
      <w:r>
        <w:rPr>
          <w:rFonts w:hint="eastAsia" w:ascii="黑体" w:hAnsi="黑体" w:eastAsia="黑体" w:cs="方正黑体_GBK"/>
          <w:snapToGrid w:val="0"/>
          <w:color w:val="000000"/>
          <w:kern w:val="0"/>
          <w:sz w:val="32"/>
          <w:szCs w:val="32"/>
          <w:highlight w:val="none"/>
        </w:rPr>
        <w:t>三、商务要求</w:t>
      </w:r>
      <w:bookmarkStart w:id="1" w:name="_Toc465959230"/>
      <w:bookmarkStart w:id="2" w:name="_Toc344475120"/>
    </w:p>
    <w:p>
      <w:pPr>
        <w:spacing w:line="560" w:lineRule="exact"/>
        <w:ind w:firstLine="640" w:firstLineChars="200"/>
        <w:rPr>
          <w:rFonts w:ascii="方正仿宋_GBK" w:hAnsi="仿宋" w:eastAsia="方正仿宋_GBK" w:cs="宋体"/>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（一）服务时间、地点及验收方式</w:t>
      </w:r>
      <w:bookmarkEnd w:id="1"/>
      <w:bookmarkEnd w:id="2"/>
    </w:p>
    <w:p>
      <w:pPr>
        <w:snapToGrid w:val="0"/>
        <w:spacing w:line="560" w:lineRule="exact"/>
        <w:ind w:firstLine="640" w:firstLineChars="200"/>
        <w:rPr>
          <w:rFonts w:hint="default" w:ascii="Times New Roman" w:hAnsi="Times New Roman" w:eastAsia="方正仿宋_GBK" w:cs="Times New Roman"/>
          <w:color w:val="auto"/>
          <w:kern w:val="0"/>
          <w:sz w:val="32"/>
          <w:szCs w:val="32"/>
          <w:highlight w:val="none"/>
          <w:lang w:val="en-US" w:eastAsia="zh-CN"/>
        </w:rPr>
      </w:pPr>
      <w:r>
        <w:rPr>
          <w:rFonts w:hint="eastAsia" w:ascii="方正仿宋_GBK" w:hAnsi="仿宋" w:eastAsia="方正仿宋_GBK" w:cs="宋体"/>
          <w:snapToGrid w:val="0"/>
          <w:color w:val="000000"/>
          <w:kern w:val="0"/>
          <w:sz w:val="32"/>
          <w:szCs w:val="32"/>
          <w:highlight w:val="none"/>
        </w:rPr>
        <w:t>1.服务时间：</w:t>
      </w:r>
      <w:r>
        <w:rPr>
          <w:rFonts w:hint="default" w:ascii="Times New Roman" w:hAnsi="Times New Roman" w:eastAsia="方正仿宋_GBK" w:cs="Times New Roman"/>
          <w:color w:val="auto"/>
          <w:kern w:val="0"/>
          <w:sz w:val="32"/>
          <w:szCs w:val="32"/>
          <w:highlight w:val="none"/>
          <w:lang w:val="en-US" w:eastAsia="zh-CN"/>
        </w:rPr>
        <w:t>从</w:t>
      </w:r>
      <w:r>
        <w:rPr>
          <w:rFonts w:hint="eastAsia" w:eastAsia="方正仿宋_GBK" w:cs="Times New Roman"/>
          <w:color w:val="auto"/>
          <w:kern w:val="0"/>
          <w:sz w:val="32"/>
          <w:szCs w:val="32"/>
          <w:highlight w:val="none"/>
          <w:lang w:val="en-US" w:eastAsia="zh-CN"/>
        </w:rPr>
        <w:t>签订合同</w:t>
      </w:r>
      <w:r>
        <w:rPr>
          <w:rFonts w:hint="default" w:ascii="Times New Roman" w:hAnsi="Times New Roman" w:eastAsia="方正仿宋_GBK" w:cs="Times New Roman"/>
          <w:color w:val="auto"/>
          <w:kern w:val="0"/>
          <w:sz w:val="32"/>
          <w:szCs w:val="32"/>
          <w:highlight w:val="none"/>
          <w:lang w:val="en-US" w:eastAsia="zh-CN"/>
        </w:rPr>
        <w:t>开始，</w:t>
      </w:r>
      <w:r>
        <w:rPr>
          <w:rFonts w:hint="eastAsia" w:eastAsia="方正仿宋_GBK" w:cs="Times New Roman"/>
          <w:color w:val="auto"/>
          <w:kern w:val="0"/>
          <w:sz w:val="32"/>
          <w:szCs w:val="32"/>
          <w:highlight w:val="none"/>
          <w:lang w:val="en-US" w:eastAsia="zh-CN"/>
        </w:rPr>
        <w:t>30日内完成</w:t>
      </w:r>
      <w:r>
        <w:rPr>
          <w:rFonts w:hint="default" w:ascii="Times New Roman" w:hAnsi="Times New Roman" w:eastAsia="方正仿宋_GBK" w:cs="Times New Roman"/>
          <w:color w:val="auto"/>
          <w:kern w:val="0"/>
          <w:sz w:val="32"/>
          <w:szCs w:val="32"/>
          <w:highlight w:val="none"/>
          <w:lang w:val="en-US" w:eastAsia="zh-CN"/>
        </w:rPr>
        <w:t>。</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cs="宋体"/>
          <w:snapToGrid w:val="0"/>
          <w:color w:val="000000"/>
          <w:kern w:val="0"/>
          <w:sz w:val="32"/>
          <w:szCs w:val="32"/>
          <w:highlight w:val="none"/>
        </w:rPr>
        <w:t>2.服务地点</w:t>
      </w:r>
      <w:r>
        <w:rPr>
          <w:rFonts w:hint="eastAsia" w:ascii="方正仿宋_GBK" w:hAnsi="仿宋" w:eastAsia="方正仿宋_GBK"/>
          <w:snapToGrid w:val="0"/>
          <w:color w:val="000000"/>
          <w:kern w:val="0"/>
          <w:sz w:val="32"/>
          <w:szCs w:val="32"/>
          <w:highlight w:val="none"/>
        </w:rPr>
        <w:t>：</w:t>
      </w:r>
      <w:r>
        <w:rPr>
          <w:rFonts w:hint="eastAsia" w:ascii="方正仿宋_GBK" w:hAnsi="仿宋" w:eastAsia="方正仿宋_GBK" w:cs="宋体"/>
          <w:snapToGrid w:val="0"/>
          <w:color w:val="000000"/>
          <w:kern w:val="0"/>
          <w:sz w:val="32"/>
          <w:szCs w:val="32"/>
          <w:highlight w:val="none"/>
        </w:rPr>
        <w:t>重庆市北碚区。</w:t>
      </w:r>
    </w:p>
    <w:p>
      <w:pPr>
        <w:spacing w:line="560" w:lineRule="exact"/>
        <w:ind w:firstLine="640" w:firstLineChars="200"/>
        <w:rPr>
          <w:rFonts w:hint="eastAsia"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3.验收方式：采购人进行验收。</w:t>
      </w:r>
      <w:bookmarkStart w:id="3" w:name="_Toc344475121"/>
    </w:p>
    <w:p>
      <w:pPr>
        <w:spacing w:line="560" w:lineRule="exact"/>
        <w:ind w:firstLine="640" w:firstLineChars="200"/>
        <w:rPr>
          <w:rFonts w:ascii="方正仿宋_GBK" w:hAnsi="方正楷体_GBK" w:eastAsia="方正仿宋_GBK" w:cs="方正楷体_GBK"/>
          <w:snapToGrid w:val="0"/>
          <w:color w:val="auto"/>
          <w:kern w:val="0"/>
          <w:sz w:val="32"/>
          <w:szCs w:val="32"/>
          <w:highlight w:val="none"/>
        </w:rPr>
      </w:pPr>
      <w:r>
        <w:rPr>
          <w:rFonts w:hint="eastAsia" w:ascii="方正仿宋_GBK" w:hAnsi="方正楷体_GBK" w:eastAsia="方正仿宋_GBK" w:cs="方正楷体_GBK"/>
          <w:snapToGrid w:val="0"/>
          <w:color w:val="auto"/>
          <w:kern w:val="0"/>
          <w:sz w:val="32"/>
          <w:szCs w:val="32"/>
          <w:highlight w:val="none"/>
        </w:rPr>
        <w:t>（二）服务质量及项目管理责任</w:t>
      </w:r>
    </w:p>
    <w:p>
      <w:pPr>
        <w:spacing w:line="560" w:lineRule="exact"/>
        <w:ind w:firstLine="640" w:firstLineChars="200"/>
        <w:rPr>
          <w:rFonts w:ascii="方正仿宋_GBK" w:hAnsi="仿宋" w:eastAsia="方正仿宋_GBK" w:cs="宋体"/>
          <w:snapToGrid w:val="0"/>
          <w:color w:val="auto"/>
          <w:kern w:val="0"/>
          <w:sz w:val="32"/>
          <w:szCs w:val="32"/>
          <w:highlight w:val="none"/>
        </w:rPr>
      </w:pPr>
      <w:r>
        <w:rPr>
          <w:rFonts w:hint="eastAsia" w:ascii="方正仿宋_GBK" w:hAnsi="仿宋" w:eastAsia="方正仿宋_GBK" w:cs="宋体"/>
          <w:snapToGrid w:val="0"/>
          <w:color w:val="auto"/>
          <w:kern w:val="0"/>
          <w:sz w:val="32"/>
          <w:szCs w:val="32"/>
          <w:highlight w:val="none"/>
        </w:rPr>
        <w:t>成交供应商如发生以下行为，采购人有权要求赔偿已支付的项目服务费和造成的经济损失等费用，并终止合同：</w:t>
      </w:r>
    </w:p>
    <w:bookmarkEnd w:id="3"/>
    <w:p>
      <w:pPr>
        <w:spacing w:line="560" w:lineRule="exact"/>
        <w:ind w:firstLine="640" w:firstLineChars="200"/>
        <w:rPr>
          <w:rFonts w:ascii="方正仿宋_GBK" w:hAnsi="仿宋" w:eastAsia="方正仿宋_GBK" w:cs="宋体"/>
          <w:snapToGrid w:val="0"/>
          <w:color w:val="000000"/>
          <w:kern w:val="0"/>
          <w:sz w:val="32"/>
          <w:szCs w:val="32"/>
          <w:highlight w:val="none"/>
        </w:rPr>
      </w:pPr>
      <w:r>
        <w:rPr>
          <w:rFonts w:hint="eastAsia" w:ascii="方正仿宋_GBK" w:hAnsi="仿宋" w:eastAsia="方正仿宋_GBK" w:cs="宋体"/>
          <w:snapToGrid w:val="0"/>
          <w:color w:val="000000"/>
          <w:kern w:val="0"/>
          <w:sz w:val="32"/>
          <w:szCs w:val="32"/>
          <w:highlight w:val="none"/>
        </w:rPr>
        <w:t>（1）未按照</w:t>
      </w:r>
      <w:r>
        <w:rPr>
          <w:rFonts w:hint="eastAsia" w:ascii="方正仿宋_GBK" w:hAnsi="仿宋" w:eastAsia="方正仿宋_GBK" w:cs="宋体"/>
          <w:snapToGrid w:val="0"/>
          <w:color w:val="000000"/>
          <w:kern w:val="0"/>
          <w:sz w:val="32"/>
          <w:szCs w:val="32"/>
          <w:highlight w:val="none"/>
          <w:lang w:eastAsia="zh-CN"/>
        </w:rPr>
        <w:t>招标规定、</w:t>
      </w:r>
      <w:r>
        <w:rPr>
          <w:rFonts w:hint="eastAsia" w:ascii="方正仿宋_GBK" w:hAnsi="仿宋" w:eastAsia="方正仿宋_GBK" w:cs="宋体"/>
          <w:snapToGrid w:val="0"/>
          <w:color w:val="000000"/>
          <w:kern w:val="0"/>
          <w:sz w:val="32"/>
          <w:szCs w:val="32"/>
          <w:highlight w:val="none"/>
        </w:rPr>
        <w:t>服务需求提供服务的；</w:t>
      </w:r>
    </w:p>
    <w:p>
      <w:pPr>
        <w:spacing w:line="560" w:lineRule="exact"/>
        <w:ind w:firstLine="640" w:firstLineChars="200"/>
        <w:rPr>
          <w:rFonts w:ascii="方正仿宋_GBK" w:hAnsi="仿宋" w:eastAsia="方正仿宋_GBK" w:cs="宋体"/>
          <w:snapToGrid w:val="0"/>
          <w:color w:val="000000"/>
          <w:kern w:val="0"/>
          <w:sz w:val="32"/>
          <w:szCs w:val="32"/>
          <w:highlight w:val="none"/>
        </w:rPr>
      </w:pPr>
      <w:r>
        <w:rPr>
          <w:rFonts w:hint="eastAsia" w:ascii="方正仿宋_GBK" w:hAnsi="仿宋" w:eastAsia="方正仿宋_GBK" w:cs="宋体"/>
          <w:snapToGrid w:val="0"/>
          <w:color w:val="000000"/>
          <w:kern w:val="0"/>
          <w:sz w:val="32"/>
          <w:szCs w:val="32"/>
          <w:highlight w:val="none"/>
        </w:rPr>
        <w:t>（2）未开展服务或进度缓慢的。</w:t>
      </w:r>
    </w:p>
    <w:p>
      <w:pPr>
        <w:pStyle w:val="10"/>
        <w:tabs>
          <w:tab w:val="left" w:pos="4905"/>
        </w:tabs>
        <w:spacing w:after="0" w:line="560" w:lineRule="exact"/>
        <w:ind w:left="0" w:leftChars="0"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（三）报价要求</w:t>
      </w:r>
      <w:bookmarkEnd w:id="0"/>
    </w:p>
    <w:p>
      <w:pPr>
        <w:pStyle w:val="10"/>
        <w:tabs>
          <w:tab w:val="left" w:pos="4905"/>
        </w:tabs>
        <w:spacing w:after="0" w:line="560" w:lineRule="exact"/>
        <w:ind w:left="0" w:leftChars="0" w:firstLine="640" w:firstLineChars="200"/>
        <w:rPr>
          <w:rFonts w:ascii="方正仿宋_GBK" w:hAnsi="仿宋" w:eastAsia="方正仿宋_GBK" w:cs="宋体"/>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1.供应商应当按照竞争性磋商文件的规定一次报出不得更改的价格。</w:t>
      </w:r>
      <w:r>
        <w:rPr>
          <w:rFonts w:hint="eastAsia" w:ascii="方正仿宋_GBK" w:hAnsi="仿宋" w:eastAsia="方正仿宋_GBK" w:cs="宋体"/>
          <w:snapToGrid w:val="0"/>
          <w:color w:val="000000"/>
          <w:kern w:val="0"/>
          <w:sz w:val="32"/>
          <w:szCs w:val="32"/>
          <w:highlight w:val="none"/>
        </w:rPr>
        <w:t>本次报价为人</w:t>
      </w:r>
      <w:r>
        <w:rPr>
          <w:rFonts w:hint="eastAsia" w:ascii="方正仿宋_GBK" w:hAnsi="仿宋" w:eastAsia="方正仿宋_GBK" w:cs="宋体"/>
          <w:snapToGrid w:val="0"/>
          <w:color w:val="auto"/>
          <w:kern w:val="0"/>
          <w:sz w:val="32"/>
          <w:szCs w:val="32"/>
          <w:highlight w:val="none"/>
        </w:rPr>
        <w:t>民币报价，包括</w:t>
      </w:r>
      <w:r>
        <w:rPr>
          <w:rFonts w:hint="eastAsia" w:ascii="方正仿宋_GBK" w:hAnsi="仿宋" w:eastAsia="方正仿宋_GBK" w:cs="宋体"/>
          <w:snapToGrid w:val="0"/>
          <w:color w:val="auto"/>
          <w:kern w:val="0"/>
          <w:sz w:val="32"/>
          <w:szCs w:val="32"/>
          <w:highlight w:val="none"/>
          <w:lang w:eastAsia="zh-CN"/>
        </w:rPr>
        <w:t>安全自闭阀、</w:t>
      </w:r>
      <w:r>
        <w:rPr>
          <w:rFonts w:hint="eastAsia" w:ascii="方正仿宋_GBK" w:hAnsi="宋体" w:eastAsia="方正仿宋_GBK" w:cs="宋体"/>
          <w:color w:val="auto"/>
          <w:kern w:val="0"/>
          <w:sz w:val="32"/>
          <w:szCs w:val="32"/>
          <w:highlight w:val="none"/>
          <w:lang w:eastAsia="zh-CN"/>
        </w:rPr>
        <w:t>运输</w:t>
      </w:r>
      <w:r>
        <w:rPr>
          <w:rFonts w:hint="eastAsia" w:ascii="方正仿宋_GBK" w:hAnsi="宋体" w:eastAsia="方正仿宋_GBK" w:cs="宋体"/>
          <w:color w:val="auto"/>
          <w:kern w:val="0"/>
          <w:sz w:val="32"/>
          <w:szCs w:val="32"/>
          <w:highlight w:val="none"/>
        </w:rPr>
        <w:t>、</w:t>
      </w:r>
      <w:r>
        <w:rPr>
          <w:rFonts w:hint="eastAsia" w:ascii="方正仿宋_GBK" w:hAnsi="宋体" w:eastAsia="方正仿宋_GBK" w:cs="宋体"/>
          <w:color w:val="auto"/>
          <w:kern w:val="0"/>
          <w:sz w:val="32"/>
          <w:szCs w:val="32"/>
          <w:highlight w:val="none"/>
          <w:lang w:eastAsia="zh-CN"/>
        </w:rPr>
        <w:t>安装、辅材、</w:t>
      </w:r>
      <w:r>
        <w:rPr>
          <w:rFonts w:hint="eastAsia" w:ascii="方正仿宋_GBK" w:hAnsi="宋体" w:eastAsia="方正仿宋_GBK" w:cs="宋体"/>
          <w:color w:val="auto"/>
          <w:kern w:val="0"/>
          <w:sz w:val="32"/>
          <w:szCs w:val="32"/>
          <w:highlight w:val="none"/>
        </w:rPr>
        <w:t>税费</w:t>
      </w:r>
      <w:r>
        <w:rPr>
          <w:rFonts w:hint="eastAsia" w:ascii="方正仿宋_GBK" w:hAnsi="仿宋" w:eastAsia="方正仿宋_GBK" w:cs="宋体"/>
          <w:snapToGrid w:val="0"/>
          <w:color w:val="auto"/>
          <w:kern w:val="0"/>
          <w:sz w:val="32"/>
          <w:szCs w:val="32"/>
          <w:highlight w:val="none"/>
        </w:rPr>
        <w:t>等一切费用。</w:t>
      </w:r>
    </w:p>
    <w:p>
      <w:pPr>
        <w:pStyle w:val="10"/>
        <w:tabs>
          <w:tab w:val="left" w:pos="4905"/>
        </w:tabs>
        <w:spacing w:after="0" w:line="560" w:lineRule="exact"/>
        <w:ind w:left="0" w:leftChars="0"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投标报价由供应商根据本项目的实际情况与自身情况，并充分考虑不确定性因素可能导致的风险自行填报。若因投标人原因造成的漏报、错报而导致本项目无法履行的，由投标供应商负责，采购人不会承担任何费用。</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2.投标报价不得超出项目采购预算，不得涂改，否则为无效投标。</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3.投标报价修正错误</w:t>
      </w:r>
    </w:p>
    <w:p>
      <w:pPr>
        <w:spacing w:line="560" w:lineRule="exact"/>
        <w:ind w:firstLine="640" w:firstLineChars="200"/>
        <w:rPr>
          <w:rFonts w:ascii="方正仿宋_GBK" w:hAnsi="仿宋" w:eastAsia="方正仿宋_GBK"/>
          <w:snapToGrid w:val="0"/>
          <w:color w:val="000000"/>
          <w:kern w:val="0"/>
          <w:sz w:val="32"/>
          <w:szCs w:val="32"/>
          <w:highlight w:val="none"/>
        </w:rPr>
      </w:pPr>
      <w:bookmarkStart w:id="4" w:name="_Toc465959232"/>
      <w:bookmarkStart w:id="5" w:name="_Toc344475122"/>
      <w:r>
        <w:rPr>
          <w:rFonts w:hint="eastAsia" w:ascii="方正仿宋_GBK" w:hAnsi="仿宋" w:eastAsia="方正仿宋_GBK"/>
          <w:snapToGrid w:val="0"/>
          <w:color w:val="000000"/>
          <w:kern w:val="0"/>
          <w:sz w:val="32"/>
          <w:szCs w:val="32"/>
          <w:highlight w:val="none"/>
        </w:rPr>
        <w:t>3.1投标报价中出现大写金额和小写金额不一致的错误，评审时以大写金额为准。</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3.2总价金额与按单价汇总金额不一致的，以单价金额计算结果为准。</w:t>
      </w:r>
    </w:p>
    <w:p>
      <w:pPr>
        <w:pStyle w:val="10"/>
        <w:tabs>
          <w:tab w:val="left" w:pos="4905"/>
        </w:tabs>
        <w:spacing w:after="0" w:line="560" w:lineRule="exact"/>
        <w:ind w:left="0" w:leftChars="0"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（四）付款方式</w:t>
      </w:r>
      <w:bookmarkEnd w:id="4"/>
      <w:bookmarkEnd w:id="5"/>
      <w:bookmarkStart w:id="6" w:name="_Toc344475123"/>
    </w:p>
    <w:p>
      <w:pPr>
        <w:pStyle w:val="10"/>
        <w:tabs>
          <w:tab w:val="left" w:pos="4905"/>
        </w:tabs>
        <w:spacing w:after="0" w:line="560" w:lineRule="exact"/>
        <w:ind w:left="0" w:leftChars="0"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仿宋" w:eastAsia="方正仿宋_GBK" w:cs="宋体"/>
          <w:snapToGrid w:val="0"/>
          <w:color w:val="000000"/>
          <w:kern w:val="0"/>
          <w:sz w:val="32"/>
          <w:szCs w:val="32"/>
          <w:highlight w:val="none"/>
        </w:rPr>
        <w:t>完成服务需求规定内容并通过</w:t>
      </w:r>
      <w:r>
        <w:rPr>
          <w:rFonts w:hint="eastAsia" w:ascii="方正仿宋_GBK" w:hAnsi="仿宋" w:eastAsia="方正仿宋_GBK"/>
          <w:snapToGrid w:val="0"/>
          <w:color w:val="000000"/>
          <w:kern w:val="0"/>
          <w:sz w:val="32"/>
          <w:szCs w:val="32"/>
          <w:highlight w:val="none"/>
        </w:rPr>
        <w:t>采购人</w:t>
      </w:r>
      <w:r>
        <w:rPr>
          <w:rFonts w:hint="eastAsia" w:ascii="方正仿宋_GBK" w:hAnsi="仿宋" w:eastAsia="方正仿宋_GBK" w:cs="宋体"/>
          <w:snapToGrid w:val="0"/>
          <w:color w:val="000000"/>
          <w:kern w:val="0"/>
          <w:sz w:val="32"/>
          <w:szCs w:val="32"/>
          <w:highlight w:val="none"/>
        </w:rPr>
        <w:t>验收后，采购人通过转账的方式一次性结算应付款项。</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注：所有支付均为无息支付。</w:t>
      </w:r>
      <w:bookmarkStart w:id="7" w:name="_Toc465959233"/>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（五）</w:t>
      </w:r>
      <w:bookmarkEnd w:id="6"/>
      <w:bookmarkEnd w:id="7"/>
      <w:bookmarkStart w:id="8" w:name="_Toc465959235"/>
      <w:bookmarkStart w:id="9" w:name="_Toc344475125"/>
      <w:r>
        <w:rPr>
          <w:rFonts w:hint="eastAsia" w:ascii="方正仿宋_GBK" w:hAnsi="方正楷体_GBK" w:eastAsia="方正仿宋_GBK" w:cs="方正楷体_GBK"/>
          <w:snapToGrid w:val="0"/>
          <w:color w:val="000000"/>
          <w:kern w:val="0"/>
          <w:sz w:val="32"/>
          <w:szCs w:val="32"/>
          <w:highlight w:val="none"/>
        </w:rPr>
        <w:t>其他</w:t>
      </w:r>
      <w:bookmarkEnd w:id="8"/>
    </w:p>
    <w:bookmarkEnd w:id="9"/>
    <w:p>
      <w:pPr>
        <w:snapToGrid w:val="0"/>
        <w:spacing w:line="560" w:lineRule="exact"/>
        <w:ind w:firstLine="640" w:firstLineChars="200"/>
        <w:outlineLvl w:val="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其他未尽事宜由供需双方在采购合同中详细约定。</w:t>
      </w:r>
    </w:p>
    <w:p>
      <w:pPr>
        <w:spacing w:line="560" w:lineRule="exact"/>
        <w:ind w:firstLine="640" w:firstLineChars="200"/>
        <w:rPr>
          <w:rFonts w:ascii="黑体" w:hAnsi="黑体" w:eastAsia="黑体" w:cs="方正黑体_GBK"/>
          <w:snapToGrid w:val="0"/>
          <w:color w:val="000000"/>
          <w:kern w:val="0"/>
          <w:sz w:val="32"/>
          <w:szCs w:val="32"/>
          <w:highlight w:val="none"/>
        </w:rPr>
      </w:pPr>
      <w:r>
        <w:rPr>
          <w:rFonts w:hint="eastAsia" w:ascii="黑体" w:hAnsi="黑体" w:eastAsia="黑体" w:cs="方正黑体_GBK"/>
          <w:snapToGrid w:val="0"/>
          <w:color w:val="000000"/>
          <w:kern w:val="0"/>
          <w:sz w:val="32"/>
          <w:szCs w:val="32"/>
          <w:highlight w:val="none"/>
        </w:rPr>
        <w:t>四、投标人须知</w:t>
      </w:r>
    </w:p>
    <w:p>
      <w:pPr>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（一）费用</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参与磋商的供应商应承担其参与磋商活动所涉及的一切费用，无论磋商结果如何，采购人在任何情况下无义务也无责任承担所发生的费用。</w:t>
      </w:r>
    </w:p>
    <w:p>
      <w:pPr>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（二）疑问</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供应商如对</w:t>
      </w:r>
      <w:bookmarkStart w:id="10" w:name="_Hlk45216526"/>
      <w:r>
        <w:rPr>
          <w:rFonts w:hint="eastAsia" w:ascii="方正仿宋_GBK" w:hAnsi="仿宋" w:eastAsia="方正仿宋_GBK"/>
          <w:snapToGrid w:val="0"/>
          <w:color w:val="000000"/>
          <w:kern w:val="0"/>
          <w:sz w:val="32"/>
          <w:szCs w:val="32"/>
          <w:highlight w:val="none"/>
        </w:rPr>
        <w:t>竞争性磋商文件</w:t>
      </w:r>
      <w:bookmarkEnd w:id="10"/>
      <w:r>
        <w:rPr>
          <w:rFonts w:hint="eastAsia" w:ascii="方正仿宋_GBK" w:hAnsi="仿宋" w:eastAsia="方正仿宋_GBK"/>
          <w:snapToGrid w:val="0"/>
          <w:color w:val="000000"/>
          <w:kern w:val="0"/>
          <w:sz w:val="32"/>
          <w:szCs w:val="32"/>
          <w:highlight w:val="none"/>
        </w:rPr>
        <w:t>有疑问，必须以书面形式在提交响应文件截止之日1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（三）响应文件</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1.供应商应按竞争性磋商文件要求编制响应文件，并对竞争性磋商文件提出的要求和条件作出实质性响应。</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1.1响应文件组成</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响应文件由</w:t>
      </w:r>
      <w:r>
        <w:rPr>
          <w:rFonts w:hint="eastAsia" w:ascii="方正仿宋_GBK" w:hAnsi="仿宋" w:eastAsia="方正仿宋_GBK"/>
          <w:snapToGrid w:val="0"/>
          <w:kern w:val="0"/>
          <w:sz w:val="32"/>
          <w:szCs w:val="32"/>
          <w:highlight w:val="none"/>
        </w:rPr>
        <w:t>第九条</w:t>
      </w:r>
      <w:r>
        <w:rPr>
          <w:rFonts w:hint="eastAsia" w:ascii="方正仿宋_GBK" w:hAnsi="仿宋" w:eastAsia="方正仿宋_GBK"/>
          <w:snapToGrid w:val="0"/>
          <w:color w:val="000000"/>
          <w:kern w:val="0"/>
          <w:sz w:val="32"/>
          <w:szCs w:val="32"/>
          <w:highlight w:val="none"/>
        </w:rPr>
        <w:t>“响应文件格式要求”规定的部分和供应商所作的一切有效补充、修改和承诺等文件组成，供应商应按照</w:t>
      </w:r>
      <w:r>
        <w:rPr>
          <w:rFonts w:hint="eastAsia" w:ascii="方正仿宋_GBK" w:hAnsi="仿宋" w:eastAsia="方正仿宋_GBK"/>
          <w:snapToGrid w:val="0"/>
          <w:kern w:val="0"/>
          <w:sz w:val="32"/>
          <w:szCs w:val="32"/>
          <w:highlight w:val="none"/>
        </w:rPr>
        <w:t>第九条“响</w:t>
      </w:r>
      <w:r>
        <w:rPr>
          <w:rFonts w:hint="eastAsia" w:ascii="方正仿宋_GBK" w:hAnsi="仿宋" w:eastAsia="方正仿宋_GBK"/>
          <w:snapToGrid w:val="0"/>
          <w:color w:val="000000"/>
          <w:kern w:val="0"/>
          <w:sz w:val="32"/>
          <w:szCs w:val="32"/>
          <w:highlight w:val="none"/>
        </w:rPr>
        <w:t>应文件格式”规定的目录顺序组织编写和装订，也可在基本格式基础上对表格进行扩展，未规定格式的由供应商自定格式。</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1.2响应文件提交份数和签署</w:t>
      </w:r>
    </w:p>
    <w:p>
      <w:pPr>
        <w:snapToGrid w:val="0"/>
        <w:spacing w:line="560" w:lineRule="exact"/>
        <w:ind w:left="101" w:leftChars="36" w:firstLine="480" w:firstLineChars="15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供应商投标时提交纸质件响应文件2份，其中正本1份，副本1份（副本应为正本的完整复印件）。正本或者副本必须标记“正本”或“副本”字样，正本与副本不一致时以正本为准。</w:t>
      </w:r>
    </w:p>
    <w:p>
      <w:pPr>
        <w:snapToGrid w:val="0"/>
        <w:spacing w:line="560" w:lineRule="exact"/>
        <w:ind w:firstLine="640" w:firstLineChars="200"/>
        <w:rPr>
          <w:rFonts w:ascii="方正仿宋_GBK" w:hAnsi="仿宋" w:eastAsia="方正仿宋_GBK"/>
          <w:color w:val="000000"/>
          <w:spacing w:val="-18"/>
          <w:sz w:val="32"/>
          <w:szCs w:val="32"/>
          <w:highlight w:val="none"/>
        </w:rPr>
      </w:pPr>
      <w:r>
        <w:rPr>
          <w:rFonts w:hint="eastAsia" w:ascii="方正仿宋_GBK" w:hAnsi="仿宋" w:eastAsia="方正仿宋_GBK" w:cs="宋体"/>
          <w:color w:val="000000"/>
          <w:sz w:val="32"/>
          <w:szCs w:val="32"/>
          <w:highlight w:val="none"/>
        </w:rPr>
        <w:t>响应文件正本须采用A4幅面纸张，使用不能擦去的墨料或墨水打印或复印，</w:t>
      </w:r>
      <w:r>
        <w:rPr>
          <w:rFonts w:hint="eastAsia" w:ascii="方正仿宋_GBK" w:hAnsi="仿宋" w:eastAsia="方正仿宋_GBK"/>
          <w:color w:val="000000"/>
          <w:sz w:val="32"/>
          <w:szCs w:val="32"/>
          <w:highlight w:val="none"/>
        </w:rPr>
        <w:t>竞争性磋商文件第九条“响应文件格式要求”规定签字、盖章的地方必须按其规定签字、盖章，同时响应文件正本所有页面还需</w:t>
      </w:r>
      <w:r>
        <w:rPr>
          <w:rFonts w:hint="eastAsia" w:ascii="方正仿宋_GBK" w:hAnsi="仿宋" w:eastAsia="方正仿宋_GBK" w:cs="宋体"/>
          <w:color w:val="000000"/>
          <w:sz w:val="32"/>
          <w:szCs w:val="32"/>
          <w:highlight w:val="none"/>
        </w:rPr>
        <w:t>逐页加盖供应商单位公章（双面打印的正文内容只需一面盖章）。</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1.3响应文件的装订、密封与标记</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响应文件应按第九条响应文件格式要求的顺序进行装订，并用信封密封。信封上注明项目名称、供应商名称和地址。信封封口处应加盖供应商公章或法人授权代表签字。</w:t>
      </w:r>
    </w:p>
    <w:p>
      <w:pPr>
        <w:numPr>
          <w:ilvl w:val="0"/>
          <w:numId w:val="2"/>
        </w:num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响应文件有效期</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响应文件及有关承诺文件有效期为磋商开始时间起90天。</w:t>
      </w:r>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（五）供应商参与人员</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各个供应商可派1-2名代表参与磋商，其中1人应为法人代表或具有法人授权委托书的授权代表。</w:t>
      </w:r>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（六）无效投标条款</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供应商或其响应文件发生以下情况之一者，应为无效投标：</w:t>
      </w:r>
    </w:p>
    <w:p>
      <w:pPr>
        <w:snapToGrid w:val="0"/>
        <w:spacing w:line="560" w:lineRule="exact"/>
        <w:ind w:firstLine="640" w:firstLineChars="200"/>
        <w:rPr>
          <w:rFonts w:hint="eastAsia" w:ascii="方正仿宋_GBK" w:hAnsi="仿宋" w:eastAsia="方正仿宋_GBK"/>
          <w:snapToGrid w:val="0"/>
          <w:color w:val="000000"/>
          <w:kern w:val="0"/>
          <w:sz w:val="32"/>
          <w:szCs w:val="32"/>
          <w:highlight w:val="none"/>
          <w:lang w:eastAsia="zh-CN"/>
        </w:rPr>
      </w:pPr>
      <w:r>
        <w:rPr>
          <w:rFonts w:hint="eastAsia" w:ascii="方正仿宋_GBK" w:hAnsi="仿宋" w:eastAsia="方正仿宋_GBK"/>
          <w:snapToGrid w:val="0"/>
          <w:color w:val="000000"/>
          <w:kern w:val="0"/>
          <w:sz w:val="32"/>
          <w:szCs w:val="32"/>
          <w:highlight w:val="none"/>
        </w:rPr>
        <w:t>1.投标供应商未通过资格性和符合性检查的；</w:t>
      </w:r>
      <w:r>
        <w:rPr>
          <w:rFonts w:hint="eastAsia" w:ascii="方正仿宋_GBK" w:hAnsi="仿宋" w:eastAsia="方正仿宋_GBK"/>
          <w:snapToGrid w:val="0"/>
          <w:color w:val="000000"/>
          <w:kern w:val="0"/>
          <w:sz w:val="32"/>
          <w:szCs w:val="32"/>
          <w:highlight w:val="none"/>
          <w:lang w:eastAsia="zh-CN"/>
        </w:rPr>
        <w:t>供应商</w:t>
      </w:r>
      <w:r>
        <w:rPr>
          <w:rFonts w:hint="eastAsia" w:ascii="方正仿宋_GBK" w:hAnsi="仿宋" w:eastAsia="方正仿宋_GBK" w:cs="宋体"/>
          <w:snapToGrid w:val="0"/>
          <w:color w:val="000000"/>
          <w:kern w:val="0"/>
          <w:sz w:val="32"/>
          <w:szCs w:val="32"/>
          <w:highlight w:val="none"/>
        </w:rPr>
        <w:t>存在挂靠借用资质、制假售假、价格操纵及其他不诚信行为的</w:t>
      </w:r>
      <w:r>
        <w:rPr>
          <w:rFonts w:hint="eastAsia" w:ascii="方正仿宋_GBK" w:hAnsi="仿宋" w:eastAsia="方正仿宋_GBK" w:cs="宋体"/>
          <w:snapToGrid w:val="0"/>
          <w:color w:val="000000"/>
          <w:kern w:val="0"/>
          <w:sz w:val="32"/>
          <w:szCs w:val="32"/>
          <w:highlight w:val="none"/>
          <w:lang w:eastAsia="zh-CN"/>
        </w:rPr>
        <w:t>；</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2.供应商超出其营业执照或事业单位法人证书上经营范围（业务范围）投标的；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3.响应文件未按照竞争性磋商文件第九条响应文件格式要求签字、盖章的；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4.响应文件现多个投标方案或投标报价的；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5.投标报价超过采购预算或报价有涂改行为的；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6.对竞争性磋商文件的服务需求和商务要求不能满足的；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7.供应商响应文件内容有与国家现行法律法规相违背的内容，或附有采购人无法接受的条件；</w:t>
      </w:r>
    </w:p>
    <w:p>
      <w:pPr>
        <w:snapToGrid w:val="0"/>
        <w:spacing w:line="560" w:lineRule="exact"/>
        <w:ind w:firstLine="640" w:firstLineChars="200"/>
        <w:rPr>
          <w:rFonts w:ascii="方正仿宋_GBK" w:hAnsi="仿宋" w:eastAsia="方正仿宋_GBK" w:cs="宋体"/>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8.</w:t>
      </w:r>
      <w:r>
        <w:rPr>
          <w:rFonts w:hint="eastAsia" w:ascii="方正仿宋_GBK" w:hAnsi="仿宋" w:eastAsia="方正仿宋_GBK" w:cs="宋体"/>
          <w:snapToGrid w:val="0"/>
          <w:color w:val="000000"/>
          <w:kern w:val="0"/>
          <w:sz w:val="32"/>
          <w:szCs w:val="32"/>
          <w:highlight w:val="none"/>
        </w:rPr>
        <w:t>供应商的投标有效期不满足竞争性磋商文件要求的；</w:t>
      </w:r>
    </w:p>
    <w:p>
      <w:pPr>
        <w:snapToGrid w:val="0"/>
        <w:spacing w:line="560" w:lineRule="exact"/>
        <w:ind w:firstLine="640" w:firstLineChars="200"/>
        <w:rPr>
          <w:rFonts w:ascii="方正仿宋_GBK" w:hAnsi="仿宋" w:eastAsia="方正仿宋_GBK" w:cs="宋体"/>
          <w:snapToGrid w:val="0"/>
          <w:color w:val="000000"/>
          <w:kern w:val="0"/>
          <w:sz w:val="32"/>
          <w:szCs w:val="32"/>
          <w:highlight w:val="none"/>
        </w:rPr>
      </w:pPr>
      <w:r>
        <w:rPr>
          <w:rFonts w:hint="eastAsia" w:ascii="方正仿宋_GBK" w:hAnsi="仿宋" w:eastAsia="方正仿宋_GBK" w:cs="宋体"/>
          <w:snapToGrid w:val="0"/>
          <w:color w:val="000000"/>
          <w:kern w:val="0"/>
          <w:sz w:val="32"/>
          <w:szCs w:val="32"/>
          <w:highlight w:val="none"/>
        </w:rPr>
        <w:t>9.响应文件中提供虚假或者失实材料的；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10.供应商响应文件中有本竞争性磋商文件规定的其他无效投标条款的。</w:t>
      </w:r>
      <w:bookmarkStart w:id="11" w:name="_Toc316546726"/>
      <w:bookmarkStart w:id="12" w:name="_Toc342493128"/>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（七）废标条款</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评审小组评审时出现以下情况之一的，应予废标:</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1.符合专业条件的供应商或者对竞争性磋商文件作实质响应的供应商不足三家的；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2.供应商的报价均超过了采购预算，采购人不能支付的；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3.出现影响采购公正的违法、违规行为的；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4.因重大变故，采购任务取消的；</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废标后，除采购任务取消情形外，应当重新组织采购。</w:t>
      </w:r>
    </w:p>
    <w:p>
      <w:pPr>
        <w:snapToGrid w:val="0"/>
        <w:spacing w:line="560" w:lineRule="exact"/>
        <w:ind w:firstLine="640" w:firstLineChars="200"/>
        <w:rPr>
          <w:rFonts w:ascii="方正仿宋_GBK" w:hAnsi="仿宋" w:eastAsia="方正仿宋_GBK"/>
          <w:b/>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（八）本项目不接受联合体投标</w:t>
      </w:r>
      <w:r>
        <w:rPr>
          <w:rFonts w:hint="eastAsia" w:ascii="方正仿宋_GBK" w:hAnsi="方正楷体_GBK" w:eastAsia="方正仿宋_GBK" w:cs="方正楷体_GBK"/>
          <w:b/>
          <w:snapToGrid w:val="0"/>
          <w:color w:val="000000"/>
          <w:kern w:val="0"/>
          <w:sz w:val="32"/>
          <w:szCs w:val="32"/>
          <w:highlight w:val="none"/>
        </w:rPr>
        <w:t>。</w:t>
      </w:r>
    </w:p>
    <w:p>
      <w:pPr>
        <w:snapToGrid w:val="0"/>
        <w:spacing w:line="560" w:lineRule="exact"/>
        <w:ind w:firstLine="640" w:firstLineChars="200"/>
        <w:rPr>
          <w:rFonts w:ascii="黑体" w:hAnsi="黑体" w:eastAsia="黑体" w:cs="方正黑体_GBK"/>
          <w:bCs/>
          <w:snapToGrid w:val="0"/>
          <w:color w:val="000000"/>
          <w:kern w:val="0"/>
          <w:sz w:val="32"/>
          <w:szCs w:val="32"/>
          <w:highlight w:val="none"/>
        </w:rPr>
      </w:pPr>
      <w:r>
        <w:rPr>
          <w:rFonts w:hint="eastAsia" w:ascii="黑体" w:hAnsi="黑体" w:eastAsia="黑体" w:cs="方正黑体_GBK"/>
          <w:bCs/>
          <w:snapToGrid w:val="0"/>
          <w:color w:val="000000"/>
          <w:kern w:val="0"/>
          <w:sz w:val="32"/>
          <w:szCs w:val="32"/>
          <w:highlight w:val="none"/>
        </w:rPr>
        <w:t>七、磋商程序</w:t>
      </w:r>
      <w:bookmarkEnd w:id="11"/>
      <w:bookmarkEnd w:id="12"/>
      <w:r>
        <w:rPr>
          <w:rFonts w:hint="eastAsia" w:ascii="黑体" w:hAnsi="黑体" w:eastAsia="黑体" w:cs="方正黑体_GBK"/>
          <w:bCs/>
          <w:snapToGrid w:val="0"/>
          <w:color w:val="000000"/>
          <w:kern w:val="0"/>
          <w:sz w:val="32"/>
          <w:szCs w:val="32"/>
          <w:highlight w:val="none"/>
        </w:rPr>
        <w:t>及成交原则</w:t>
      </w:r>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（一）磋商时间与地点</w:t>
      </w:r>
    </w:p>
    <w:p>
      <w:pPr>
        <w:snapToGrid w:val="0"/>
        <w:spacing w:line="560" w:lineRule="exact"/>
        <w:ind w:firstLine="640" w:firstLineChars="200"/>
        <w:rPr>
          <w:rFonts w:ascii="方正仿宋_GBK" w:hAnsi="方正仿宋_GBK" w:eastAsia="方正仿宋_GBK" w:cs="方正仿宋_GBK"/>
          <w:b/>
          <w:snapToGrid w:val="0"/>
          <w:color w:val="000000"/>
          <w:kern w:val="0"/>
          <w:sz w:val="32"/>
          <w:szCs w:val="32"/>
          <w:highlight w:val="none"/>
          <w:bdr w:val="single" w:color="auto" w:sz="4" w:space="0"/>
        </w:rPr>
      </w:pPr>
      <w:r>
        <w:rPr>
          <w:rFonts w:hint="eastAsia" w:ascii="方正仿宋_GBK" w:hAnsi="方正仿宋_GBK" w:eastAsia="方正仿宋_GBK" w:cs="方正仿宋_GBK"/>
          <w:snapToGrid w:val="0"/>
          <w:color w:val="000000"/>
          <w:kern w:val="0"/>
          <w:sz w:val="32"/>
          <w:szCs w:val="32"/>
          <w:highlight w:val="none"/>
        </w:rPr>
        <w:t>按照竞争性磋商文件规定的时间和地点进行。</w:t>
      </w:r>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（二）评审小组</w:t>
      </w:r>
    </w:p>
    <w:p>
      <w:pPr>
        <w:snapToGrid w:val="0"/>
        <w:spacing w:line="560" w:lineRule="exact"/>
        <w:ind w:firstLine="640" w:firstLineChars="200"/>
        <w:rPr>
          <w:rFonts w:ascii="方正仿宋_GBK" w:hAnsi="方正仿宋_GBK" w:eastAsia="方正仿宋_GBK" w:cs="方正仿宋_GBK"/>
          <w:snapToGrid w:val="0"/>
          <w:color w:val="000000"/>
          <w:kern w:val="0"/>
          <w:sz w:val="32"/>
          <w:szCs w:val="32"/>
          <w:highlight w:val="none"/>
        </w:rPr>
      </w:pPr>
      <w:r>
        <w:rPr>
          <w:rFonts w:hint="eastAsia" w:ascii="方正仿宋_GBK" w:hAnsi="方正仿宋_GBK" w:eastAsia="方正仿宋_GBK" w:cs="方正仿宋_GBK"/>
          <w:snapToGrid w:val="0"/>
          <w:color w:val="000000"/>
          <w:kern w:val="0"/>
          <w:sz w:val="32"/>
          <w:szCs w:val="32"/>
          <w:highlight w:val="none"/>
        </w:rPr>
        <w:t xml:space="preserve"> 项目采购小组由采购人代表共3人及以上单数组成。</w:t>
      </w:r>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（三）评审办法</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采用综合评分法进行比对，满分100分，采购人对已通过资格审查的报名供应商的响应文件进行评分，得分最高的供应商为成交供应商，得分相同的优先选取最低报价的供应商，未通过资格审查的报名供应商不参与评审。</w:t>
      </w:r>
    </w:p>
    <w:p>
      <w:pPr>
        <w:numPr>
          <w:ilvl w:val="0"/>
          <w:numId w:val="3"/>
        </w:num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评审细则</w:t>
      </w:r>
    </w:p>
    <w:tbl>
      <w:tblPr>
        <w:tblStyle w:val="19"/>
        <w:tblpPr w:leftFromText="180" w:rightFromText="180" w:vertAnchor="text" w:tblpXSpec="center" w:tblpY="1"/>
        <w:tblOverlap w:val="never"/>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29"/>
        <w:gridCol w:w="717"/>
        <w:gridCol w:w="452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24" w:type="dxa"/>
            <w:vAlign w:val="center"/>
          </w:tcPr>
          <w:p>
            <w:pPr>
              <w:spacing w:line="560" w:lineRule="exact"/>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429" w:type="dxa"/>
            <w:vAlign w:val="center"/>
          </w:tcPr>
          <w:p>
            <w:pPr>
              <w:spacing w:line="560" w:lineRule="exact"/>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评分因素</w:t>
            </w:r>
          </w:p>
        </w:tc>
        <w:tc>
          <w:tcPr>
            <w:tcW w:w="717" w:type="dxa"/>
            <w:vAlign w:val="center"/>
          </w:tcPr>
          <w:p>
            <w:pPr>
              <w:spacing w:line="560" w:lineRule="exact"/>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分值</w:t>
            </w:r>
          </w:p>
        </w:tc>
        <w:tc>
          <w:tcPr>
            <w:tcW w:w="4527" w:type="dxa"/>
            <w:vAlign w:val="center"/>
          </w:tcPr>
          <w:p>
            <w:pPr>
              <w:spacing w:line="560" w:lineRule="exact"/>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评分标准</w:t>
            </w:r>
          </w:p>
        </w:tc>
        <w:tc>
          <w:tcPr>
            <w:tcW w:w="1710" w:type="dxa"/>
            <w:vAlign w:val="center"/>
          </w:tcPr>
          <w:p>
            <w:pPr>
              <w:pStyle w:val="23"/>
              <w:spacing w:before="0" w:after="0" w:line="5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24" w:type="dxa"/>
            <w:vAlign w:val="center"/>
          </w:tcPr>
          <w:p>
            <w:pPr>
              <w:spacing w:line="5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429" w:type="dxa"/>
            <w:vAlign w:val="center"/>
          </w:tcPr>
          <w:p>
            <w:pPr>
              <w:spacing w:line="5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p>
            <w:pPr>
              <w:spacing w:line="5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部分（30%）</w:t>
            </w:r>
          </w:p>
        </w:tc>
        <w:tc>
          <w:tcPr>
            <w:tcW w:w="717" w:type="dxa"/>
            <w:vAlign w:val="center"/>
          </w:tcPr>
          <w:p>
            <w:pPr>
              <w:spacing w:line="56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w:t>
            </w:r>
          </w:p>
        </w:tc>
        <w:tc>
          <w:tcPr>
            <w:tcW w:w="4527" w:type="dxa"/>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满足资格性、符合性要求的投标报价中的最低</w:t>
            </w:r>
            <w:r>
              <w:rPr>
                <w:rFonts w:hint="eastAsia" w:ascii="方正仿宋_GBK" w:hAnsi="方正仿宋_GBK" w:eastAsia="方正仿宋_GBK" w:cs="方正仿宋_GBK"/>
                <w:color w:val="auto"/>
                <w:sz w:val="24"/>
                <w:szCs w:val="24"/>
                <w:highlight w:val="none"/>
                <w:lang w:eastAsia="zh-CN"/>
              </w:rPr>
              <w:t>单</w:t>
            </w:r>
            <w:r>
              <w:rPr>
                <w:rFonts w:hint="eastAsia" w:ascii="方正仿宋_GBK" w:hAnsi="方正仿宋_GBK" w:eastAsia="方正仿宋_GBK" w:cs="方正仿宋_GBK"/>
                <w:color w:val="auto"/>
                <w:sz w:val="24"/>
                <w:szCs w:val="24"/>
                <w:highlight w:val="none"/>
              </w:rPr>
              <w:t>价为评标基准价，按照下列公式计算每个</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的投标价格得分。</w:t>
            </w:r>
          </w:p>
          <w:p>
            <w:pPr>
              <w:widowControl/>
              <w:spacing w:line="56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投标报价得分＝（评标基准价/投标报价）×价格权重×100。</w:t>
            </w:r>
          </w:p>
        </w:tc>
        <w:tc>
          <w:tcPr>
            <w:tcW w:w="1710" w:type="dxa"/>
            <w:vAlign w:val="center"/>
          </w:tcPr>
          <w:p>
            <w:pPr>
              <w:spacing w:line="5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单价</w:t>
            </w:r>
            <w:r>
              <w:rPr>
                <w:rFonts w:hint="eastAsia" w:ascii="方正仿宋_GBK" w:hAnsi="方正仿宋_GBK" w:eastAsia="方正仿宋_GBK" w:cs="方正仿宋_GBK"/>
                <w:color w:val="auto"/>
                <w:sz w:val="24"/>
                <w:szCs w:val="24"/>
                <w:highlight w:val="none"/>
              </w:rPr>
              <w:t>高于</w:t>
            </w:r>
            <w:r>
              <w:rPr>
                <w:rFonts w:hint="eastAsia" w:ascii="方正仿宋_GBK" w:hAnsi="方正仿宋_GBK" w:eastAsia="方正仿宋_GBK" w:cs="方正仿宋_GBK"/>
                <w:color w:val="auto"/>
                <w:sz w:val="24"/>
                <w:szCs w:val="24"/>
                <w:highlight w:val="none"/>
                <w:lang w:val="en-US" w:eastAsia="zh-CN"/>
              </w:rPr>
              <w:t>165元/个</w:t>
            </w:r>
            <w:r>
              <w:rPr>
                <w:rFonts w:hint="eastAsia" w:ascii="方正仿宋_GBK" w:hAnsi="方正仿宋_GBK" w:eastAsia="方正仿宋_GBK" w:cs="方正仿宋_GBK"/>
                <w:color w:val="auto"/>
                <w:sz w:val="24"/>
                <w:szCs w:val="24"/>
                <w:highlight w:val="none"/>
              </w:rPr>
              <w:t>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724" w:type="dxa"/>
            <w:vMerge w:val="restart"/>
            <w:vAlign w:val="center"/>
          </w:tcPr>
          <w:p>
            <w:pPr>
              <w:widowControl/>
              <w:spacing w:line="560" w:lineRule="exact"/>
              <w:jc w:val="center"/>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429" w:type="dxa"/>
            <w:vMerge w:val="restart"/>
            <w:vAlign w:val="center"/>
          </w:tcPr>
          <w:p>
            <w:pPr>
              <w:widowControl/>
              <w:spacing w:line="560" w:lineRule="exact"/>
              <w:jc w:val="center"/>
              <w:outlineLvl w:val="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技术方案</w:t>
            </w:r>
          </w:p>
          <w:p>
            <w:pPr>
              <w:widowControl/>
              <w:spacing w:line="560" w:lineRule="exact"/>
              <w:jc w:val="center"/>
              <w:outlineLvl w:val="2"/>
              <w:rPr>
                <w:rFonts w:hint="eastAsia"/>
                <w:highlight w:val="none"/>
              </w:rPr>
            </w:pPr>
            <w:r>
              <w:rPr>
                <w:rFonts w:hint="eastAsia" w:ascii="方正仿宋_GBK" w:hAnsi="方正仿宋_GBK" w:eastAsia="方正仿宋_GBK" w:cs="方正仿宋_GBK"/>
                <w:sz w:val="24"/>
                <w:szCs w:val="24"/>
                <w:highlight w:val="none"/>
              </w:rPr>
              <w:t>部分</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w:t>
            </w:r>
          </w:p>
          <w:p>
            <w:pPr>
              <w:pStyle w:val="2"/>
              <w:rPr>
                <w:rFonts w:hint="eastAsia"/>
                <w:highlight w:val="none"/>
              </w:rPr>
            </w:pPr>
          </w:p>
        </w:tc>
        <w:tc>
          <w:tcPr>
            <w:tcW w:w="717" w:type="dxa"/>
            <w:vMerge w:val="restart"/>
            <w:vAlign w:val="center"/>
          </w:tcPr>
          <w:p>
            <w:pPr>
              <w:widowControl/>
              <w:spacing w:line="560" w:lineRule="exact"/>
              <w:jc w:val="center"/>
              <w:outlineLvl w:val="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50</w:t>
            </w:r>
          </w:p>
        </w:tc>
        <w:tc>
          <w:tcPr>
            <w:tcW w:w="4527" w:type="dxa"/>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供应商根据项目实际情况</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编制</w:t>
            </w:r>
            <w:r>
              <w:rPr>
                <w:rFonts w:hint="eastAsia" w:ascii="方正仿宋_GBK" w:hAnsi="方正仿宋_GBK" w:eastAsia="方正仿宋_GBK" w:cs="方正仿宋_GBK"/>
                <w:color w:val="auto"/>
                <w:sz w:val="24"/>
                <w:szCs w:val="24"/>
                <w:highlight w:val="none"/>
                <w:lang w:eastAsia="zh-CN"/>
              </w:rPr>
              <w:t>采购计划、现场安装</w:t>
            </w:r>
            <w:r>
              <w:rPr>
                <w:rFonts w:hint="eastAsia" w:ascii="方正仿宋_GBK" w:hAnsi="方正仿宋_GBK" w:eastAsia="方正仿宋_GBK" w:cs="方正仿宋_GBK"/>
                <w:color w:val="auto"/>
                <w:sz w:val="24"/>
                <w:szCs w:val="24"/>
                <w:highlight w:val="none"/>
              </w:rPr>
              <w:t>方案，</w:t>
            </w:r>
            <w:r>
              <w:rPr>
                <w:rFonts w:hint="eastAsia" w:ascii="方正仿宋_GBK" w:hAnsi="方正仿宋_GBK" w:eastAsia="方正仿宋_GBK" w:cs="方正仿宋_GBK"/>
                <w:color w:val="auto"/>
                <w:sz w:val="24"/>
                <w:szCs w:val="24"/>
                <w:highlight w:val="none"/>
                <w:lang w:eastAsia="zh-CN"/>
              </w:rPr>
              <w:t>方案需具有科学性、</w:t>
            </w:r>
            <w:r>
              <w:rPr>
                <w:rFonts w:hint="eastAsia" w:ascii="方正仿宋_GBK" w:hAnsi="方正仿宋_GBK" w:eastAsia="方正仿宋_GBK" w:cs="方正仿宋_GBK"/>
                <w:color w:val="auto"/>
                <w:sz w:val="24"/>
                <w:szCs w:val="24"/>
                <w:highlight w:val="none"/>
              </w:rPr>
              <w:t>合理</w:t>
            </w:r>
            <w:r>
              <w:rPr>
                <w:rFonts w:hint="eastAsia" w:ascii="方正仿宋_GBK" w:hAnsi="方正仿宋_GBK" w:eastAsia="方正仿宋_GBK" w:cs="方正仿宋_GBK"/>
                <w:color w:val="auto"/>
                <w:sz w:val="24"/>
                <w:szCs w:val="24"/>
                <w:highlight w:val="none"/>
                <w:lang w:eastAsia="zh-CN"/>
              </w:rPr>
              <w:t>性、</w:t>
            </w:r>
            <w:r>
              <w:rPr>
                <w:rFonts w:hint="eastAsia" w:ascii="方正仿宋_GBK" w:hAnsi="方正仿宋_GBK" w:eastAsia="方正仿宋_GBK" w:cs="方正仿宋_GBK"/>
                <w:color w:val="auto"/>
                <w:sz w:val="24"/>
                <w:szCs w:val="24"/>
                <w:highlight w:val="none"/>
              </w:rPr>
              <w:t>针对性、</w:t>
            </w:r>
            <w:r>
              <w:rPr>
                <w:rFonts w:hint="eastAsia" w:ascii="方正仿宋_GBK" w:hAnsi="方正仿宋_GBK" w:eastAsia="方正仿宋_GBK" w:cs="方正仿宋_GBK"/>
                <w:color w:val="auto"/>
                <w:sz w:val="24"/>
                <w:szCs w:val="24"/>
                <w:highlight w:val="none"/>
                <w:lang w:eastAsia="zh-CN"/>
              </w:rPr>
              <w:t>可行性</w:t>
            </w:r>
            <w:r>
              <w:rPr>
                <w:rFonts w:hint="eastAsia" w:ascii="方正仿宋_GBK" w:hAnsi="方正仿宋_GBK" w:eastAsia="方正仿宋_GBK" w:cs="方正仿宋_GBK"/>
                <w:color w:val="auto"/>
                <w:sz w:val="24"/>
                <w:szCs w:val="24"/>
                <w:highlight w:val="none"/>
              </w:rPr>
              <w:t>；由</w:t>
            </w:r>
            <w:r>
              <w:rPr>
                <w:rFonts w:hint="eastAsia" w:ascii="方正仿宋_GBK" w:hAnsi="方正仿宋_GBK" w:eastAsia="方正仿宋_GBK" w:cs="方正仿宋_GBK"/>
                <w:color w:val="auto"/>
                <w:sz w:val="24"/>
                <w:szCs w:val="24"/>
                <w:highlight w:val="none"/>
                <w:lang w:eastAsia="zh-CN"/>
              </w:rPr>
              <w:t>评审小组</w:t>
            </w:r>
            <w:r>
              <w:rPr>
                <w:rFonts w:hint="eastAsia" w:ascii="方正仿宋_GBK" w:hAnsi="方正仿宋_GBK" w:eastAsia="方正仿宋_GBK" w:cs="方正仿宋_GBK"/>
                <w:color w:val="auto"/>
                <w:sz w:val="24"/>
                <w:szCs w:val="24"/>
                <w:highlight w:val="none"/>
              </w:rPr>
              <w:t>进行横向对比评分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在</w:t>
            </w:r>
            <w:r>
              <w:rPr>
                <w:rFonts w:hint="eastAsia" w:ascii="方正仿宋_GBK" w:hAnsi="方正仿宋_GBK" w:eastAsia="方正仿宋_GBK" w:cs="方正仿宋_GBK"/>
                <w:color w:val="auto"/>
                <w:sz w:val="24"/>
                <w:szCs w:val="24"/>
                <w:highlight w:val="none"/>
                <w:lang w:val="en-US" w:eastAsia="zh-CN"/>
              </w:rPr>
              <w:t>1-20</w:t>
            </w:r>
            <w:r>
              <w:rPr>
                <w:rFonts w:hint="eastAsia" w:ascii="方正仿宋_GBK" w:hAnsi="方正仿宋_GBK" w:eastAsia="方正仿宋_GBK" w:cs="方正仿宋_GBK"/>
                <w:color w:val="auto"/>
                <w:sz w:val="24"/>
                <w:szCs w:val="24"/>
                <w:highlight w:val="none"/>
              </w:rPr>
              <w:t>分之间打分。</w:t>
            </w:r>
          </w:p>
        </w:tc>
        <w:tc>
          <w:tcPr>
            <w:tcW w:w="1710" w:type="dxa"/>
            <w:vMerge w:val="restart"/>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24" w:type="dxa"/>
            <w:vMerge w:val="continue"/>
            <w:vAlign w:val="center"/>
          </w:tcPr>
          <w:p>
            <w:pPr>
              <w:widowControl/>
              <w:spacing w:line="560" w:lineRule="exact"/>
              <w:jc w:val="center"/>
              <w:outlineLvl w:val="2"/>
              <w:rPr>
                <w:rFonts w:hint="eastAsia" w:ascii="方正仿宋_GBK" w:hAnsi="方正仿宋_GBK" w:eastAsia="方正仿宋_GBK" w:cs="方正仿宋_GBK"/>
                <w:color w:val="auto"/>
                <w:sz w:val="24"/>
                <w:szCs w:val="24"/>
                <w:highlight w:val="none"/>
              </w:rPr>
            </w:pPr>
          </w:p>
        </w:tc>
        <w:tc>
          <w:tcPr>
            <w:tcW w:w="1429" w:type="dxa"/>
            <w:vMerge w:val="continue"/>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p>
        </w:tc>
        <w:tc>
          <w:tcPr>
            <w:tcW w:w="717" w:type="dxa"/>
            <w:vMerge w:val="continue"/>
            <w:vAlign w:val="center"/>
          </w:tcPr>
          <w:p>
            <w:pPr>
              <w:widowControl/>
              <w:spacing w:line="560" w:lineRule="exact"/>
              <w:jc w:val="center"/>
              <w:outlineLvl w:val="2"/>
              <w:rPr>
                <w:rFonts w:hint="eastAsia" w:ascii="方正仿宋_GBK" w:hAnsi="方正仿宋_GBK" w:eastAsia="方正仿宋_GBK" w:cs="方正仿宋_GBK"/>
                <w:color w:val="auto"/>
                <w:sz w:val="24"/>
                <w:szCs w:val="24"/>
                <w:highlight w:val="none"/>
              </w:rPr>
            </w:pPr>
          </w:p>
        </w:tc>
        <w:tc>
          <w:tcPr>
            <w:tcW w:w="4527" w:type="dxa"/>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后期营运管理方案，供应商根据自行团队服务能力自行编制质量缺陷期内的服务方案。需包含日常检修、检测内容、服务团队等内容。由</w:t>
            </w:r>
            <w:r>
              <w:rPr>
                <w:rFonts w:hint="eastAsia" w:ascii="方正仿宋_GBK" w:hAnsi="方正仿宋_GBK" w:eastAsia="方正仿宋_GBK" w:cs="方正仿宋_GBK"/>
                <w:color w:val="auto"/>
                <w:sz w:val="24"/>
                <w:szCs w:val="24"/>
                <w:highlight w:val="none"/>
                <w:lang w:eastAsia="zh-CN"/>
              </w:rPr>
              <w:t>评审小组</w:t>
            </w:r>
            <w:r>
              <w:rPr>
                <w:rFonts w:hint="eastAsia" w:ascii="方正仿宋_GBK" w:hAnsi="方正仿宋_GBK" w:eastAsia="方正仿宋_GBK" w:cs="方正仿宋_GBK"/>
                <w:color w:val="auto"/>
                <w:sz w:val="24"/>
                <w:szCs w:val="24"/>
                <w:highlight w:val="none"/>
              </w:rPr>
              <w:t>进行横向对比评分，在</w:t>
            </w:r>
            <w:r>
              <w:rPr>
                <w:rFonts w:hint="eastAsia" w:ascii="方正仿宋_GBK" w:hAnsi="方正仿宋_GBK" w:eastAsia="方正仿宋_GBK" w:cs="方正仿宋_GBK"/>
                <w:color w:val="auto"/>
                <w:sz w:val="24"/>
                <w:szCs w:val="24"/>
                <w:highlight w:val="none"/>
                <w:lang w:val="en-US" w:eastAsia="zh-CN"/>
              </w:rPr>
              <w:t>1-15</w:t>
            </w:r>
            <w:r>
              <w:rPr>
                <w:rFonts w:hint="eastAsia" w:ascii="方正仿宋_GBK" w:hAnsi="方正仿宋_GBK" w:eastAsia="方正仿宋_GBK" w:cs="方正仿宋_GBK"/>
                <w:color w:val="auto"/>
                <w:sz w:val="24"/>
                <w:szCs w:val="24"/>
                <w:highlight w:val="none"/>
              </w:rPr>
              <w:t>分之间打分。</w:t>
            </w:r>
          </w:p>
        </w:tc>
        <w:tc>
          <w:tcPr>
            <w:tcW w:w="1710" w:type="dxa"/>
            <w:vMerge w:val="continue"/>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724" w:type="dxa"/>
            <w:vMerge w:val="continue"/>
            <w:vAlign w:val="center"/>
          </w:tcPr>
          <w:p>
            <w:pPr>
              <w:widowControl/>
              <w:spacing w:line="560" w:lineRule="exact"/>
              <w:jc w:val="center"/>
              <w:outlineLvl w:val="2"/>
              <w:rPr>
                <w:rFonts w:hint="eastAsia" w:ascii="方正仿宋_GBK" w:hAnsi="方正仿宋_GBK" w:eastAsia="方正仿宋_GBK" w:cs="方正仿宋_GBK"/>
                <w:color w:val="auto"/>
                <w:sz w:val="24"/>
                <w:szCs w:val="24"/>
                <w:highlight w:val="none"/>
              </w:rPr>
            </w:pPr>
          </w:p>
        </w:tc>
        <w:tc>
          <w:tcPr>
            <w:tcW w:w="1429" w:type="dxa"/>
            <w:vMerge w:val="continue"/>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p>
        </w:tc>
        <w:tc>
          <w:tcPr>
            <w:tcW w:w="717" w:type="dxa"/>
            <w:vMerge w:val="continue"/>
            <w:vAlign w:val="center"/>
          </w:tcPr>
          <w:p>
            <w:pPr>
              <w:widowControl/>
              <w:spacing w:line="560" w:lineRule="exact"/>
              <w:jc w:val="center"/>
              <w:outlineLvl w:val="2"/>
              <w:rPr>
                <w:rFonts w:hint="eastAsia" w:ascii="方正仿宋_GBK" w:hAnsi="方正仿宋_GBK" w:eastAsia="方正仿宋_GBK" w:cs="方正仿宋_GBK"/>
                <w:color w:val="auto"/>
                <w:sz w:val="24"/>
                <w:szCs w:val="24"/>
                <w:highlight w:val="none"/>
              </w:rPr>
            </w:pPr>
          </w:p>
        </w:tc>
        <w:tc>
          <w:tcPr>
            <w:tcW w:w="4527" w:type="dxa"/>
            <w:vAlign w:val="top"/>
          </w:tcPr>
          <w:p>
            <w:pPr>
              <w:widowControl/>
              <w:spacing w:line="56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供应商根据以往工作经验结合本项目实际编制项目实施过程中的安全管理、质量管控等全方位的质量、安全管护方案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由</w:t>
            </w:r>
            <w:r>
              <w:rPr>
                <w:rFonts w:hint="eastAsia" w:ascii="方正仿宋_GBK" w:hAnsi="方正仿宋_GBK" w:eastAsia="方正仿宋_GBK" w:cs="方正仿宋_GBK"/>
                <w:color w:val="auto"/>
                <w:sz w:val="24"/>
                <w:szCs w:val="24"/>
                <w:highlight w:val="none"/>
                <w:lang w:eastAsia="zh-CN"/>
              </w:rPr>
              <w:t>评审小组</w:t>
            </w:r>
            <w:r>
              <w:rPr>
                <w:rFonts w:hint="eastAsia" w:ascii="方正仿宋_GBK" w:hAnsi="方正仿宋_GBK" w:eastAsia="方正仿宋_GBK" w:cs="方正仿宋_GBK"/>
                <w:color w:val="auto"/>
                <w:sz w:val="24"/>
                <w:szCs w:val="24"/>
                <w:highlight w:val="none"/>
              </w:rPr>
              <w:t>进行横向对比评分，在</w:t>
            </w:r>
            <w:r>
              <w:rPr>
                <w:rFonts w:hint="eastAsia" w:ascii="方正仿宋_GBK" w:hAnsi="方正仿宋_GBK" w:eastAsia="方正仿宋_GBK" w:cs="方正仿宋_GBK"/>
                <w:color w:val="auto"/>
                <w:sz w:val="24"/>
                <w:szCs w:val="24"/>
                <w:highlight w:val="none"/>
                <w:lang w:val="en-US" w:eastAsia="zh-CN"/>
              </w:rPr>
              <w:t>1-15</w:t>
            </w:r>
            <w:r>
              <w:rPr>
                <w:rFonts w:hint="eastAsia" w:ascii="方正仿宋_GBK" w:hAnsi="方正仿宋_GBK" w:eastAsia="方正仿宋_GBK" w:cs="方正仿宋_GBK"/>
                <w:color w:val="auto"/>
                <w:sz w:val="24"/>
                <w:szCs w:val="24"/>
                <w:highlight w:val="none"/>
              </w:rPr>
              <w:t>分之间打分。</w:t>
            </w:r>
          </w:p>
        </w:tc>
        <w:tc>
          <w:tcPr>
            <w:tcW w:w="1710" w:type="dxa"/>
            <w:vMerge w:val="continue"/>
            <w:vAlign w:val="center"/>
          </w:tcPr>
          <w:p>
            <w:pPr>
              <w:widowControl/>
              <w:spacing w:line="560" w:lineRule="exact"/>
              <w:outlineLvl w:val="2"/>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724" w:type="dxa"/>
            <w:vMerge w:val="restart"/>
            <w:vAlign w:val="center"/>
          </w:tcPr>
          <w:p>
            <w:pPr>
              <w:keepNext w:val="0"/>
              <w:keepLines w:val="0"/>
              <w:pageBreakBefore w:val="0"/>
              <w:widowControl/>
              <w:kinsoku/>
              <w:wordWrap/>
              <w:overflowPunct/>
              <w:topLinePunct w:val="0"/>
              <w:bidi w:val="0"/>
              <w:adjustRightInd/>
              <w:spacing w:line="560" w:lineRule="exact"/>
              <w:jc w:val="center"/>
              <w:textAlignment w:val="auto"/>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429" w:type="dxa"/>
            <w:vMerge w:val="restart"/>
            <w:vAlign w:val="center"/>
          </w:tcPr>
          <w:p>
            <w:pPr>
              <w:keepNext w:val="0"/>
              <w:keepLines w:val="0"/>
              <w:pageBreakBefore w:val="0"/>
              <w:widowControl/>
              <w:kinsoku/>
              <w:wordWrap/>
              <w:overflowPunct/>
              <w:topLinePunct w:val="0"/>
              <w:bidi w:val="0"/>
              <w:adjustRightInd/>
              <w:spacing w:line="560" w:lineRule="exact"/>
              <w:textAlignment w:val="auto"/>
              <w:outlineLvl w:val="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商务部分</w:t>
            </w:r>
          </w:p>
          <w:p>
            <w:pPr>
              <w:keepNext w:val="0"/>
              <w:keepLines w:val="0"/>
              <w:pageBreakBefore w:val="0"/>
              <w:widowControl/>
              <w:kinsoku/>
              <w:wordWrap/>
              <w:overflowPunct/>
              <w:topLinePunct w:val="0"/>
              <w:bidi w:val="0"/>
              <w:adjustRightInd/>
              <w:spacing w:line="560" w:lineRule="exact"/>
              <w:textAlignment w:val="auto"/>
              <w:outlineLvl w:val="2"/>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w:t>
            </w:r>
          </w:p>
        </w:tc>
        <w:tc>
          <w:tcPr>
            <w:tcW w:w="717" w:type="dxa"/>
            <w:vMerge w:val="restart"/>
            <w:vAlign w:val="center"/>
          </w:tcPr>
          <w:p>
            <w:pPr>
              <w:keepNext w:val="0"/>
              <w:keepLines w:val="0"/>
              <w:pageBreakBefore w:val="0"/>
              <w:widowControl/>
              <w:kinsoku/>
              <w:wordWrap/>
              <w:overflowPunct/>
              <w:topLinePunct w:val="0"/>
              <w:bidi w:val="0"/>
              <w:adjustRightInd/>
              <w:spacing w:line="560" w:lineRule="exact"/>
              <w:jc w:val="center"/>
              <w:textAlignment w:val="auto"/>
              <w:outlineLvl w:val="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20</w:t>
            </w:r>
          </w:p>
        </w:tc>
        <w:tc>
          <w:tcPr>
            <w:tcW w:w="4527" w:type="dxa"/>
            <w:vAlign w:val="center"/>
          </w:tcPr>
          <w:p>
            <w:pPr>
              <w:keepNext w:val="0"/>
              <w:keepLines w:val="0"/>
              <w:pageBreakBefore w:val="0"/>
              <w:kinsoku/>
              <w:wordWrap/>
              <w:overflowPunct/>
              <w:topLinePunct w:val="0"/>
              <w:bidi w:val="0"/>
              <w:adjustRightInd/>
              <w:spacing w:line="56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2019年1月1日至今供应商在重庆市承接过同类采购安装业绩的，采购安装合同金额大于1万元且小于10万元，每提供1个得1分；采购安装合同金额大于10万元且小于100万元，每提供1个得2分；采购安装合同金额大于100万元，每提供1个得5分。每提供1个得2分，最高得10分。</w:t>
            </w:r>
          </w:p>
          <w:p>
            <w:pPr>
              <w:pStyle w:val="20"/>
              <w:keepNext w:val="0"/>
              <w:keepLines w:val="0"/>
              <w:pageBreakBefore w:val="0"/>
              <w:kinsoku/>
              <w:wordWrap/>
              <w:overflowPunct/>
              <w:topLinePunct w:val="0"/>
              <w:bidi w:val="0"/>
              <w:adjustRightInd/>
              <w:spacing w:line="560" w:lineRule="exact"/>
              <w:ind w:left="0" w:leftChars="0" w:firstLine="0" w:firstLineChars="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提供</w:t>
            </w:r>
            <w:r>
              <w:rPr>
                <w:rFonts w:hint="eastAsia" w:ascii="方正仿宋_GBK" w:hAnsi="方正仿宋_GBK" w:eastAsia="方正仿宋_GBK" w:cs="方正仿宋_GBK"/>
                <w:color w:val="auto"/>
                <w:sz w:val="24"/>
                <w:szCs w:val="24"/>
                <w:highlight w:val="none"/>
                <w:lang w:eastAsia="zh-CN"/>
              </w:rPr>
              <w:t>代理</w:t>
            </w:r>
            <w:r>
              <w:rPr>
                <w:rFonts w:hint="eastAsia" w:ascii="方正仿宋_GBK" w:hAnsi="方正仿宋_GBK" w:eastAsia="方正仿宋_GBK" w:cs="方正仿宋_GBK"/>
                <w:color w:val="auto"/>
                <w:sz w:val="24"/>
                <w:szCs w:val="24"/>
                <w:highlight w:val="none"/>
              </w:rPr>
              <w:t>合同复印件及重庆市政府采购网上结果公告截图，并加盖</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公章。</w:t>
            </w:r>
          </w:p>
        </w:tc>
        <w:tc>
          <w:tcPr>
            <w:tcW w:w="1710" w:type="dxa"/>
            <w:vMerge w:val="restart"/>
            <w:vAlign w:val="center"/>
          </w:tcPr>
          <w:p>
            <w:pPr>
              <w:keepNext w:val="0"/>
              <w:keepLines w:val="0"/>
              <w:pageBreakBefore w:val="0"/>
              <w:widowControl/>
              <w:kinsoku/>
              <w:wordWrap/>
              <w:overflowPunct/>
              <w:topLinePunct w:val="0"/>
              <w:bidi w:val="0"/>
              <w:adjustRightInd/>
              <w:spacing w:line="560" w:lineRule="exact"/>
              <w:textAlignment w:val="auto"/>
              <w:outlineLvl w:val="2"/>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724" w:type="dxa"/>
            <w:vMerge w:val="continue"/>
            <w:vAlign w:val="center"/>
          </w:tcPr>
          <w:p>
            <w:pPr>
              <w:keepNext w:val="0"/>
              <w:keepLines w:val="0"/>
              <w:pageBreakBefore w:val="0"/>
              <w:widowControl/>
              <w:kinsoku/>
              <w:wordWrap/>
              <w:overflowPunct/>
              <w:topLinePunct w:val="0"/>
              <w:bidi w:val="0"/>
              <w:adjustRightInd/>
              <w:spacing w:line="560" w:lineRule="exact"/>
              <w:jc w:val="center"/>
              <w:textAlignment w:val="auto"/>
              <w:outlineLvl w:val="2"/>
              <w:rPr>
                <w:rFonts w:hint="eastAsia" w:ascii="方正仿宋_GBK" w:hAnsi="方正仿宋_GBK" w:eastAsia="方正仿宋_GBK" w:cs="方正仿宋_GBK"/>
                <w:color w:val="auto"/>
                <w:sz w:val="24"/>
                <w:szCs w:val="24"/>
                <w:highlight w:val="none"/>
              </w:rPr>
            </w:pPr>
          </w:p>
        </w:tc>
        <w:tc>
          <w:tcPr>
            <w:tcW w:w="1429" w:type="dxa"/>
            <w:vMerge w:val="continue"/>
            <w:vAlign w:val="center"/>
          </w:tcPr>
          <w:p>
            <w:pPr>
              <w:keepNext w:val="0"/>
              <w:keepLines w:val="0"/>
              <w:pageBreakBefore w:val="0"/>
              <w:widowControl/>
              <w:kinsoku/>
              <w:wordWrap/>
              <w:overflowPunct/>
              <w:topLinePunct w:val="0"/>
              <w:bidi w:val="0"/>
              <w:adjustRightInd/>
              <w:spacing w:line="560" w:lineRule="exact"/>
              <w:textAlignment w:val="auto"/>
              <w:outlineLvl w:val="2"/>
              <w:rPr>
                <w:rFonts w:hint="eastAsia" w:ascii="方正仿宋_GBK" w:hAnsi="方正仿宋_GBK" w:eastAsia="方正仿宋_GBK" w:cs="方正仿宋_GBK"/>
                <w:color w:val="auto"/>
                <w:sz w:val="24"/>
                <w:szCs w:val="24"/>
                <w:highlight w:val="none"/>
              </w:rPr>
            </w:pPr>
          </w:p>
        </w:tc>
        <w:tc>
          <w:tcPr>
            <w:tcW w:w="717" w:type="dxa"/>
            <w:vMerge w:val="continue"/>
            <w:vAlign w:val="center"/>
          </w:tcPr>
          <w:p>
            <w:pPr>
              <w:keepNext w:val="0"/>
              <w:keepLines w:val="0"/>
              <w:pageBreakBefore w:val="0"/>
              <w:widowControl/>
              <w:kinsoku/>
              <w:wordWrap/>
              <w:overflowPunct/>
              <w:topLinePunct w:val="0"/>
              <w:bidi w:val="0"/>
              <w:adjustRightInd/>
              <w:spacing w:line="560" w:lineRule="exact"/>
              <w:jc w:val="center"/>
              <w:textAlignment w:val="auto"/>
              <w:outlineLvl w:val="2"/>
              <w:rPr>
                <w:rFonts w:hint="eastAsia" w:ascii="方正仿宋_GBK" w:hAnsi="方正仿宋_GBK" w:eastAsia="方正仿宋_GBK" w:cs="方正仿宋_GBK"/>
                <w:color w:val="auto"/>
                <w:sz w:val="24"/>
                <w:szCs w:val="24"/>
                <w:highlight w:val="none"/>
                <w:lang w:val="en-US" w:eastAsia="zh-CN"/>
              </w:rPr>
            </w:pPr>
          </w:p>
        </w:tc>
        <w:tc>
          <w:tcPr>
            <w:tcW w:w="4527" w:type="dxa"/>
            <w:vAlign w:val="center"/>
          </w:tcPr>
          <w:p>
            <w:pPr>
              <w:pStyle w:val="20"/>
              <w:keepNext w:val="0"/>
              <w:keepLines w:val="0"/>
              <w:pageBreakBefore w:val="0"/>
              <w:kinsoku/>
              <w:wordWrap/>
              <w:overflowPunct/>
              <w:topLinePunct w:val="0"/>
              <w:bidi w:val="0"/>
              <w:adjustRightInd/>
              <w:spacing w:line="560" w:lineRule="exact"/>
              <w:ind w:left="0" w:leftChars="0" w:firstLine="0" w:firstLineChars="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在北碚设有固定的售后服务站点的得5分。提供办公用地产权证明或租赁合同，</w:t>
            </w:r>
            <w:r>
              <w:rPr>
                <w:rFonts w:hint="eastAsia" w:ascii="方正仿宋_GBK" w:hAnsi="方正仿宋_GBK" w:eastAsia="方正仿宋_GBK" w:cs="方正仿宋_GBK"/>
                <w:color w:val="auto"/>
                <w:sz w:val="24"/>
                <w:szCs w:val="24"/>
                <w:highlight w:val="none"/>
              </w:rPr>
              <w:t>并加盖</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公章</w:t>
            </w:r>
            <w:r>
              <w:rPr>
                <w:rFonts w:hint="eastAsia" w:ascii="方正仿宋_GBK" w:hAnsi="方正仿宋_GBK" w:eastAsia="方正仿宋_GBK" w:cs="方正仿宋_GBK"/>
                <w:color w:val="auto"/>
                <w:kern w:val="0"/>
                <w:sz w:val="24"/>
                <w:szCs w:val="24"/>
                <w:highlight w:val="none"/>
                <w:lang w:val="en-US" w:eastAsia="zh-CN" w:bidi="ar-SA"/>
              </w:rPr>
              <w:t>。</w:t>
            </w:r>
          </w:p>
        </w:tc>
        <w:tc>
          <w:tcPr>
            <w:tcW w:w="1710" w:type="dxa"/>
            <w:vMerge w:val="continue"/>
            <w:vAlign w:val="center"/>
          </w:tcPr>
          <w:p>
            <w:pPr>
              <w:keepNext w:val="0"/>
              <w:keepLines w:val="0"/>
              <w:pageBreakBefore w:val="0"/>
              <w:widowControl/>
              <w:kinsoku/>
              <w:wordWrap/>
              <w:overflowPunct/>
              <w:topLinePunct w:val="0"/>
              <w:bidi w:val="0"/>
              <w:adjustRightInd/>
              <w:spacing w:line="560" w:lineRule="exact"/>
              <w:textAlignment w:val="auto"/>
              <w:outlineLvl w:val="2"/>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trPr>
        <w:tc>
          <w:tcPr>
            <w:tcW w:w="724" w:type="dxa"/>
            <w:vMerge w:val="continue"/>
            <w:vAlign w:val="center"/>
          </w:tcPr>
          <w:p>
            <w:pPr>
              <w:keepNext w:val="0"/>
              <w:keepLines w:val="0"/>
              <w:pageBreakBefore w:val="0"/>
              <w:widowControl/>
              <w:kinsoku/>
              <w:wordWrap/>
              <w:overflowPunct/>
              <w:topLinePunct w:val="0"/>
              <w:bidi w:val="0"/>
              <w:adjustRightInd/>
              <w:spacing w:line="560" w:lineRule="exact"/>
              <w:jc w:val="center"/>
              <w:textAlignment w:val="auto"/>
              <w:outlineLvl w:val="2"/>
              <w:rPr>
                <w:rFonts w:hint="eastAsia" w:ascii="方正仿宋_GBK" w:hAnsi="方正仿宋_GBK" w:eastAsia="方正仿宋_GBK" w:cs="方正仿宋_GBK"/>
                <w:color w:val="auto"/>
                <w:sz w:val="24"/>
                <w:szCs w:val="24"/>
                <w:highlight w:val="none"/>
              </w:rPr>
            </w:pPr>
          </w:p>
        </w:tc>
        <w:tc>
          <w:tcPr>
            <w:tcW w:w="1429" w:type="dxa"/>
            <w:vMerge w:val="continue"/>
            <w:vAlign w:val="center"/>
          </w:tcPr>
          <w:p>
            <w:pPr>
              <w:keepNext w:val="0"/>
              <w:keepLines w:val="0"/>
              <w:pageBreakBefore w:val="0"/>
              <w:widowControl/>
              <w:kinsoku/>
              <w:wordWrap/>
              <w:overflowPunct/>
              <w:topLinePunct w:val="0"/>
              <w:bidi w:val="0"/>
              <w:adjustRightInd/>
              <w:spacing w:line="560" w:lineRule="exact"/>
              <w:textAlignment w:val="auto"/>
              <w:outlineLvl w:val="2"/>
              <w:rPr>
                <w:rFonts w:hint="eastAsia" w:ascii="方正仿宋_GBK" w:hAnsi="方正仿宋_GBK" w:eastAsia="方正仿宋_GBK" w:cs="方正仿宋_GBK"/>
                <w:color w:val="auto"/>
                <w:sz w:val="24"/>
                <w:szCs w:val="24"/>
                <w:highlight w:val="none"/>
              </w:rPr>
            </w:pPr>
          </w:p>
        </w:tc>
        <w:tc>
          <w:tcPr>
            <w:tcW w:w="717" w:type="dxa"/>
            <w:vMerge w:val="continue"/>
            <w:vAlign w:val="center"/>
          </w:tcPr>
          <w:p>
            <w:pPr>
              <w:keepNext w:val="0"/>
              <w:keepLines w:val="0"/>
              <w:pageBreakBefore w:val="0"/>
              <w:widowControl/>
              <w:kinsoku/>
              <w:wordWrap/>
              <w:overflowPunct/>
              <w:topLinePunct w:val="0"/>
              <w:bidi w:val="0"/>
              <w:adjustRightInd/>
              <w:spacing w:line="560" w:lineRule="exact"/>
              <w:jc w:val="center"/>
              <w:textAlignment w:val="auto"/>
              <w:outlineLvl w:val="2"/>
              <w:rPr>
                <w:rFonts w:hint="eastAsia" w:ascii="方正仿宋_GBK" w:hAnsi="方正仿宋_GBK" w:eastAsia="方正仿宋_GBK" w:cs="方正仿宋_GBK"/>
                <w:color w:val="auto"/>
                <w:sz w:val="24"/>
                <w:szCs w:val="24"/>
                <w:highlight w:val="none"/>
                <w:lang w:val="en-US" w:eastAsia="zh-CN"/>
              </w:rPr>
            </w:pPr>
          </w:p>
        </w:tc>
        <w:tc>
          <w:tcPr>
            <w:tcW w:w="4527" w:type="dxa"/>
            <w:vAlign w:val="center"/>
          </w:tcPr>
          <w:p>
            <w:pPr>
              <w:pStyle w:val="20"/>
              <w:keepNext w:val="0"/>
              <w:keepLines w:val="0"/>
              <w:pageBreakBefore w:val="0"/>
              <w:kinsoku/>
              <w:wordWrap/>
              <w:overflowPunct/>
              <w:topLinePunct w:val="0"/>
              <w:bidi w:val="0"/>
              <w:adjustRightInd/>
              <w:spacing w:line="560" w:lineRule="exact"/>
              <w:ind w:left="0" w:leftChars="0" w:firstLine="0" w:firstLineChars="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配有安全生产管理团队、售后服务团队的得5分。提供劳务合同、2022年9月的养老保险证明等人员信息资料，</w:t>
            </w:r>
            <w:r>
              <w:rPr>
                <w:rFonts w:hint="eastAsia" w:ascii="方正仿宋_GBK" w:hAnsi="方正仿宋_GBK" w:eastAsia="方正仿宋_GBK" w:cs="方正仿宋_GBK"/>
                <w:color w:val="auto"/>
                <w:sz w:val="24"/>
                <w:szCs w:val="24"/>
                <w:highlight w:val="none"/>
              </w:rPr>
              <w:t>并加盖</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公章。</w:t>
            </w:r>
          </w:p>
        </w:tc>
        <w:tc>
          <w:tcPr>
            <w:tcW w:w="1710" w:type="dxa"/>
            <w:vMerge w:val="continue"/>
            <w:vAlign w:val="center"/>
          </w:tcPr>
          <w:p>
            <w:pPr>
              <w:keepNext w:val="0"/>
              <w:keepLines w:val="0"/>
              <w:pageBreakBefore w:val="0"/>
              <w:widowControl/>
              <w:kinsoku/>
              <w:wordWrap/>
              <w:overflowPunct/>
              <w:topLinePunct w:val="0"/>
              <w:bidi w:val="0"/>
              <w:adjustRightInd/>
              <w:spacing w:line="560" w:lineRule="exact"/>
              <w:textAlignment w:val="auto"/>
              <w:outlineLvl w:val="2"/>
              <w:rPr>
                <w:rFonts w:hint="eastAsia" w:ascii="方正仿宋_GBK" w:hAnsi="方正仿宋_GBK" w:eastAsia="方正仿宋_GBK" w:cs="方正仿宋_GBK"/>
                <w:color w:val="auto"/>
                <w:sz w:val="24"/>
                <w:szCs w:val="24"/>
                <w:highlight w:val="none"/>
              </w:rPr>
            </w:pPr>
          </w:p>
        </w:tc>
      </w:tr>
    </w:tbl>
    <w:p>
      <w:pPr>
        <w:keepNext w:val="0"/>
        <w:keepLines w:val="0"/>
        <w:pageBreakBefore w:val="0"/>
        <w:kinsoku/>
        <w:wordWrap/>
        <w:overflowPunct/>
        <w:topLinePunct w:val="0"/>
        <w:bidi w:val="0"/>
        <w:adjustRightInd/>
        <w:snapToGrid w:val="0"/>
        <w:spacing w:line="560" w:lineRule="exact"/>
        <w:ind w:firstLine="640" w:firstLineChars="200"/>
        <w:textAlignment w:val="auto"/>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（五）成交通知</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1.成交供应商确定后2个工作日内，采购人向评审后确定的成交供应商发出《成交通知书》并在重庆市北碚区人民政府（http://www.beibei.gov.cn/）上发布成交结果公告。</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2.《成交通知书》将作为签订合同的依据。</w:t>
      </w:r>
    </w:p>
    <w:p>
      <w:pPr>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3.成交供应商因不可抗力或自身原因无法成交的，由采购人重新组织采购；成交供应商无充分理由放弃成交的，承担有关法律责任。</w:t>
      </w:r>
    </w:p>
    <w:p>
      <w:pPr>
        <w:snapToGrid w:val="0"/>
        <w:spacing w:line="560" w:lineRule="exact"/>
        <w:ind w:firstLine="640" w:firstLineChars="200"/>
        <w:rPr>
          <w:rFonts w:ascii="方正仿宋_GBK" w:hAnsi="方正楷体_GBK" w:eastAsia="方正仿宋_GBK" w:cs="方正楷体_GBK"/>
          <w:snapToGrid w:val="0"/>
          <w:color w:val="000000"/>
          <w:kern w:val="0"/>
          <w:sz w:val="32"/>
          <w:szCs w:val="32"/>
          <w:highlight w:val="none"/>
        </w:rPr>
      </w:pPr>
      <w:r>
        <w:rPr>
          <w:rFonts w:hint="eastAsia" w:ascii="方正仿宋_GBK" w:hAnsi="方正楷体_GBK" w:eastAsia="方正仿宋_GBK" w:cs="方正楷体_GBK"/>
          <w:snapToGrid w:val="0"/>
          <w:color w:val="000000"/>
          <w:kern w:val="0"/>
          <w:sz w:val="32"/>
          <w:szCs w:val="32"/>
          <w:highlight w:val="none"/>
        </w:rPr>
        <w:t>（六）供应商虚假应标、不履约等行为的处理</w:t>
      </w:r>
    </w:p>
    <w:p>
      <w:pPr>
        <w:snapToGrid w:val="0"/>
        <w:spacing w:line="560" w:lineRule="exact"/>
        <w:ind w:firstLine="640" w:firstLineChars="200"/>
        <w:rPr>
          <w:rFonts w:ascii="方正仿宋_GBK" w:hAnsi="仿宋" w:eastAsia="方正仿宋_GBK"/>
          <w:color w:val="000000"/>
          <w:sz w:val="32"/>
          <w:szCs w:val="32"/>
          <w:highlight w:val="none"/>
        </w:rPr>
      </w:pPr>
      <w:r>
        <w:rPr>
          <w:rFonts w:hint="eastAsia" w:ascii="方正仿宋_GBK" w:hAnsi="仿宋" w:eastAsia="方正仿宋_GBK"/>
          <w:snapToGrid w:val="0"/>
          <w:color w:val="000000"/>
          <w:kern w:val="0"/>
          <w:sz w:val="32"/>
          <w:szCs w:val="32"/>
          <w:highlight w:val="none"/>
        </w:rPr>
        <w:t>供应商有提供虚假材料谋取中标或成交、中标后无正当理由不与采购人签订合同、拒绝履行合同义务等行为，将严格按照《政府采购法》等相关法律法规予以处理。</w:t>
      </w:r>
    </w:p>
    <w:p>
      <w:pPr>
        <w:snapToGrid w:val="0"/>
        <w:spacing w:line="560" w:lineRule="exact"/>
        <w:ind w:firstLine="640" w:firstLineChars="200"/>
        <w:rPr>
          <w:rFonts w:ascii="黑体" w:hAnsi="黑体" w:eastAsia="黑体" w:cs="方正黑体_GBK"/>
          <w:bCs/>
          <w:color w:val="000000"/>
          <w:spacing w:val="-18"/>
          <w:sz w:val="32"/>
          <w:szCs w:val="32"/>
          <w:highlight w:val="none"/>
        </w:rPr>
      </w:pPr>
      <w:r>
        <w:rPr>
          <w:rFonts w:hint="eastAsia" w:ascii="黑体" w:hAnsi="黑体" w:eastAsia="黑体" w:cs="方正黑体_GBK"/>
          <w:bCs/>
          <w:color w:val="000000"/>
          <w:sz w:val="32"/>
          <w:szCs w:val="32"/>
          <w:highlight w:val="none"/>
        </w:rPr>
        <w:t>八、签订合同</w:t>
      </w:r>
    </w:p>
    <w:p>
      <w:pPr>
        <w:spacing w:line="560" w:lineRule="exact"/>
        <w:ind w:firstLine="480" w:firstLineChars="150"/>
        <w:rPr>
          <w:rFonts w:ascii="方正仿宋_GBK" w:hAnsi="仿宋" w:eastAsia="方正仿宋_GBK"/>
          <w:color w:val="000000"/>
          <w:sz w:val="32"/>
          <w:szCs w:val="32"/>
          <w:highlight w:val="none"/>
        </w:rPr>
      </w:pPr>
      <w:r>
        <w:rPr>
          <w:rFonts w:hint="eastAsia" w:ascii="方正仿宋_GBK" w:hAnsi="仿宋" w:eastAsia="方正仿宋_GBK" w:cs="宋体"/>
          <w:color w:val="000000"/>
          <w:sz w:val="32"/>
          <w:szCs w:val="32"/>
          <w:highlight w:val="none"/>
        </w:rPr>
        <w:t>（一）采购人与成交供应商应当在成交通知书发出之日起</w:t>
      </w:r>
      <w:r>
        <w:rPr>
          <w:rFonts w:hint="eastAsia" w:ascii="方正仿宋_GBK" w:hAnsi="仿宋" w:eastAsia="方正仿宋_GBK" w:cs="宋体"/>
          <w:color w:val="000000"/>
          <w:sz w:val="32"/>
          <w:szCs w:val="32"/>
          <w:highlight w:val="none"/>
          <w:lang w:val="en-US" w:eastAsia="zh-CN"/>
        </w:rPr>
        <w:t>2</w:t>
      </w:r>
      <w:r>
        <w:rPr>
          <w:rFonts w:hint="eastAsia" w:ascii="方正仿宋_GBK" w:hAnsi="仿宋" w:eastAsia="方正仿宋_GBK" w:cs="宋体"/>
          <w:color w:val="000000"/>
          <w:sz w:val="32"/>
          <w:szCs w:val="32"/>
          <w:highlight w:val="none"/>
        </w:rPr>
        <w:t>0日内，按照竞争性磋商文件确定的项目需求及商务需求等事项签订政府采购合同。</w:t>
      </w:r>
    </w:p>
    <w:p>
      <w:pPr>
        <w:spacing w:line="560" w:lineRule="exact"/>
        <w:ind w:firstLine="480" w:firstLineChars="150"/>
        <w:rPr>
          <w:rFonts w:ascii="方正仿宋_GBK" w:hAnsi="仿宋" w:eastAsia="方正仿宋_GBK"/>
          <w:color w:val="000000"/>
          <w:sz w:val="32"/>
          <w:szCs w:val="32"/>
          <w:highlight w:val="none"/>
        </w:rPr>
      </w:pPr>
      <w:r>
        <w:rPr>
          <w:rFonts w:hint="eastAsia" w:ascii="方正仿宋_GBK" w:hAnsi="仿宋" w:eastAsia="方正仿宋_GBK" w:cs="宋体"/>
          <w:color w:val="000000"/>
          <w:sz w:val="32"/>
          <w:szCs w:val="32"/>
          <w:highlight w:val="none"/>
        </w:rPr>
        <w:t>（二）竞争性磋商文件、成交供应商的响应文件及有效承诺文件等，均为签订合同的依据。</w:t>
      </w:r>
    </w:p>
    <w:p>
      <w:pPr>
        <w:spacing w:line="560" w:lineRule="exact"/>
        <w:ind w:firstLine="480" w:firstLineChars="150"/>
        <w:rPr>
          <w:rFonts w:ascii="方正仿宋_GBK" w:hAnsi="仿宋" w:eastAsia="方正仿宋_GBK"/>
          <w:color w:val="000000"/>
          <w:sz w:val="32"/>
          <w:szCs w:val="32"/>
          <w:highlight w:val="none"/>
        </w:rPr>
      </w:pPr>
      <w:r>
        <w:rPr>
          <w:rFonts w:hint="eastAsia" w:ascii="方正仿宋_GBK" w:hAnsi="仿宋" w:eastAsia="方正仿宋_GBK" w:cs="宋体"/>
          <w:color w:val="000000"/>
          <w:sz w:val="32"/>
          <w:szCs w:val="32"/>
          <w:highlight w:val="none"/>
        </w:rPr>
        <w:t>（三）如成交供应商放弃成交项目或在签订合同时擅自改变成交状态的，采购人将按照相关法律法规处理。</w:t>
      </w:r>
    </w:p>
    <w:p>
      <w:pPr>
        <w:spacing w:line="560" w:lineRule="exact"/>
        <w:ind w:firstLine="480" w:firstLineChars="150"/>
        <w:rPr>
          <w:rFonts w:ascii="方正仿宋_GBK" w:hAnsi="仿宋" w:eastAsia="方正仿宋_GBK"/>
          <w:color w:val="000000"/>
          <w:sz w:val="32"/>
          <w:szCs w:val="32"/>
          <w:highlight w:val="none"/>
        </w:rPr>
      </w:pPr>
      <w:r>
        <w:rPr>
          <w:rFonts w:hint="eastAsia" w:ascii="方正仿宋_GBK" w:hAnsi="仿宋" w:eastAsia="方正仿宋_GBK" w:cs="宋体"/>
          <w:color w:val="000000"/>
          <w:sz w:val="32"/>
          <w:szCs w:val="32"/>
          <w:highlight w:val="none"/>
        </w:rPr>
        <w:t>（四）采购人不得向成交供应商提出超出竞争性磋商文件内容以外的任何要求作为签订合同的条件，不得与成交供应商订立背离竞争性磋商文件确定的项目需求及商务需求等实质性内容的协议。</w:t>
      </w:r>
    </w:p>
    <w:p>
      <w:pPr>
        <w:spacing w:line="560" w:lineRule="exact"/>
        <w:ind w:firstLine="480" w:firstLineChars="150"/>
        <w:rPr>
          <w:rFonts w:ascii="方正仿宋_GBK" w:hAnsi="仿宋" w:eastAsia="方正仿宋_GBK"/>
          <w:color w:val="000000"/>
          <w:sz w:val="32"/>
          <w:szCs w:val="32"/>
          <w:highlight w:val="none"/>
        </w:rPr>
      </w:pPr>
      <w:r>
        <w:rPr>
          <w:rFonts w:hint="eastAsia" w:ascii="方正仿宋_GBK" w:hAnsi="仿宋" w:eastAsia="方正仿宋_GBK" w:cs="宋体"/>
          <w:color w:val="000000"/>
          <w:sz w:val="32"/>
          <w:szCs w:val="32"/>
          <w:highlight w:val="none"/>
        </w:rPr>
        <w:t>（五）除不可抗力等因素外，成交通知书发出后，采购人改变成交结果，或者成交供应商拒绝签订政府采购合同的，应当承担相应的法律责任。</w:t>
      </w:r>
    </w:p>
    <w:p>
      <w:pPr>
        <w:spacing w:line="560" w:lineRule="exact"/>
        <w:ind w:firstLine="640" w:firstLineChars="200"/>
        <w:rPr>
          <w:rFonts w:ascii="方正仿宋_GBK" w:hAnsi="仿宋" w:eastAsia="方正仿宋_GBK"/>
          <w:bCs/>
          <w:color w:val="000000"/>
          <w:sz w:val="32"/>
          <w:szCs w:val="32"/>
          <w:highlight w:val="none"/>
        </w:rPr>
      </w:pPr>
      <w:r>
        <w:rPr>
          <w:rFonts w:hint="eastAsia" w:ascii="黑体" w:hAnsi="黑体" w:eastAsia="黑体" w:cs="方正黑体_GBK"/>
          <w:bCs/>
          <w:color w:val="000000"/>
          <w:sz w:val="32"/>
          <w:szCs w:val="32"/>
          <w:highlight w:val="none"/>
        </w:rPr>
        <w:t>九、响应文件格式要求</w:t>
      </w:r>
    </w:p>
    <w:p>
      <w:pPr>
        <w:spacing w:line="560" w:lineRule="exact"/>
        <w:ind w:firstLine="640" w:firstLineChars="200"/>
        <w:rPr>
          <w:rFonts w:ascii="方正仿宋_GBK" w:hAnsi="仿宋" w:eastAsia="方正仿宋_GBK"/>
          <w:bCs/>
          <w:color w:val="000000"/>
          <w:sz w:val="32"/>
          <w:szCs w:val="32"/>
          <w:highlight w:val="none"/>
        </w:rPr>
      </w:pPr>
      <w:r>
        <w:rPr>
          <w:rFonts w:hint="eastAsia" w:ascii="方正仿宋_GBK" w:hAnsi="仿宋" w:eastAsia="方正仿宋_GBK"/>
          <w:bCs/>
          <w:color w:val="000000"/>
          <w:sz w:val="32"/>
          <w:szCs w:val="32"/>
          <w:highlight w:val="none"/>
        </w:rPr>
        <w:t>（请投标供应商按以下顺序和格式制作响应文件并装订成册。）</w:t>
      </w:r>
    </w:p>
    <w:p>
      <w:pPr>
        <w:spacing w:line="560" w:lineRule="exact"/>
        <w:rPr>
          <w:rFonts w:ascii="方正仿宋_GBK" w:hAnsi="宋体" w:eastAsia="方正仿宋_GBK"/>
          <w:color w:val="000000"/>
          <w:spacing w:val="-18"/>
          <w:sz w:val="32"/>
          <w:szCs w:val="32"/>
          <w:highlight w:val="none"/>
        </w:rPr>
      </w:pPr>
    </w:p>
    <w:p>
      <w:pPr>
        <w:spacing w:line="560" w:lineRule="exact"/>
        <w:rPr>
          <w:rFonts w:ascii="方正仿宋_GBK" w:hAnsi="宋体" w:eastAsia="方正仿宋_GBK"/>
          <w:color w:val="000000"/>
          <w:spacing w:val="-18"/>
          <w:sz w:val="32"/>
          <w:szCs w:val="32"/>
          <w:highlight w:val="none"/>
        </w:rPr>
      </w:pPr>
    </w:p>
    <w:p>
      <w:pPr>
        <w:spacing w:line="560" w:lineRule="exact"/>
        <w:rPr>
          <w:rFonts w:ascii="方正仿宋_GBK" w:hAnsi="宋体" w:eastAsia="方正仿宋_GBK"/>
          <w:color w:val="000000"/>
          <w:spacing w:val="-18"/>
          <w:sz w:val="32"/>
          <w:szCs w:val="32"/>
          <w:highlight w:val="none"/>
        </w:rPr>
      </w:pPr>
    </w:p>
    <w:p>
      <w:pPr>
        <w:pStyle w:val="20"/>
        <w:rPr>
          <w:rFonts w:ascii="方正仿宋_GBK" w:hAnsi="宋体" w:eastAsia="方正仿宋_GBK"/>
          <w:color w:val="000000"/>
          <w:spacing w:val="-18"/>
          <w:sz w:val="32"/>
          <w:szCs w:val="32"/>
          <w:highlight w:val="none"/>
        </w:rPr>
      </w:pPr>
    </w:p>
    <w:p>
      <w:pPr>
        <w:rPr>
          <w:rFonts w:ascii="方正仿宋_GBK" w:hAnsi="宋体" w:eastAsia="方正仿宋_GBK"/>
          <w:color w:val="000000"/>
          <w:spacing w:val="-18"/>
          <w:sz w:val="32"/>
          <w:szCs w:val="32"/>
          <w:highlight w:val="none"/>
        </w:rPr>
      </w:pPr>
    </w:p>
    <w:p>
      <w:pPr>
        <w:pStyle w:val="20"/>
        <w:rPr>
          <w:rFonts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hint="eastAsia" w:ascii="方正仿宋_GBK" w:hAnsi="宋体" w:eastAsia="方正仿宋_GBK"/>
          <w:color w:val="000000"/>
          <w:spacing w:val="-18"/>
          <w:sz w:val="32"/>
          <w:szCs w:val="32"/>
          <w:highlight w:val="none"/>
        </w:rPr>
      </w:pPr>
    </w:p>
    <w:p>
      <w:pPr>
        <w:spacing w:line="560" w:lineRule="exact"/>
        <w:rPr>
          <w:rFonts w:ascii="方正仿宋_GBK" w:hAnsi="宋体" w:eastAsia="方正仿宋_GBK"/>
          <w:color w:val="000000"/>
          <w:spacing w:val="-18"/>
          <w:sz w:val="32"/>
          <w:szCs w:val="32"/>
          <w:highlight w:val="none"/>
        </w:rPr>
      </w:pPr>
      <w:r>
        <w:rPr>
          <w:rFonts w:hint="eastAsia" w:ascii="方正仿宋_GBK" w:hAnsi="宋体" w:eastAsia="方正仿宋_GBK"/>
          <w:color w:val="000000"/>
          <w:spacing w:val="-18"/>
          <w:sz w:val="32"/>
          <w:szCs w:val="32"/>
          <w:highlight w:val="none"/>
        </w:rPr>
        <w:t>项目名称：</w:t>
      </w: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jc w:val="center"/>
        <w:rPr>
          <w:rFonts w:ascii="方正仿宋_GBK" w:hAnsi="黑体" w:eastAsia="方正仿宋_GBK"/>
          <w:color w:val="000000"/>
          <w:spacing w:val="0"/>
          <w:sz w:val="32"/>
          <w:szCs w:val="32"/>
          <w:highlight w:val="none"/>
        </w:rPr>
      </w:pPr>
      <w:r>
        <w:rPr>
          <w:rFonts w:hint="eastAsia" w:ascii="方正仿宋_GBK" w:hAnsi="黑体" w:eastAsia="方正仿宋_GBK"/>
          <w:color w:val="000000"/>
          <w:spacing w:val="0"/>
          <w:sz w:val="32"/>
          <w:szCs w:val="32"/>
          <w:highlight w:val="none"/>
        </w:rPr>
        <w:t>采购响应文件</w:t>
      </w: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r>
        <w:rPr>
          <w:rFonts w:hint="eastAsia" w:ascii="方正仿宋_GBK" w:hAnsi="宋体" w:eastAsia="方正仿宋_GBK"/>
          <w:color w:val="000000"/>
          <w:spacing w:val="-18"/>
          <w:sz w:val="32"/>
          <w:szCs w:val="32"/>
          <w:highlight w:val="none"/>
        </w:rPr>
        <w:t>投标供应商：（盖单位公章）</w:t>
      </w: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r>
        <w:rPr>
          <w:rFonts w:hint="eastAsia" w:ascii="方正仿宋_GBK" w:hAnsi="宋体" w:eastAsia="方正仿宋_GBK"/>
          <w:color w:val="000000"/>
          <w:spacing w:val="-18"/>
          <w:sz w:val="32"/>
          <w:szCs w:val="32"/>
          <w:highlight w:val="none"/>
        </w:rPr>
        <w:t>法定代表人或其委托代理人：（签字）</w:t>
      </w: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568" w:firstLineChars="200"/>
        <w:rPr>
          <w:rFonts w:ascii="方正仿宋_GBK" w:hAnsi="宋体" w:eastAsia="方正仿宋_GBK"/>
          <w:color w:val="000000"/>
          <w:spacing w:val="-18"/>
          <w:sz w:val="32"/>
          <w:szCs w:val="32"/>
          <w:highlight w:val="none"/>
        </w:rPr>
      </w:pPr>
    </w:p>
    <w:p>
      <w:pPr>
        <w:spacing w:line="560" w:lineRule="exact"/>
        <w:ind w:firstLine="3550" w:firstLineChars="1250"/>
        <w:rPr>
          <w:rFonts w:ascii="方正仿宋_GBK" w:hAnsi="宋体" w:eastAsia="方正仿宋_GBK"/>
          <w:color w:val="000000"/>
          <w:spacing w:val="-18"/>
          <w:sz w:val="32"/>
          <w:szCs w:val="32"/>
          <w:highlight w:val="none"/>
        </w:rPr>
      </w:pPr>
      <w:r>
        <w:rPr>
          <w:rFonts w:hint="eastAsia" w:ascii="方正仿宋_GBK" w:hAnsi="宋体" w:eastAsia="方正仿宋_GBK"/>
          <w:color w:val="000000"/>
          <w:spacing w:val="-18"/>
          <w:sz w:val="32"/>
          <w:szCs w:val="32"/>
          <w:highlight w:val="none"/>
        </w:rPr>
        <w:t>年</w:t>
      </w:r>
      <w:r>
        <w:rPr>
          <w:rFonts w:hint="eastAsia" w:ascii="方正仿宋_GBK" w:hAnsi="宋体" w:eastAsia="方正仿宋_GBK"/>
          <w:color w:val="000000"/>
          <w:spacing w:val="-18"/>
          <w:sz w:val="32"/>
          <w:szCs w:val="32"/>
          <w:highlight w:val="none"/>
          <w:lang w:val="en-US" w:eastAsia="zh-CN"/>
        </w:rPr>
        <w:t xml:space="preserve">  </w:t>
      </w:r>
      <w:r>
        <w:rPr>
          <w:rFonts w:hint="eastAsia" w:ascii="方正仿宋_GBK" w:hAnsi="宋体" w:eastAsia="方正仿宋_GBK"/>
          <w:color w:val="000000"/>
          <w:spacing w:val="-18"/>
          <w:sz w:val="32"/>
          <w:szCs w:val="32"/>
          <w:highlight w:val="none"/>
        </w:rPr>
        <w:t>月</w:t>
      </w:r>
      <w:r>
        <w:rPr>
          <w:rFonts w:hint="eastAsia" w:ascii="方正仿宋_GBK" w:hAnsi="宋体" w:eastAsia="方正仿宋_GBK"/>
          <w:color w:val="000000"/>
          <w:spacing w:val="-18"/>
          <w:sz w:val="32"/>
          <w:szCs w:val="32"/>
          <w:highlight w:val="none"/>
          <w:lang w:val="en-US" w:eastAsia="zh-CN"/>
        </w:rPr>
        <w:t xml:space="preserve">  </w:t>
      </w:r>
      <w:r>
        <w:rPr>
          <w:rFonts w:hint="eastAsia" w:ascii="方正仿宋_GBK" w:hAnsi="宋体" w:eastAsia="方正仿宋_GBK"/>
          <w:color w:val="000000"/>
          <w:spacing w:val="-18"/>
          <w:sz w:val="32"/>
          <w:szCs w:val="32"/>
          <w:highlight w:val="none"/>
        </w:rPr>
        <w:t>日</w:t>
      </w:r>
    </w:p>
    <w:p>
      <w:pPr>
        <w:snapToGrid w:val="0"/>
        <w:spacing w:line="560" w:lineRule="exact"/>
        <w:jc w:val="center"/>
        <w:rPr>
          <w:rFonts w:ascii="方正仿宋_GBK" w:hAnsi="华文中宋" w:eastAsia="方正仿宋_GBK"/>
          <w:color w:val="000000"/>
          <w:spacing w:val="-18"/>
          <w:sz w:val="32"/>
          <w:szCs w:val="32"/>
          <w:highlight w:val="none"/>
        </w:rPr>
      </w:pPr>
      <w:r>
        <w:rPr>
          <w:rFonts w:hint="eastAsia" w:ascii="方正仿宋_GBK" w:hAnsi="华文中宋" w:eastAsia="方正仿宋_GBK"/>
          <w:color w:val="000000"/>
          <w:spacing w:val="-18"/>
          <w:sz w:val="32"/>
          <w:szCs w:val="32"/>
          <w:highlight w:val="none"/>
        </w:rPr>
        <w:t>目录</w:t>
      </w:r>
    </w:p>
    <w:p>
      <w:pPr>
        <w:snapToGrid w:val="0"/>
        <w:spacing w:line="560" w:lineRule="exact"/>
        <w:jc w:val="left"/>
        <w:rPr>
          <w:rFonts w:ascii="方正仿宋_GBK" w:hAnsi="华文中宋" w:eastAsia="方正仿宋_GBK"/>
          <w:color w:val="000000"/>
          <w:spacing w:val="-18"/>
          <w:sz w:val="32"/>
          <w:szCs w:val="32"/>
          <w:highlight w:val="none"/>
        </w:rPr>
      </w:pPr>
      <w:r>
        <w:rPr>
          <w:rFonts w:hint="eastAsia" w:ascii="方正仿宋_GBK" w:hAnsi="仿宋" w:eastAsia="方正仿宋_GBK"/>
          <w:snapToGrid w:val="0"/>
          <w:color w:val="000000"/>
          <w:kern w:val="0"/>
          <w:sz w:val="32"/>
          <w:szCs w:val="32"/>
          <w:highlight w:val="none"/>
        </w:rPr>
        <w:t>（一）报价部分</w:t>
      </w:r>
    </w:p>
    <w:p>
      <w:pPr>
        <w:snapToGrid w:val="0"/>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1.磋商报价函（格式）</w:t>
      </w:r>
    </w:p>
    <w:p>
      <w:pPr>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2.明细报价表（格式）</w:t>
      </w:r>
    </w:p>
    <w:p>
      <w:pPr>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（二）资格文件</w:t>
      </w:r>
    </w:p>
    <w:p>
      <w:pPr>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1.供应商资格资料</w:t>
      </w:r>
    </w:p>
    <w:p>
      <w:pPr>
        <w:spacing w:line="560" w:lineRule="exact"/>
        <w:rPr>
          <w:rFonts w:hint="eastAsia" w:ascii="方正仿宋_GBK" w:hAnsi="仿宋" w:eastAsia="方正仿宋_GBK"/>
          <w:snapToGrid w:val="0"/>
          <w:color w:val="000000"/>
          <w:kern w:val="0"/>
          <w:sz w:val="32"/>
          <w:szCs w:val="32"/>
          <w:highlight w:val="none"/>
          <w:lang w:eastAsia="zh-CN"/>
        </w:rPr>
      </w:pPr>
      <w:r>
        <w:rPr>
          <w:rFonts w:hint="eastAsia" w:ascii="方正仿宋_GBK" w:hAnsi="仿宋" w:eastAsia="方正仿宋_GBK"/>
          <w:snapToGrid w:val="0"/>
          <w:color w:val="000000"/>
          <w:kern w:val="0"/>
          <w:sz w:val="32"/>
          <w:szCs w:val="32"/>
          <w:highlight w:val="none"/>
        </w:rPr>
        <w:t>（1）营业执照</w:t>
      </w:r>
      <w:r>
        <w:rPr>
          <w:rFonts w:hint="eastAsia" w:ascii="方正仿宋_GBK" w:hAnsi="仿宋" w:eastAsia="方正仿宋_GBK"/>
          <w:snapToGrid w:val="0"/>
          <w:color w:val="000000"/>
          <w:kern w:val="0"/>
          <w:sz w:val="32"/>
          <w:szCs w:val="32"/>
          <w:highlight w:val="none"/>
          <w:lang w:eastAsia="zh-CN"/>
        </w:rPr>
        <w:t>复印件</w:t>
      </w:r>
    </w:p>
    <w:p>
      <w:pPr>
        <w:spacing w:line="560" w:lineRule="exact"/>
        <w:rPr>
          <w:rFonts w:hint="eastAsia"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（2）特定资格条件资格资料</w:t>
      </w:r>
    </w:p>
    <w:p>
      <w:pPr>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2.法定代表人身份证明书（格式）</w:t>
      </w:r>
    </w:p>
    <w:p>
      <w:pPr>
        <w:snapToGrid w:val="0"/>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3.法定代表人授权委托书（格式）</w:t>
      </w:r>
    </w:p>
    <w:p>
      <w:pPr>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4.基本资格条件承诺函（格式）</w:t>
      </w:r>
    </w:p>
    <w:p>
      <w:pPr>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（三）技术部分</w:t>
      </w:r>
    </w:p>
    <w:p>
      <w:pPr>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（四）商务部分</w:t>
      </w:r>
    </w:p>
    <w:p>
      <w:pPr>
        <w:spacing w:line="560" w:lineRule="exact"/>
        <w:rPr>
          <w:rFonts w:hint="eastAsia"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1.商务要求响应情况（按竞争性磋商文件第三条提供有关响应情况）</w:t>
      </w:r>
    </w:p>
    <w:p>
      <w:pPr>
        <w:spacing w:line="560" w:lineRule="exact"/>
        <w:rPr>
          <w:rFonts w:hint="eastAsia"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2.项目业绩证明</w:t>
      </w:r>
    </w:p>
    <w:p>
      <w:pPr>
        <w:spacing w:line="560" w:lineRule="exact"/>
        <w:rPr>
          <w:rFonts w:hint="eastAsia"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3.其它与项目有关的资料（自附）</w:t>
      </w:r>
    </w:p>
    <w:p>
      <w:pPr>
        <w:spacing w:line="560" w:lineRule="exact"/>
        <w:ind w:firstLine="640" w:firstLineChars="200"/>
        <w:rPr>
          <w:rFonts w:ascii="方正仿宋_GBK" w:hAnsi="宋体" w:eastAsia="方正仿宋_GBK"/>
          <w:snapToGrid w:val="0"/>
          <w:color w:val="000000"/>
          <w:kern w:val="0"/>
          <w:sz w:val="32"/>
          <w:szCs w:val="32"/>
          <w:highlight w:val="none"/>
        </w:rPr>
      </w:pPr>
    </w:p>
    <w:p>
      <w:pPr>
        <w:spacing w:line="560" w:lineRule="exact"/>
        <w:ind w:firstLine="640" w:firstLineChars="200"/>
        <w:rPr>
          <w:rFonts w:ascii="方正仿宋_GBK" w:hAnsi="宋体" w:eastAsia="方正仿宋_GBK"/>
          <w:snapToGrid w:val="0"/>
          <w:color w:val="000000"/>
          <w:kern w:val="0"/>
          <w:sz w:val="32"/>
          <w:szCs w:val="32"/>
          <w:highlight w:val="none"/>
        </w:rPr>
      </w:pPr>
    </w:p>
    <w:p>
      <w:pPr>
        <w:spacing w:line="560" w:lineRule="exact"/>
        <w:jc w:val="center"/>
        <w:rPr>
          <w:rFonts w:hint="eastAsia" w:ascii="方正仿宋_GBK" w:hAnsi="华文中宋" w:eastAsia="方正仿宋_GBK"/>
          <w:color w:val="000000"/>
          <w:spacing w:val="-18"/>
          <w:sz w:val="32"/>
          <w:szCs w:val="32"/>
          <w:highlight w:val="none"/>
        </w:rPr>
      </w:pPr>
    </w:p>
    <w:p>
      <w:pPr>
        <w:spacing w:line="560" w:lineRule="exact"/>
        <w:jc w:val="center"/>
        <w:rPr>
          <w:rFonts w:hint="eastAsia" w:ascii="方正仿宋_GBK" w:hAnsi="华文中宋" w:eastAsia="方正仿宋_GBK"/>
          <w:color w:val="000000"/>
          <w:spacing w:val="-18"/>
          <w:sz w:val="32"/>
          <w:szCs w:val="32"/>
          <w:highlight w:val="none"/>
        </w:rPr>
      </w:pPr>
    </w:p>
    <w:p>
      <w:pPr>
        <w:spacing w:line="560" w:lineRule="exact"/>
        <w:jc w:val="center"/>
        <w:rPr>
          <w:rFonts w:hint="eastAsia" w:ascii="方正仿宋_GBK" w:hAnsi="华文中宋" w:eastAsia="方正仿宋_GBK"/>
          <w:color w:val="000000"/>
          <w:spacing w:val="-18"/>
          <w:sz w:val="32"/>
          <w:szCs w:val="32"/>
          <w:highlight w:val="none"/>
        </w:rPr>
      </w:pPr>
    </w:p>
    <w:p>
      <w:pPr>
        <w:spacing w:line="560" w:lineRule="exact"/>
        <w:jc w:val="center"/>
        <w:rPr>
          <w:rFonts w:hint="eastAsia" w:ascii="方正仿宋_GBK" w:hAnsi="华文中宋" w:eastAsia="方正仿宋_GBK"/>
          <w:color w:val="000000"/>
          <w:spacing w:val="-18"/>
          <w:sz w:val="32"/>
          <w:szCs w:val="32"/>
          <w:highlight w:val="none"/>
        </w:rPr>
      </w:pPr>
    </w:p>
    <w:p>
      <w:pPr>
        <w:spacing w:line="560" w:lineRule="exact"/>
        <w:jc w:val="center"/>
        <w:rPr>
          <w:rFonts w:hint="eastAsia" w:ascii="方正仿宋_GBK" w:hAnsi="华文中宋" w:eastAsia="方正仿宋_GBK"/>
          <w:color w:val="000000"/>
          <w:spacing w:val="-18"/>
          <w:sz w:val="32"/>
          <w:szCs w:val="32"/>
          <w:highlight w:val="none"/>
        </w:rPr>
      </w:pPr>
    </w:p>
    <w:p>
      <w:pPr>
        <w:spacing w:line="560" w:lineRule="exact"/>
        <w:jc w:val="center"/>
        <w:rPr>
          <w:rFonts w:hint="eastAsia" w:ascii="方正仿宋_GBK" w:hAnsi="华文中宋" w:eastAsia="方正仿宋_GBK"/>
          <w:color w:val="000000"/>
          <w:spacing w:val="-18"/>
          <w:sz w:val="32"/>
          <w:szCs w:val="32"/>
          <w:highlight w:val="none"/>
        </w:rPr>
      </w:pPr>
    </w:p>
    <w:p>
      <w:pPr>
        <w:spacing w:line="560" w:lineRule="exact"/>
        <w:jc w:val="center"/>
        <w:rPr>
          <w:rFonts w:ascii="方正仿宋_GBK" w:hAnsi="华文中宋" w:eastAsia="方正仿宋_GBK"/>
          <w:color w:val="000000"/>
          <w:spacing w:val="-18"/>
          <w:sz w:val="32"/>
          <w:szCs w:val="32"/>
          <w:highlight w:val="none"/>
        </w:rPr>
      </w:pPr>
      <w:r>
        <w:rPr>
          <w:rFonts w:hint="eastAsia" w:ascii="方正仿宋_GBK" w:hAnsi="华文中宋" w:eastAsia="方正仿宋_GBK"/>
          <w:color w:val="000000"/>
          <w:spacing w:val="-18"/>
          <w:sz w:val="32"/>
          <w:szCs w:val="32"/>
          <w:highlight w:val="none"/>
        </w:rPr>
        <w:t>（一）报价部分</w:t>
      </w:r>
    </w:p>
    <w:p>
      <w:pPr>
        <w:spacing w:line="560" w:lineRule="exact"/>
        <w:jc w:val="center"/>
        <w:rPr>
          <w:rFonts w:ascii="方正仿宋_GBK" w:hAnsi="仿宋" w:eastAsia="方正仿宋_GBK"/>
          <w:b/>
          <w:snapToGrid w:val="0"/>
          <w:color w:val="000000"/>
          <w:kern w:val="0"/>
          <w:sz w:val="32"/>
          <w:szCs w:val="32"/>
          <w:highlight w:val="none"/>
        </w:rPr>
      </w:pPr>
      <w:r>
        <w:rPr>
          <w:rFonts w:hint="eastAsia" w:ascii="方正仿宋_GBK" w:hAnsi="仿宋" w:eastAsia="方正仿宋_GBK"/>
          <w:b/>
          <w:snapToGrid w:val="0"/>
          <w:color w:val="000000"/>
          <w:kern w:val="0"/>
          <w:sz w:val="32"/>
          <w:szCs w:val="32"/>
          <w:highlight w:val="none"/>
          <w:lang w:val="en-US" w:eastAsia="zh-CN"/>
        </w:rPr>
        <w:t>1.</w:t>
      </w:r>
      <w:r>
        <w:rPr>
          <w:rFonts w:hint="eastAsia" w:ascii="方正仿宋_GBK" w:hAnsi="仿宋" w:eastAsia="方正仿宋_GBK"/>
          <w:b/>
          <w:snapToGrid w:val="0"/>
          <w:color w:val="000000"/>
          <w:kern w:val="0"/>
          <w:sz w:val="32"/>
          <w:szCs w:val="32"/>
          <w:highlight w:val="none"/>
        </w:rPr>
        <w:t>磋商报价函</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u w:val="single"/>
        </w:rPr>
      </w:pP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u w:val="single"/>
        </w:rPr>
        <w:t>采购人名称</w:t>
      </w:r>
      <w:r>
        <w:rPr>
          <w:rFonts w:hint="eastAsia" w:ascii="方正仿宋_GBK" w:hAnsi="仿宋" w:eastAsia="方正仿宋_GBK"/>
          <w:snapToGrid w:val="0"/>
          <w:color w:val="000000"/>
          <w:kern w:val="0"/>
          <w:sz w:val="32"/>
          <w:szCs w:val="32"/>
          <w:highlight w:val="none"/>
        </w:rPr>
        <w:t>：</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我方收到____________________________（项目名称）的竞争性磋商文件，经详细研究，决定参加该项目的磋商。</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1.愿意按照竞争性磋商文件中的一切要求，提供本项目的服务需求，报价为人民币大写：</w:t>
      </w:r>
      <w:r>
        <w:rPr>
          <w:rFonts w:hint="eastAsia" w:ascii="方正仿宋_GBK" w:hAnsi="仿宋" w:eastAsia="方正仿宋_GBK"/>
          <w:snapToGrid w:val="0"/>
          <w:color w:val="000000"/>
          <w:kern w:val="0"/>
          <w:sz w:val="32"/>
          <w:szCs w:val="32"/>
          <w:highlight w:val="none"/>
          <w:u w:val="single"/>
          <w:lang w:val="en-US" w:eastAsia="zh-CN"/>
        </w:rPr>
        <w:t xml:space="preserve">       </w:t>
      </w:r>
      <w:r>
        <w:rPr>
          <w:rFonts w:hint="eastAsia" w:ascii="方正仿宋_GBK" w:hAnsi="仿宋" w:eastAsia="方正仿宋_GBK"/>
          <w:snapToGrid w:val="0"/>
          <w:color w:val="000000"/>
          <w:kern w:val="0"/>
          <w:sz w:val="32"/>
          <w:szCs w:val="32"/>
          <w:highlight w:val="none"/>
          <w:lang w:val="en-US" w:eastAsia="zh-CN"/>
        </w:rPr>
        <w:t xml:space="preserve"> </w:t>
      </w:r>
      <w:r>
        <w:rPr>
          <w:rFonts w:hint="eastAsia" w:ascii="方正仿宋_GBK" w:hAnsi="仿宋" w:eastAsia="方正仿宋_GBK"/>
          <w:snapToGrid w:val="0"/>
          <w:color w:val="000000"/>
          <w:kern w:val="0"/>
          <w:sz w:val="32"/>
          <w:szCs w:val="32"/>
          <w:highlight w:val="none"/>
        </w:rPr>
        <w:t>元整；人民币小写：</w:t>
      </w:r>
      <w:r>
        <w:rPr>
          <w:rFonts w:hint="eastAsia" w:ascii="方正仿宋_GBK" w:hAnsi="仿宋" w:eastAsia="方正仿宋_GBK"/>
          <w:snapToGrid w:val="0"/>
          <w:color w:val="000000"/>
          <w:kern w:val="0"/>
          <w:sz w:val="32"/>
          <w:szCs w:val="32"/>
          <w:highlight w:val="none"/>
          <w:u w:val="single"/>
          <w:lang w:val="en-US" w:eastAsia="zh-CN"/>
        </w:rPr>
        <w:t xml:space="preserve">     </w:t>
      </w:r>
      <w:r>
        <w:rPr>
          <w:rFonts w:hint="eastAsia" w:ascii="方正仿宋_GBK" w:hAnsi="仿宋" w:eastAsia="方正仿宋_GBK"/>
          <w:snapToGrid w:val="0"/>
          <w:color w:val="000000"/>
          <w:kern w:val="0"/>
          <w:sz w:val="32"/>
          <w:szCs w:val="32"/>
          <w:highlight w:val="none"/>
        </w:rPr>
        <w:t>元。</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2.我方现提交的响应文件为</w:t>
      </w:r>
      <w:r>
        <w:rPr>
          <w:rFonts w:hint="eastAsia" w:ascii="方正仿宋_GBK" w:hAnsi="仿宋" w:eastAsia="方正仿宋_GBK"/>
          <w:snapToGrid w:val="0"/>
          <w:color w:val="000000"/>
          <w:kern w:val="0"/>
          <w:sz w:val="32"/>
          <w:szCs w:val="32"/>
          <w:highlight w:val="none"/>
          <w:u w:val="single"/>
        </w:rPr>
        <w:t xml:space="preserve"> 2  </w:t>
      </w:r>
      <w:r>
        <w:rPr>
          <w:rFonts w:hint="eastAsia" w:ascii="方正仿宋_GBK" w:hAnsi="仿宋" w:eastAsia="方正仿宋_GBK"/>
          <w:snapToGrid w:val="0"/>
          <w:color w:val="000000"/>
          <w:kern w:val="0"/>
          <w:sz w:val="32"/>
          <w:szCs w:val="32"/>
          <w:highlight w:val="none"/>
        </w:rPr>
        <w:t>份，其中正本</w:t>
      </w:r>
      <w:r>
        <w:rPr>
          <w:rFonts w:hint="eastAsia" w:ascii="方正仿宋_GBK" w:hAnsi="仿宋" w:eastAsia="方正仿宋_GBK"/>
          <w:snapToGrid w:val="0"/>
          <w:color w:val="000000"/>
          <w:kern w:val="0"/>
          <w:sz w:val="32"/>
          <w:szCs w:val="32"/>
          <w:highlight w:val="none"/>
          <w:u w:val="single"/>
        </w:rPr>
        <w:t>1</w:t>
      </w:r>
      <w:r>
        <w:rPr>
          <w:rFonts w:hint="eastAsia" w:ascii="方正仿宋_GBK" w:hAnsi="仿宋" w:eastAsia="方正仿宋_GBK"/>
          <w:snapToGrid w:val="0"/>
          <w:color w:val="000000"/>
          <w:kern w:val="0"/>
          <w:sz w:val="32"/>
          <w:szCs w:val="32"/>
          <w:highlight w:val="none"/>
        </w:rPr>
        <w:t>份，副本</w:t>
      </w:r>
      <w:r>
        <w:rPr>
          <w:rFonts w:hint="eastAsia" w:ascii="方正仿宋_GBK" w:hAnsi="仿宋" w:eastAsia="方正仿宋_GBK"/>
          <w:snapToGrid w:val="0"/>
          <w:color w:val="000000"/>
          <w:kern w:val="0"/>
          <w:sz w:val="32"/>
          <w:szCs w:val="32"/>
          <w:highlight w:val="none"/>
          <w:u w:val="single"/>
        </w:rPr>
        <w:t>1</w:t>
      </w:r>
      <w:r>
        <w:rPr>
          <w:rFonts w:hint="eastAsia" w:ascii="方正仿宋_GBK" w:hAnsi="仿宋" w:eastAsia="方正仿宋_GBK"/>
          <w:snapToGrid w:val="0"/>
          <w:color w:val="000000"/>
          <w:kern w:val="0"/>
          <w:sz w:val="32"/>
          <w:szCs w:val="32"/>
          <w:highlight w:val="none"/>
        </w:rPr>
        <w:t>份。</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3.我方承诺：本次报价的有效期为90天。</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4.我方完全理解和接受贵方竞争性磋商文件的一切规定和要求及评审办法。</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5.在整个磋商过程中，我方若有违规行为，接受按照《中华人民共和国政府采购法》规定给予惩罚。</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6.我方若成为成交供应商，将按照磋商结果签订合同，并且严格履行合同义务。本承诺函将成为合同不可分割的一部分，与合同具有同等的法律效力。</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供应商（公章）：</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地址：</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电话：</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联系人：</w:t>
      </w:r>
    </w:p>
    <w:p>
      <w:pPr>
        <w:snapToGrid w:val="0"/>
        <w:spacing w:line="560" w:lineRule="exact"/>
        <w:jc w:val="right"/>
        <w:rPr>
          <w:rFonts w:ascii="方正仿宋_GBK" w:hAnsi="仿宋" w:eastAsia="方正仿宋_GBK"/>
          <w:color w:val="000000"/>
          <w:spacing w:val="-18"/>
          <w:sz w:val="32"/>
          <w:szCs w:val="32"/>
          <w:highlight w:val="none"/>
        </w:rPr>
        <w:sectPr>
          <w:pgSz w:w="11907" w:h="16840"/>
          <w:pgMar w:top="1418" w:right="1418" w:bottom="1418" w:left="1418" w:header="851" w:footer="992" w:gutter="0"/>
          <w:cols w:space="720" w:num="1"/>
          <w:docGrid w:linePitch="380" w:charSpace="-5735"/>
        </w:sectPr>
      </w:pPr>
      <w:r>
        <w:rPr>
          <w:rFonts w:hint="eastAsia" w:ascii="方正仿宋_GBK" w:hAnsi="仿宋" w:eastAsia="方正仿宋_GBK"/>
          <w:snapToGrid w:val="0"/>
          <w:color w:val="000000"/>
          <w:kern w:val="0"/>
          <w:sz w:val="32"/>
          <w:szCs w:val="32"/>
          <w:highlight w:val="none"/>
        </w:rPr>
        <w:t>年</w:t>
      </w:r>
      <w:r>
        <w:rPr>
          <w:rFonts w:hint="eastAsia" w:ascii="方正仿宋_GBK" w:hAnsi="仿宋" w:eastAsia="方正仿宋_GBK"/>
          <w:snapToGrid w:val="0"/>
          <w:color w:val="000000"/>
          <w:kern w:val="0"/>
          <w:sz w:val="32"/>
          <w:szCs w:val="32"/>
          <w:highlight w:val="none"/>
          <w:lang w:val="en-US" w:eastAsia="zh-CN"/>
        </w:rPr>
        <w:t xml:space="preserve">  </w:t>
      </w:r>
      <w:r>
        <w:rPr>
          <w:rFonts w:hint="eastAsia" w:ascii="方正仿宋_GBK" w:hAnsi="仿宋" w:eastAsia="方正仿宋_GBK"/>
          <w:snapToGrid w:val="0"/>
          <w:color w:val="000000"/>
          <w:kern w:val="0"/>
          <w:sz w:val="32"/>
          <w:szCs w:val="32"/>
          <w:highlight w:val="none"/>
        </w:rPr>
        <w:t>月</w:t>
      </w:r>
      <w:r>
        <w:rPr>
          <w:rFonts w:hint="eastAsia" w:ascii="方正仿宋_GBK" w:hAnsi="仿宋" w:eastAsia="方正仿宋_GBK"/>
          <w:snapToGrid w:val="0"/>
          <w:color w:val="000000"/>
          <w:kern w:val="0"/>
          <w:sz w:val="32"/>
          <w:szCs w:val="32"/>
          <w:highlight w:val="none"/>
          <w:lang w:val="en-US" w:eastAsia="zh-CN"/>
        </w:rPr>
        <w:t xml:space="preserve">  </w:t>
      </w:r>
      <w:r>
        <w:rPr>
          <w:rFonts w:hint="eastAsia" w:ascii="方正仿宋_GBK" w:hAnsi="仿宋" w:eastAsia="方正仿宋_GBK"/>
          <w:snapToGrid w:val="0"/>
          <w:color w:val="000000"/>
          <w:kern w:val="0"/>
          <w:sz w:val="32"/>
          <w:szCs w:val="32"/>
          <w:highlight w:val="none"/>
        </w:rPr>
        <w:t>日</w:t>
      </w:r>
    </w:p>
    <w:p>
      <w:pPr>
        <w:spacing w:line="560" w:lineRule="exact"/>
        <w:jc w:val="center"/>
        <w:rPr>
          <w:rFonts w:ascii="方正仿宋_GBK" w:hAnsi="仿宋" w:eastAsia="方正仿宋_GBK"/>
          <w:b/>
          <w:snapToGrid w:val="0"/>
          <w:color w:val="000000"/>
          <w:kern w:val="0"/>
          <w:sz w:val="32"/>
          <w:szCs w:val="32"/>
          <w:highlight w:val="none"/>
        </w:rPr>
      </w:pPr>
      <w:r>
        <w:rPr>
          <w:rFonts w:hint="eastAsia" w:ascii="方正仿宋_GBK" w:hAnsi="仿宋" w:eastAsia="方正仿宋_GBK"/>
          <w:b/>
          <w:snapToGrid w:val="0"/>
          <w:color w:val="000000"/>
          <w:kern w:val="0"/>
          <w:sz w:val="32"/>
          <w:szCs w:val="32"/>
          <w:highlight w:val="none"/>
        </w:rPr>
        <w:t>2.明细报价表</w:t>
      </w:r>
    </w:p>
    <w:p>
      <w:pPr>
        <w:spacing w:line="560" w:lineRule="exact"/>
        <w:ind w:firstLine="568" w:firstLineChars="200"/>
        <w:rPr>
          <w:rFonts w:ascii="方正仿宋_GBK" w:eastAsia="方正仿宋_GBK"/>
          <w:color w:val="000000"/>
          <w:spacing w:val="-18"/>
          <w:sz w:val="32"/>
          <w:szCs w:val="32"/>
          <w:highlight w:val="none"/>
        </w:rPr>
      </w:pPr>
    </w:p>
    <w:p>
      <w:pPr>
        <w:spacing w:line="560" w:lineRule="exact"/>
        <w:rPr>
          <w:rFonts w:ascii="方正仿宋_GBK" w:hAnsi="仿宋" w:eastAsia="方正仿宋_GBK"/>
          <w:snapToGrid w:val="0"/>
          <w:color w:val="000000"/>
          <w:kern w:val="0"/>
          <w:sz w:val="32"/>
          <w:szCs w:val="32"/>
          <w:highlight w:val="none"/>
          <w:u w:val="single"/>
        </w:rPr>
      </w:pPr>
      <w:r>
        <w:rPr>
          <w:rFonts w:hint="eastAsia" w:ascii="方正仿宋_GBK" w:hAnsi="仿宋" w:eastAsia="方正仿宋_GBK"/>
          <w:snapToGrid w:val="0"/>
          <w:color w:val="000000"/>
          <w:kern w:val="0"/>
          <w:sz w:val="32"/>
          <w:szCs w:val="32"/>
          <w:highlight w:val="none"/>
        </w:rPr>
        <w:t>采购项目名称：</w:t>
      </w:r>
    </w:p>
    <w:p>
      <w:pPr>
        <w:spacing w:line="560" w:lineRule="exact"/>
        <w:rPr>
          <w:rFonts w:ascii="方正仿宋_GBK" w:hAnsi="仿宋" w:eastAsia="方正仿宋_GBK" w:cs="宋体"/>
          <w:snapToGrid w:val="0"/>
          <w:color w:val="000000"/>
          <w:kern w:val="0"/>
          <w:sz w:val="32"/>
          <w:szCs w:val="32"/>
          <w:highlight w:val="none"/>
        </w:rPr>
      </w:pPr>
    </w:p>
    <w:tbl>
      <w:tblPr>
        <w:tblStyle w:val="19"/>
        <w:tblpPr w:leftFromText="180" w:rightFromText="180" w:vertAnchor="text" w:tblpXSpec="center"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43"/>
        <w:gridCol w:w="1344"/>
        <w:gridCol w:w="154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817" w:type="dxa"/>
            <w:vAlign w:val="center"/>
          </w:tcPr>
          <w:p>
            <w:pPr>
              <w:spacing w:line="560" w:lineRule="exact"/>
              <w:jc w:val="center"/>
              <w:rPr>
                <w:rFonts w:ascii="方正仿宋_GBK" w:hAnsi="宋体" w:eastAsia="方正仿宋_GBK" w:cs="宋体"/>
                <w:b/>
                <w:sz w:val="32"/>
                <w:szCs w:val="32"/>
                <w:highlight w:val="none"/>
              </w:rPr>
            </w:pPr>
            <w:r>
              <w:rPr>
                <w:rFonts w:hint="eastAsia" w:ascii="方正仿宋_GBK" w:hAnsi="宋体" w:eastAsia="方正仿宋_GBK" w:cs="宋体"/>
                <w:b/>
                <w:sz w:val="32"/>
                <w:szCs w:val="32"/>
                <w:highlight w:val="none"/>
              </w:rPr>
              <w:t>序号</w:t>
            </w:r>
          </w:p>
        </w:tc>
        <w:tc>
          <w:tcPr>
            <w:tcW w:w="2643" w:type="dxa"/>
            <w:vAlign w:val="center"/>
          </w:tcPr>
          <w:p>
            <w:pPr>
              <w:spacing w:line="560" w:lineRule="exact"/>
              <w:jc w:val="center"/>
              <w:rPr>
                <w:rFonts w:ascii="方正仿宋_GBK" w:hAnsi="宋体" w:eastAsia="方正仿宋_GBK" w:cs="宋体"/>
                <w:b/>
                <w:sz w:val="32"/>
                <w:szCs w:val="32"/>
                <w:highlight w:val="none"/>
              </w:rPr>
            </w:pPr>
            <w:r>
              <w:rPr>
                <w:rFonts w:hint="eastAsia" w:ascii="方正仿宋_GBK" w:hAnsi="宋体" w:eastAsia="方正仿宋_GBK" w:cs="宋体"/>
                <w:b/>
                <w:sz w:val="32"/>
                <w:szCs w:val="32"/>
                <w:highlight w:val="none"/>
              </w:rPr>
              <w:t>预案名称</w:t>
            </w:r>
          </w:p>
        </w:tc>
        <w:tc>
          <w:tcPr>
            <w:tcW w:w="1344" w:type="dxa"/>
            <w:vAlign w:val="center"/>
          </w:tcPr>
          <w:p>
            <w:pPr>
              <w:spacing w:line="560" w:lineRule="exact"/>
              <w:jc w:val="center"/>
              <w:rPr>
                <w:rFonts w:ascii="方正仿宋_GBK" w:hAnsi="宋体" w:eastAsia="方正仿宋_GBK" w:cs="宋体"/>
                <w:b/>
                <w:sz w:val="32"/>
                <w:szCs w:val="32"/>
                <w:highlight w:val="none"/>
              </w:rPr>
            </w:pPr>
            <w:r>
              <w:rPr>
                <w:rFonts w:hint="eastAsia" w:ascii="方正仿宋_GBK" w:hAnsi="宋体" w:eastAsia="方正仿宋_GBK" w:cs="宋体"/>
                <w:b/>
                <w:sz w:val="32"/>
                <w:szCs w:val="32"/>
                <w:highlight w:val="none"/>
              </w:rPr>
              <w:t>数量</w:t>
            </w:r>
          </w:p>
        </w:tc>
        <w:tc>
          <w:tcPr>
            <w:tcW w:w="1541" w:type="dxa"/>
            <w:vAlign w:val="center"/>
          </w:tcPr>
          <w:p>
            <w:pPr>
              <w:spacing w:line="560" w:lineRule="exact"/>
              <w:jc w:val="center"/>
              <w:rPr>
                <w:rFonts w:ascii="方正仿宋_GBK" w:hAnsi="宋体" w:eastAsia="方正仿宋_GBK" w:cs="宋体"/>
                <w:b/>
                <w:sz w:val="32"/>
                <w:szCs w:val="32"/>
                <w:highlight w:val="none"/>
              </w:rPr>
            </w:pPr>
            <w:r>
              <w:rPr>
                <w:rFonts w:hint="eastAsia" w:ascii="方正仿宋_GBK" w:hAnsi="宋体" w:eastAsia="方正仿宋_GBK" w:cs="宋体"/>
                <w:b/>
                <w:sz w:val="32"/>
                <w:szCs w:val="32"/>
                <w:highlight w:val="none"/>
              </w:rPr>
              <w:t>单价</w:t>
            </w:r>
          </w:p>
        </w:tc>
        <w:tc>
          <w:tcPr>
            <w:tcW w:w="1843" w:type="dxa"/>
            <w:vAlign w:val="center"/>
          </w:tcPr>
          <w:p>
            <w:pPr>
              <w:spacing w:line="560" w:lineRule="exact"/>
              <w:jc w:val="center"/>
              <w:rPr>
                <w:rFonts w:ascii="方正仿宋_GBK" w:hAnsi="宋体" w:eastAsia="方正仿宋_GBK" w:cs="宋体"/>
                <w:b/>
                <w:sz w:val="32"/>
                <w:szCs w:val="32"/>
                <w:highlight w:val="none"/>
              </w:rPr>
            </w:pPr>
            <w:r>
              <w:rPr>
                <w:rFonts w:hint="eastAsia" w:ascii="方正仿宋_GBK" w:hAnsi="宋体" w:eastAsia="方正仿宋_GBK" w:cs="宋体"/>
                <w:b/>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trPr>
        <w:tc>
          <w:tcPr>
            <w:tcW w:w="817" w:type="dxa"/>
            <w:vAlign w:val="center"/>
          </w:tcPr>
          <w:p>
            <w:pPr>
              <w:pStyle w:val="8"/>
              <w:spacing w:line="560" w:lineRule="exact"/>
              <w:ind w:left="3920"/>
              <w:jc w:val="center"/>
              <w:outlineLvl w:val="0"/>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2111</w:t>
            </w:r>
          </w:p>
        </w:tc>
        <w:tc>
          <w:tcPr>
            <w:tcW w:w="2643" w:type="dxa"/>
            <w:vAlign w:val="center"/>
          </w:tcPr>
          <w:p>
            <w:pPr>
              <w:spacing w:line="560" w:lineRule="exact"/>
              <w:jc w:val="center"/>
              <w:rPr>
                <w:rFonts w:ascii="方正仿宋_GBK" w:hAnsi="宋体" w:eastAsia="方正仿宋_GBK" w:cs="宋体"/>
                <w:sz w:val="32"/>
                <w:szCs w:val="32"/>
                <w:highlight w:val="none"/>
              </w:rPr>
            </w:pPr>
          </w:p>
        </w:tc>
        <w:tc>
          <w:tcPr>
            <w:tcW w:w="1344" w:type="dxa"/>
            <w:vAlign w:val="center"/>
          </w:tcPr>
          <w:p>
            <w:pPr>
              <w:spacing w:line="560" w:lineRule="exact"/>
              <w:jc w:val="center"/>
              <w:rPr>
                <w:rFonts w:ascii="方正仿宋_GBK" w:hAnsi="宋体" w:eastAsia="方正仿宋_GBK" w:cs="宋体"/>
                <w:sz w:val="32"/>
                <w:szCs w:val="32"/>
                <w:highlight w:val="none"/>
              </w:rPr>
            </w:pP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817" w:type="dxa"/>
            <w:vAlign w:val="center"/>
          </w:tcPr>
          <w:p>
            <w:pPr>
              <w:pStyle w:val="8"/>
              <w:spacing w:line="560" w:lineRule="exact"/>
              <w:ind w:left="3920"/>
              <w:jc w:val="center"/>
              <w:outlineLvl w:val="0"/>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22</w:t>
            </w:r>
          </w:p>
        </w:tc>
        <w:tc>
          <w:tcPr>
            <w:tcW w:w="2643" w:type="dxa"/>
            <w:vAlign w:val="center"/>
          </w:tcPr>
          <w:p>
            <w:pPr>
              <w:spacing w:line="560" w:lineRule="exact"/>
              <w:jc w:val="center"/>
              <w:rPr>
                <w:rFonts w:ascii="方正仿宋_GBK" w:hAnsi="宋体" w:eastAsia="方正仿宋_GBK" w:cs="宋体"/>
                <w:sz w:val="32"/>
                <w:szCs w:val="32"/>
                <w:highlight w:val="none"/>
              </w:rPr>
            </w:pPr>
          </w:p>
        </w:tc>
        <w:tc>
          <w:tcPr>
            <w:tcW w:w="1344" w:type="dxa"/>
            <w:vAlign w:val="center"/>
          </w:tcPr>
          <w:p>
            <w:pPr>
              <w:spacing w:line="560" w:lineRule="exact"/>
              <w:jc w:val="center"/>
              <w:rPr>
                <w:rFonts w:ascii="方正仿宋_GBK" w:hAnsi="宋体" w:eastAsia="方正仿宋_GBK" w:cs="宋体"/>
                <w:sz w:val="32"/>
                <w:szCs w:val="32"/>
                <w:highlight w:val="none"/>
              </w:rPr>
            </w:pP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817" w:type="dxa"/>
            <w:vAlign w:val="center"/>
          </w:tcPr>
          <w:p>
            <w:pPr>
              <w:pStyle w:val="8"/>
              <w:spacing w:line="560" w:lineRule="exact"/>
              <w:ind w:left="3920"/>
              <w:jc w:val="center"/>
              <w:outlineLvl w:val="0"/>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13</w:t>
            </w:r>
          </w:p>
        </w:tc>
        <w:tc>
          <w:tcPr>
            <w:tcW w:w="2643" w:type="dxa"/>
            <w:vAlign w:val="center"/>
          </w:tcPr>
          <w:p>
            <w:pPr>
              <w:spacing w:line="560" w:lineRule="exact"/>
              <w:jc w:val="center"/>
              <w:rPr>
                <w:rFonts w:ascii="方正仿宋_GBK" w:hAnsi="宋体" w:eastAsia="方正仿宋_GBK" w:cs="宋体"/>
                <w:sz w:val="32"/>
                <w:szCs w:val="32"/>
                <w:highlight w:val="none"/>
              </w:rPr>
            </w:pPr>
          </w:p>
        </w:tc>
        <w:tc>
          <w:tcPr>
            <w:tcW w:w="1344" w:type="dxa"/>
            <w:vAlign w:val="center"/>
          </w:tcPr>
          <w:p>
            <w:pPr>
              <w:spacing w:line="560" w:lineRule="exact"/>
              <w:jc w:val="center"/>
              <w:rPr>
                <w:rFonts w:ascii="方正仿宋_GBK" w:hAnsi="宋体" w:eastAsia="方正仿宋_GBK" w:cs="宋体"/>
                <w:sz w:val="32"/>
                <w:szCs w:val="32"/>
                <w:highlight w:val="none"/>
              </w:rPr>
            </w:pP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817" w:type="dxa"/>
            <w:vAlign w:val="center"/>
          </w:tcPr>
          <w:p>
            <w:pPr>
              <w:pStyle w:val="8"/>
              <w:spacing w:line="560" w:lineRule="exact"/>
              <w:ind w:left="3920"/>
              <w:jc w:val="center"/>
              <w:outlineLvl w:val="0"/>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4</w:t>
            </w:r>
          </w:p>
        </w:tc>
        <w:tc>
          <w:tcPr>
            <w:tcW w:w="2643" w:type="dxa"/>
            <w:vAlign w:val="center"/>
          </w:tcPr>
          <w:p>
            <w:pPr>
              <w:spacing w:line="560" w:lineRule="exact"/>
              <w:jc w:val="center"/>
              <w:rPr>
                <w:rFonts w:ascii="方正仿宋_GBK" w:hAnsi="宋体" w:eastAsia="方正仿宋_GBK" w:cs="宋体"/>
                <w:sz w:val="32"/>
                <w:szCs w:val="32"/>
                <w:highlight w:val="none"/>
              </w:rPr>
            </w:pPr>
          </w:p>
        </w:tc>
        <w:tc>
          <w:tcPr>
            <w:tcW w:w="1344" w:type="dxa"/>
            <w:vAlign w:val="center"/>
          </w:tcPr>
          <w:p>
            <w:pPr>
              <w:spacing w:line="560" w:lineRule="exact"/>
              <w:jc w:val="center"/>
              <w:rPr>
                <w:rFonts w:ascii="方正仿宋_GBK" w:hAnsi="宋体" w:eastAsia="方正仿宋_GBK" w:cs="宋体"/>
                <w:sz w:val="32"/>
                <w:szCs w:val="32"/>
                <w:highlight w:val="none"/>
              </w:rPr>
            </w:pP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817" w:type="dxa"/>
            <w:vAlign w:val="center"/>
          </w:tcPr>
          <w:p>
            <w:pPr>
              <w:pStyle w:val="8"/>
              <w:spacing w:line="560" w:lineRule="exact"/>
              <w:ind w:left="3920"/>
              <w:jc w:val="center"/>
              <w:outlineLvl w:val="0"/>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5</w:t>
            </w:r>
          </w:p>
        </w:tc>
        <w:tc>
          <w:tcPr>
            <w:tcW w:w="2643" w:type="dxa"/>
            <w:vAlign w:val="center"/>
          </w:tcPr>
          <w:p>
            <w:pPr>
              <w:spacing w:line="560" w:lineRule="exact"/>
              <w:jc w:val="center"/>
              <w:rPr>
                <w:rFonts w:ascii="方正仿宋_GBK" w:hAnsi="宋体" w:eastAsia="方正仿宋_GBK" w:cs="宋体"/>
                <w:sz w:val="32"/>
                <w:szCs w:val="32"/>
                <w:highlight w:val="none"/>
              </w:rPr>
            </w:pPr>
          </w:p>
        </w:tc>
        <w:tc>
          <w:tcPr>
            <w:tcW w:w="1344" w:type="dxa"/>
            <w:vAlign w:val="center"/>
          </w:tcPr>
          <w:p>
            <w:pPr>
              <w:spacing w:line="560" w:lineRule="exact"/>
              <w:jc w:val="center"/>
              <w:rPr>
                <w:rFonts w:ascii="方正仿宋_GBK" w:hAnsi="宋体" w:eastAsia="方正仿宋_GBK" w:cs="宋体"/>
                <w:sz w:val="32"/>
                <w:szCs w:val="32"/>
                <w:highlight w:val="none"/>
              </w:rPr>
            </w:pP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817" w:type="dxa"/>
            <w:vAlign w:val="center"/>
          </w:tcPr>
          <w:p>
            <w:pPr>
              <w:pStyle w:val="8"/>
              <w:spacing w:line="560" w:lineRule="exact"/>
              <w:ind w:left="3920"/>
              <w:jc w:val="center"/>
              <w:outlineLvl w:val="0"/>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6</w:t>
            </w:r>
          </w:p>
        </w:tc>
        <w:tc>
          <w:tcPr>
            <w:tcW w:w="2643" w:type="dxa"/>
            <w:vAlign w:val="center"/>
          </w:tcPr>
          <w:p>
            <w:pPr>
              <w:spacing w:line="560" w:lineRule="exact"/>
              <w:jc w:val="center"/>
              <w:rPr>
                <w:rFonts w:ascii="方正仿宋_GBK" w:hAnsi="宋体" w:eastAsia="方正仿宋_GBK" w:cs="宋体"/>
                <w:sz w:val="32"/>
                <w:szCs w:val="32"/>
                <w:highlight w:val="none"/>
              </w:rPr>
            </w:pPr>
          </w:p>
        </w:tc>
        <w:tc>
          <w:tcPr>
            <w:tcW w:w="1344" w:type="dxa"/>
            <w:vAlign w:val="center"/>
          </w:tcPr>
          <w:p>
            <w:pPr>
              <w:spacing w:line="560" w:lineRule="exact"/>
              <w:jc w:val="center"/>
              <w:rPr>
                <w:rFonts w:ascii="方正仿宋_GBK" w:hAnsi="宋体" w:eastAsia="方正仿宋_GBK" w:cs="宋体"/>
                <w:sz w:val="32"/>
                <w:szCs w:val="32"/>
                <w:highlight w:val="none"/>
              </w:rPr>
            </w:pP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817" w:type="dxa"/>
            <w:vAlign w:val="center"/>
          </w:tcPr>
          <w:p>
            <w:pPr>
              <w:pStyle w:val="8"/>
              <w:spacing w:line="560" w:lineRule="exact"/>
              <w:ind w:left="3920"/>
              <w:jc w:val="center"/>
              <w:outlineLvl w:val="0"/>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7</w:t>
            </w:r>
          </w:p>
        </w:tc>
        <w:tc>
          <w:tcPr>
            <w:tcW w:w="2643" w:type="dxa"/>
            <w:vAlign w:val="center"/>
          </w:tcPr>
          <w:p>
            <w:pPr>
              <w:spacing w:line="560" w:lineRule="exact"/>
              <w:jc w:val="center"/>
              <w:rPr>
                <w:rFonts w:ascii="方正仿宋_GBK" w:hAnsi="宋体" w:eastAsia="方正仿宋_GBK" w:cs="宋体"/>
                <w:sz w:val="32"/>
                <w:szCs w:val="32"/>
                <w:highlight w:val="none"/>
              </w:rPr>
            </w:pPr>
          </w:p>
        </w:tc>
        <w:tc>
          <w:tcPr>
            <w:tcW w:w="1344" w:type="dxa"/>
            <w:vAlign w:val="center"/>
          </w:tcPr>
          <w:p>
            <w:pPr>
              <w:spacing w:line="560" w:lineRule="exact"/>
              <w:jc w:val="center"/>
              <w:rPr>
                <w:rFonts w:ascii="方正仿宋_GBK" w:hAnsi="宋体" w:eastAsia="方正仿宋_GBK" w:cs="宋体"/>
                <w:sz w:val="32"/>
                <w:szCs w:val="32"/>
                <w:highlight w:val="none"/>
              </w:rPr>
            </w:pP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4804" w:type="dxa"/>
            <w:gridSpan w:val="3"/>
            <w:vAlign w:val="center"/>
          </w:tcPr>
          <w:p>
            <w:pPr>
              <w:spacing w:line="560" w:lineRule="exact"/>
              <w:jc w:val="center"/>
              <w:rPr>
                <w:rFonts w:ascii="方正仿宋_GBK" w:hAnsi="宋体" w:eastAsia="方正仿宋_GBK" w:cs="宋体"/>
                <w:sz w:val="32"/>
                <w:szCs w:val="32"/>
                <w:highlight w:val="none"/>
              </w:rPr>
            </w:pPr>
            <w:r>
              <w:rPr>
                <w:rFonts w:hint="eastAsia" w:ascii="方正仿宋_GBK" w:hAnsi="宋体" w:eastAsia="方正仿宋_GBK" w:cs="宋体"/>
                <w:sz w:val="32"/>
                <w:szCs w:val="32"/>
                <w:highlight w:val="none"/>
              </w:rPr>
              <w:t>合计</w:t>
            </w:r>
          </w:p>
        </w:tc>
        <w:tc>
          <w:tcPr>
            <w:tcW w:w="1541" w:type="dxa"/>
          </w:tcPr>
          <w:p>
            <w:pPr>
              <w:spacing w:line="560" w:lineRule="exact"/>
              <w:jc w:val="center"/>
              <w:rPr>
                <w:rFonts w:ascii="方正仿宋_GBK" w:hAnsi="宋体" w:eastAsia="方正仿宋_GBK" w:cs="宋体"/>
                <w:sz w:val="32"/>
                <w:szCs w:val="32"/>
                <w:highlight w:val="none"/>
              </w:rPr>
            </w:pPr>
          </w:p>
        </w:tc>
        <w:tc>
          <w:tcPr>
            <w:tcW w:w="1843" w:type="dxa"/>
          </w:tcPr>
          <w:p>
            <w:pPr>
              <w:spacing w:line="560" w:lineRule="exact"/>
              <w:jc w:val="center"/>
              <w:rPr>
                <w:rFonts w:ascii="方正仿宋_GBK" w:hAnsi="宋体" w:eastAsia="方正仿宋_GBK" w:cs="宋体"/>
                <w:sz w:val="32"/>
                <w:szCs w:val="32"/>
                <w:highlight w:val="none"/>
              </w:rPr>
            </w:pPr>
          </w:p>
        </w:tc>
      </w:tr>
    </w:tbl>
    <w:p>
      <w:pPr>
        <w:snapToGrid w:val="0"/>
        <w:spacing w:line="560" w:lineRule="exact"/>
        <w:rPr>
          <w:rFonts w:ascii="方正仿宋_GBK" w:hAnsi="仿宋" w:eastAsia="方正仿宋_GBK"/>
          <w:snapToGrid w:val="0"/>
          <w:color w:val="000000"/>
          <w:kern w:val="0"/>
          <w:sz w:val="32"/>
          <w:szCs w:val="32"/>
          <w:highlight w:val="none"/>
        </w:rPr>
      </w:pPr>
    </w:p>
    <w:p>
      <w:pPr>
        <w:snapToGrid w:val="0"/>
        <w:spacing w:line="560" w:lineRule="exact"/>
        <w:rPr>
          <w:rFonts w:ascii="方正仿宋_GBK" w:hAnsi="宋体" w:eastAsia="方正仿宋_GBK" w:cs="宋体"/>
          <w:sz w:val="32"/>
          <w:szCs w:val="32"/>
          <w:highlight w:val="none"/>
        </w:rPr>
      </w:pPr>
      <w:r>
        <w:rPr>
          <w:rFonts w:hint="eastAsia" w:ascii="方正仿宋_GBK" w:hAnsi="仿宋" w:eastAsia="方正仿宋_GBK"/>
          <w:snapToGrid w:val="0"/>
          <w:color w:val="000000"/>
          <w:kern w:val="0"/>
          <w:sz w:val="32"/>
          <w:szCs w:val="32"/>
          <w:highlight w:val="none"/>
        </w:rPr>
        <w:t>注：本表可根据项目实际情况调整，并逐页盖章。</w:t>
      </w:r>
    </w:p>
    <w:p>
      <w:pPr>
        <w:pStyle w:val="14"/>
        <w:spacing w:line="560" w:lineRule="exact"/>
        <w:ind w:firstLine="480"/>
        <w:rPr>
          <w:rFonts w:ascii="方正仿宋_GBK" w:hAnsi="宋体" w:eastAsia="方正仿宋_GBK" w:cs="宋体"/>
          <w:sz w:val="32"/>
          <w:szCs w:val="32"/>
          <w:highlight w:val="none"/>
        </w:rPr>
      </w:pPr>
    </w:p>
    <w:p>
      <w:pPr>
        <w:pStyle w:val="14"/>
        <w:spacing w:line="560" w:lineRule="exact"/>
        <w:ind w:firstLine="480"/>
        <w:rPr>
          <w:rFonts w:ascii="方正仿宋_GBK" w:hAnsi="宋体" w:eastAsia="方正仿宋_GBK" w:cs="宋体"/>
          <w:sz w:val="32"/>
          <w:szCs w:val="32"/>
          <w:highlight w:val="none"/>
        </w:rPr>
      </w:pPr>
    </w:p>
    <w:p>
      <w:pPr>
        <w:spacing w:line="560" w:lineRule="exact"/>
        <w:ind w:firstLine="640" w:firstLineChars="200"/>
        <w:rPr>
          <w:rFonts w:ascii="方正仿宋_GBK" w:hAnsi="仿宋" w:eastAsia="方正仿宋_GBK"/>
          <w:snapToGrid w:val="0"/>
          <w:color w:val="000000"/>
          <w:kern w:val="0"/>
          <w:sz w:val="32"/>
          <w:szCs w:val="32"/>
          <w:highlight w:val="none"/>
        </w:rPr>
      </w:pPr>
    </w:p>
    <w:p>
      <w:pPr>
        <w:spacing w:line="560" w:lineRule="exact"/>
        <w:ind w:left="140" w:leftChars="50" w:firstLine="640" w:firstLineChars="200"/>
        <w:jc w:val="righ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法定代表人或授权代理人签字：</w:t>
      </w:r>
    </w:p>
    <w:p>
      <w:pPr>
        <w:spacing w:line="560" w:lineRule="exact"/>
        <w:ind w:right="282" w:firstLine="640" w:firstLineChars="200"/>
        <w:jc w:val="righ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（供应商名称并加盖公章）：</w:t>
      </w:r>
    </w:p>
    <w:p>
      <w:pPr>
        <w:spacing w:line="560" w:lineRule="exact"/>
        <w:ind w:right="442" w:firstLine="640" w:firstLineChars="200"/>
        <w:jc w:val="righ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年月日</w:t>
      </w:r>
    </w:p>
    <w:p>
      <w:pPr>
        <w:tabs>
          <w:tab w:val="left" w:pos="6300"/>
        </w:tabs>
        <w:snapToGrid w:val="0"/>
        <w:spacing w:line="560" w:lineRule="exact"/>
        <w:ind w:firstLine="568" w:firstLineChars="200"/>
        <w:outlineLvl w:val="0"/>
        <w:rPr>
          <w:rFonts w:ascii="方正仿宋_GBK" w:hAnsi="宋体" w:eastAsia="方正仿宋_GBK"/>
          <w:color w:val="000000"/>
          <w:spacing w:val="-18"/>
          <w:sz w:val="32"/>
          <w:szCs w:val="32"/>
          <w:highlight w:val="none"/>
        </w:rPr>
        <w:sectPr>
          <w:headerReference r:id="rId9" w:type="default"/>
          <w:footerReference r:id="rId10" w:type="default"/>
          <w:footerReference r:id="rId11" w:type="even"/>
          <w:pgSz w:w="11907" w:h="16840"/>
          <w:pgMar w:top="1440" w:right="1797" w:bottom="1440" w:left="1797" w:header="851" w:footer="992" w:gutter="0"/>
          <w:cols w:space="720" w:num="1"/>
          <w:docGrid w:linePitch="380" w:charSpace="-5735"/>
        </w:sectPr>
      </w:pPr>
    </w:p>
    <w:p>
      <w:pPr>
        <w:spacing w:line="560" w:lineRule="exact"/>
        <w:ind w:right="560"/>
        <w:jc w:val="center"/>
        <w:rPr>
          <w:rFonts w:ascii="方正仿宋_GBK" w:hAnsi="华文中宋" w:eastAsia="方正仿宋_GBK"/>
          <w:color w:val="000000"/>
          <w:spacing w:val="-18"/>
          <w:sz w:val="32"/>
          <w:szCs w:val="32"/>
          <w:highlight w:val="none"/>
        </w:rPr>
      </w:pPr>
      <w:r>
        <w:rPr>
          <w:rFonts w:hint="eastAsia" w:ascii="方正仿宋_GBK" w:hAnsi="华文中宋" w:eastAsia="方正仿宋_GBK"/>
          <w:color w:val="000000"/>
          <w:spacing w:val="-18"/>
          <w:sz w:val="32"/>
          <w:szCs w:val="32"/>
          <w:highlight w:val="none"/>
        </w:rPr>
        <w:t>（二）资格文件</w:t>
      </w:r>
    </w:p>
    <w:p>
      <w:pPr>
        <w:spacing w:line="560" w:lineRule="exact"/>
        <w:ind w:right="560" w:firstLine="571" w:firstLineChars="200"/>
        <w:jc w:val="left"/>
        <w:rPr>
          <w:rFonts w:ascii="方正仿宋_GBK" w:hAnsi="宋体" w:eastAsia="方正仿宋_GBK"/>
          <w:b/>
          <w:color w:val="000000"/>
          <w:spacing w:val="-18"/>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r>
        <w:rPr>
          <w:rFonts w:hint="eastAsia" w:ascii="方正仿宋_GBK" w:hAnsi="仿宋" w:eastAsia="方正仿宋_GBK"/>
          <w:b/>
          <w:snapToGrid w:val="0"/>
          <w:color w:val="000000"/>
          <w:kern w:val="0"/>
          <w:sz w:val="32"/>
          <w:szCs w:val="32"/>
          <w:highlight w:val="none"/>
        </w:rPr>
        <w:t>1.投标供应商资格资料</w:t>
      </w:r>
    </w:p>
    <w:p>
      <w:pPr>
        <w:spacing w:line="560" w:lineRule="exact"/>
        <w:ind w:firstLine="640" w:firstLineChars="200"/>
        <w:jc w:val="lef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（1）营业执照</w:t>
      </w:r>
      <w:r>
        <w:rPr>
          <w:rFonts w:hint="eastAsia" w:ascii="方正仿宋_GBK" w:hAnsi="仿宋" w:eastAsia="方正仿宋_GBK"/>
          <w:snapToGrid w:val="0"/>
          <w:color w:val="000000"/>
          <w:kern w:val="0"/>
          <w:sz w:val="32"/>
          <w:szCs w:val="32"/>
          <w:highlight w:val="none"/>
          <w:lang w:eastAsia="zh-CN"/>
        </w:rPr>
        <w:t>复印件</w:t>
      </w:r>
    </w:p>
    <w:p>
      <w:pPr>
        <w:spacing w:line="560" w:lineRule="exact"/>
        <w:ind w:right="560" w:firstLine="640" w:firstLineChars="200"/>
        <w:jc w:val="left"/>
        <w:rPr>
          <w:rFonts w:ascii="方正仿宋_GBK" w:hAnsi="仿宋" w:eastAsia="方正仿宋_GBK"/>
          <w:b/>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w:t>
      </w:r>
      <w:r>
        <w:rPr>
          <w:rFonts w:hint="eastAsia" w:ascii="方正仿宋_GBK" w:hAnsi="仿宋" w:eastAsia="方正仿宋_GBK"/>
          <w:snapToGrid w:val="0"/>
          <w:color w:val="000000"/>
          <w:kern w:val="0"/>
          <w:sz w:val="32"/>
          <w:szCs w:val="32"/>
          <w:highlight w:val="none"/>
          <w:lang w:val="en-US" w:eastAsia="zh-CN"/>
        </w:rPr>
        <w:t>2</w:t>
      </w:r>
      <w:r>
        <w:rPr>
          <w:rFonts w:hint="eastAsia" w:ascii="方正仿宋_GBK" w:hAnsi="仿宋" w:eastAsia="方正仿宋_GBK"/>
          <w:snapToGrid w:val="0"/>
          <w:color w:val="000000"/>
          <w:kern w:val="0"/>
          <w:sz w:val="32"/>
          <w:szCs w:val="32"/>
          <w:highlight w:val="none"/>
        </w:rPr>
        <w:t>）特定资格条件资格资料</w:t>
      </w: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firstLine="643" w:firstLineChars="200"/>
        <w:jc w:val="left"/>
        <w:rPr>
          <w:rFonts w:ascii="方正仿宋_GBK" w:hAnsi="仿宋" w:eastAsia="方正仿宋_GBK"/>
          <w:b/>
          <w:snapToGrid w:val="0"/>
          <w:color w:val="000000"/>
          <w:kern w:val="0"/>
          <w:sz w:val="32"/>
          <w:szCs w:val="32"/>
          <w:highlight w:val="none"/>
        </w:rPr>
      </w:pPr>
    </w:p>
    <w:p>
      <w:pPr>
        <w:spacing w:line="560" w:lineRule="exact"/>
        <w:ind w:right="560"/>
        <w:jc w:val="left"/>
        <w:rPr>
          <w:rFonts w:ascii="方正仿宋_GBK" w:hAnsi="仿宋" w:eastAsia="方正仿宋_GBK"/>
          <w:b/>
          <w:snapToGrid w:val="0"/>
          <w:color w:val="000000"/>
          <w:kern w:val="0"/>
          <w:sz w:val="32"/>
          <w:szCs w:val="32"/>
          <w:highlight w:val="none"/>
        </w:rPr>
      </w:pPr>
    </w:p>
    <w:p>
      <w:pPr>
        <w:pStyle w:val="20"/>
        <w:rPr>
          <w:rFonts w:ascii="方正仿宋_GBK" w:hAnsi="仿宋" w:eastAsia="方正仿宋_GBK"/>
          <w:b/>
          <w:snapToGrid w:val="0"/>
          <w:color w:val="000000"/>
          <w:kern w:val="0"/>
          <w:sz w:val="32"/>
          <w:szCs w:val="32"/>
          <w:highlight w:val="none"/>
        </w:rPr>
      </w:pPr>
    </w:p>
    <w:p>
      <w:pPr>
        <w:rPr>
          <w:rFonts w:ascii="方正仿宋_GBK" w:hAnsi="仿宋" w:eastAsia="方正仿宋_GBK"/>
          <w:b/>
          <w:snapToGrid w:val="0"/>
          <w:color w:val="000000"/>
          <w:kern w:val="0"/>
          <w:sz w:val="32"/>
          <w:szCs w:val="32"/>
          <w:highlight w:val="none"/>
        </w:rPr>
      </w:pPr>
    </w:p>
    <w:p>
      <w:pPr>
        <w:pStyle w:val="20"/>
        <w:rPr>
          <w:rFonts w:ascii="方正仿宋_GBK" w:hAnsi="仿宋" w:eastAsia="方正仿宋_GBK"/>
          <w:b/>
          <w:snapToGrid w:val="0"/>
          <w:color w:val="000000"/>
          <w:kern w:val="0"/>
          <w:sz w:val="32"/>
          <w:szCs w:val="32"/>
          <w:highlight w:val="none"/>
        </w:rPr>
      </w:pPr>
    </w:p>
    <w:p>
      <w:pPr>
        <w:rPr>
          <w:rFonts w:ascii="方正仿宋_GBK" w:hAnsi="仿宋" w:eastAsia="方正仿宋_GBK"/>
          <w:b/>
          <w:snapToGrid w:val="0"/>
          <w:color w:val="000000"/>
          <w:kern w:val="0"/>
          <w:sz w:val="32"/>
          <w:szCs w:val="32"/>
          <w:highlight w:val="none"/>
        </w:rPr>
      </w:pPr>
    </w:p>
    <w:p>
      <w:pPr>
        <w:pStyle w:val="20"/>
        <w:rPr>
          <w:rFonts w:ascii="方正仿宋_GBK" w:hAnsi="仿宋" w:eastAsia="方正仿宋_GBK"/>
          <w:b/>
          <w:snapToGrid w:val="0"/>
          <w:color w:val="000000"/>
          <w:kern w:val="0"/>
          <w:sz w:val="32"/>
          <w:szCs w:val="32"/>
          <w:highlight w:val="none"/>
        </w:rPr>
      </w:pPr>
    </w:p>
    <w:p>
      <w:pPr>
        <w:rPr>
          <w:rFonts w:ascii="方正仿宋_GBK" w:hAnsi="仿宋" w:eastAsia="方正仿宋_GBK"/>
          <w:b/>
          <w:snapToGrid w:val="0"/>
          <w:color w:val="000000"/>
          <w:kern w:val="0"/>
          <w:sz w:val="32"/>
          <w:szCs w:val="32"/>
          <w:highlight w:val="none"/>
        </w:rPr>
      </w:pPr>
    </w:p>
    <w:p>
      <w:pPr>
        <w:pStyle w:val="20"/>
        <w:rPr>
          <w:rFonts w:ascii="方正仿宋_GBK" w:hAnsi="仿宋" w:eastAsia="方正仿宋_GBK"/>
          <w:b/>
          <w:snapToGrid w:val="0"/>
          <w:color w:val="000000"/>
          <w:kern w:val="0"/>
          <w:sz w:val="32"/>
          <w:szCs w:val="32"/>
          <w:highlight w:val="none"/>
        </w:rPr>
      </w:pPr>
    </w:p>
    <w:p>
      <w:pPr>
        <w:rPr>
          <w:highlight w:val="none"/>
        </w:rPr>
      </w:pPr>
    </w:p>
    <w:p>
      <w:pPr>
        <w:pStyle w:val="20"/>
        <w:rPr>
          <w:highlight w:val="none"/>
        </w:rPr>
      </w:pPr>
    </w:p>
    <w:p>
      <w:pPr>
        <w:spacing w:line="560" w:lineRule="exact"/>
        <w:ind w:right="560" w:firstLine="643" w:firstLineChars="200"/>
        <w:jc w:val="left"/>
        <w:rPr>
          <w:rFonts w:ascii="方正仿宋_GBK" w:hAnsi="仿宋" w:eastAsia="方正仿宋_GBK"/>
          <w:snapToGrid w:val="0"/>
          <w:color w:val="000000"/>
          <w:kern w:val="0"/>
          <w:sz w:val="32"/>
          <w:szCs w:val="32"/>
          <w:highlight w:val="none"/>
        </w:rPr>
      </w:pPr>
      <w:r>
        <w:rPr>
          <w:rFonts w:hint="eastAsia" w:ascii="方正仿宋_GBK" w:hAnsi="仿宋" w:eastAsia="方正仿宋_GBK"/>
          <w:b/>
          <w:snapToGrid w:val="0"/>
          <w:color w:val="000000"/>
          <w:kern w:val="0"/>
          <w:sz w:val="32"/>
          <w:szCs w:val="32"/>
          <w:highlight w:val="none"/>
        </w:rPr>
        <w:t>2.法定代表人身份证明书</w:t>
      </w:r>
      <w:r>
        <w:rPr>
          <w:rFonts w:hint="eastAsia" w:ascii="方正仿宋_GBK" w:hAnsi="仿宋" w:eastAsia="方正仿宋_GBK"/>
          <w:snapToGrid w:val="0"/>
          <w:color w:val="000000"/>
          <w:kern w:val="0"/>
          <w:sz w:val="32"/>
          <w:szCs w:val="32"/>
          <w:highlight w:val="none"/>
        </w:rPr>
        <w:t>（格式）</w:t>
      </w:r>
    </w:p>
    <w:p>
      <w:pPr>
        <w:tabs>
          <w:tab w:val="left" w:pos="6300"/>
        </w:tabs>
        <w:snapToGrid w:val="0"/>
        <w:spacing w:line="560" w:lineRule="exact"/>
        <w:ind w:firstLine="640" w:firstLineChars="200"/>
        <w:jc w:val="left"/>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640" w:firstLineChars="200"/>
        <w:jc w:val="lef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采购项目名称：</w:t>
      </w:r>
    </w:p>
    <w:p>
      <w:pPr>
        <w:tabs>
          <w:tab w:val="left" w:pos="6300"/>
        </w:tabs>
        <w:snapToGrid w:val="0"/>
        <w:spacing w:line="560" w:lineRule="exact"/>
        <w:ind w:firstLine="640" w:firstLineChars="200"/>
        <w:jc w:val="left"/>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640" w:firstLineChars="200"/>
        <w:jc w:val="lef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致：</w:t>
      </w:r>
      <w:r>
        <w:rPr>
          <w:rFonts w:hint="eastAsia" w:ascii="方正仿宋_GBK" w:hAnsi="仿宋" w:eastAsia="方正仿宋_GBK"/>
          <w:snapToGrid w:val="0"/>
          <w:color w:val="000000"/>
          <w:kern w:val="0"/>
          <w:sz w:val="32"/>
          <w:szCs w:val="32"/>
          <w:highlight w:val="none"/>
          <w:lang w:val="en-US" w:eastAsia="zh-CN"/>
        </w:rPr>
        <w:t xml:space="preserve">                </w:t>
      </w:r>
      <w:r>
        <w:rPr>
          <w:rFonts w:hint="eastAsia" w:ascii="方正仿宋_GBK" w:hAnsi="仿宋" w:eastAsia="方正仿宋_GBK"/>
          <w:snapToGrid w:val="0"/>
          <w:color w:val="000000"/>
          <w:kern w:val="0"/>
          <w:sz w:val="32"/>
          <w:szCs w:val="32"/>
          <w:highlight w:val="none"/>
        </w:rPr>
        <w:t>（采购人名称）</w:t>
      </w:r>
    </w:p>
    <w:p>
      <w:pPr>
        <w:tabs>
          <w:tab w:val="left" w:pos="6300"/>
        </w:tabs>
        <w:snapToGrid w:val="0"/>
        <w:spacing w:line="560" w:lineRule="exact"/>
        <w:ind w:firstLine="640" w:firstLineChars="200"/>
        <w:jc w:val="lef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（法定代表人姓名）在（投标供应商名称）任（职务名称）职务，是（投标供应商名称）的法定代表人。</w:t>
      </w:r>
    </w:p>
    <w:p>
      <w:pPr>
        <w:tabs>
          <w:tab w:val="left" w:pos="6300"/>
        </w:tabs>
        <w:snapToGrid w:val="0"/>
        <w:spacing w:line="560" w:lineRule="exact"/>
        <w:ind w:firstLine="640" w:firstLineChars="200"/>
        <w:jc w:val="lef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特此证明</w:t>
      </w:r>
    </w:p>
    <w:p>
      <w:pPr>
        <w:tabs>
          <w:tab w:val="left" w:pos="6300"/>
        </w:tabs>
        <w:snapToGrid w:val="0"/>
        <w:spacing w:line="560" w:lineRule="exact"/>
        <w:ind w:firstLine="640" w:firstLineChars="200"/>
        <w:jc w:val="left"/>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640" w:firstLineChars="200"/>
        <w:jc w:val="right"/>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640" w:firstLineChars="200"/>
        <w:jc w:val="righ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（投标供应商公章）</w:t>
      </w:r>
    </w:p>
    <w:p>
      <w:pPr>
        <w:tabs>
          <w:tab w:val="left" w:pos="6300"/>
        </w:tabs>
        <w:snapToGrid w:val="0"/>
        <w:spacing w:line="560" w:lineRule="exact"/>
        <w:ind w:firstLine="640" w:firstLineChars="200"/>
        <w:jc w:val="righ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年月日</w:t>
      </w: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（附：法定代表人身份证正反面复印件）</w:t>
      </w: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p>
    <w:p>
      <w:pPr>
        <w:tabs>
          <w:tab w:val="left" w:pos="6300"/>
        </w:tabs>
        <w:snapToGrid w:val="0"/>
        <w:spacing w:line="560" w:lineRule="exact"/>
        <w:ind w:firstLine="643" w:firstLineChars="200"/>
        <w:rPr>
          <w:rFonts w:ascii="方正仿宋_GBK" w:hAnsi="仿宋" w:eastAsia="方正仿宋_GBK"/>
          <w:b/>
          <w:snapToGrid w:val="0"/>
          <w:color w:val="000000"/>
          <w:kern w:val="0"/>
          <w:sz w:val="32"/>
          <w:szCs w:val="32"/>
          <w:highlight w:val="none"/>
        </w:rPr>
      </w:pPr>
      <w:r>
        <w:rPr>
          <w:rFonts w:hint="eastAsia" w:ascii="方正仿宋_GBK" w:hAnsi="仿宋" w:eastAsia="方正仿宋_GBK"/>
          <w:b/>
          <w:snapToGrid w:val="0"/>
          <w:color w:val="000000"/>
          <w:kern w:val="0"/>
          <w:sz w:val="32"/>
          <w:szCs w:val="32"/>
          <w:highlight w:val="none"/>
        </w:rPr>
        <w:t>3.法定代表人授权委托书（格式）</w:t>
      </w: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采购项目名称：</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致：</w:t>
      </w:r>
      <w:r>
        <w:rPr>
          <w:rFonts w:hint="eastAsia" w:ascii="方正仿宋_GBK" w:hAnsi="仿宋" w:eastAsia="方正仿宋_GBK"/>
          <w:snapToGrid w:val="0"/>
          <w:color w:val="000000"/>
          <w:kern w:val="0"/>
          <w:sz w:val="32"/>
          <w:szCs w:val="32"/>
          <w:highlight w:val="none"/>
          <w:lang w:val="en-US" w:eastAsia="zh-CN"/>
        </w:rPr>
        <w:t xml:space="preserve">          </w:t>
      </w:r>
      <w:r>
        <w:rPr>
          <w:rFonts w:hint="eastAsia" w:ascii="方正仿宋_GBK" w:hAnsi="仿宋" w:eastAsia="方正仿宋_GBK"/>
          <w:snapToGrid w:val="0"/>
          <w:color w:val="000000"/>
          <w:kern w:val="0"/>
          <w:sz w:val="32"/>
          <w:szCs w:val="32"/>
          <w:highlight w:val="none"/>
        </w:rPr>
        <w:t>（采购人名称）</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（投标供应商法定代表人名称）是（投标供应商名称）的法定代表人，特授权（被授权人姓名及身份证代码）代表我单位全权办理上述项目的投标、谈判、签约等具体工作，并签署全部有关文件、协议及合同。</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我单位对被授权人的签字负全部责任。</w:t>
      </w:r>
    </w:p>
    <w:p>
      <w:pPr>
        <w:tabs>
          <w:tab w:val="left" w:pos="6300"/>
        </w:tabs>
        <w:snapToGrid w:val="0"/>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在撤消授权的书面通知以前，本授权书一直有效。被授权人在授权书有效期内签署的所有文件不因授权的撤消而失效。</w:t>
      </w: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被授权人：投标供应商法定代表人：</w:t>
      </w:r>
    </w:p>
    <w:p>
      <w:pPr>
        <w:tabs>
          <w:tab w:val="left" w:pos="6300"/>
        </w:tabs>
        <w:snapToGrid w:val="0"/>
        <w:spacing w:line="560" w:lineRule="exac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（签字或盖章）（签字或盖章）</w:t>
      </w: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right="480" w:firstLine="570"/>
        <w:jc w:val="righ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（投标供应商公章）</w:t>
      </w:r>
    </w:p>
    <w:p>
      <w:pPr>
        <w:tabs>
          <w:tab w:val="left" w:pos="6300"/>
        </w:tabs>
        <w:snapToGrid w:val="0"/>
        <w:spacing w:line="560" w:lineRule="exact"/>
        <w:ind w:right="480" w:firstLine="570"/>
        <w:jc w:val="right"/>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年月日</w:t>
      </w:r>
    </w:p>
    <w:p>
      <w:pPr>
        <w:tabs>
          <w:tab w:val="left" w:pos="6300"/>
        </w:tabs>
        <w:snapToGrid w:val="0"/>
        <w:spacing w:line="560" w:lineRule="exact"/>
        <w:ind w:right="480" w:firstLine="570"/>
        <w:jc w:val="right"/>
        <w:rPr>
          <w:rFonts w:ascii="方正仿宋_GBK" w:hAnsi="仿宋" w:eastAsia="方正仿宋_GBK"/>
          <w:snapToGrid w:val="0"/>
          <w:color w:val="000000"/>
          <w:kern w:val="0"/>
          <w:sz w:val="32"/>
          <w:szCs w:val="32"/>
          <w:highlight w:val="none"/>
        </w:rPr>
      </w:pPr>
    </w:p>
    <w:p>
      <w:pPr>
        <w:tabs>
          <w:tab w:val="left" w:pos="6300"/>
        </w:tabs>
        <w:snapToGrid w:val="0"/>
        <w:spacing w:line="560" w:lineRule="exact"/>
        <w:ind w:firstLine="57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（附：被授权人身份证正反面复印件）</w:t>
      </w:r>
    </w:p>
    <w:p>
      <w:pPr>
        <w:spacing w:line="560" w:lineRule="exact"/>
        <w:ind w:right="560"/>
        <w:rPr>
          <w:rFonts w:ascii="方正仿宋_GBK" w:hAnsi="仿宋" w:eastAsia="方正仿宋_GBK"/>
          <w:snapToGrid w:val="0"/>
          <w:color w:val="000000"/>
          <w:kern w:val="0"/>
          <w:sz w:val="32"/>
          <w:szCs w:val="32"/>
          <w:highlight w:val="none"/>
        </w:rPr>
      </w:pPr>
      <w:r>
        <w:rPr>
          <w:rFonts w:hint="eastAsia" w:ascii="方正仿宋_GBK" w:hAnsi="仿宋" w:eastAsia="方正仿宋_GBK"/>
          <w:b/>
          <w:snapToGrid w:val="0"/>
          <w:color w:val="000000"/>
          <w:kern w:val="0"/>
          <w:sz w:val="32"/>
          <w:szCs w:val="32"/>
          <w:highlight w:val="none"/>
        </w:rPr>
        <w:t>4.基本资格条件承诺函（</w:t>
      </w:r>
      <w:r>
        <w:rPr>
          <w:rFonts w:hint="eastAsia" w:ascii="方正仿宋_GBK" w:hAnsi="仿宋" w:eastAsia="方正仿宋_GBK"/>
          <w:snapToGrid w:val="0"/>
          <w:color w:val="000000"/>
          <w:kern w:val="0"/>
          <w:sz w:val="32"/>
          <w:szCs w:val="32"/>
          <w:highlight w:val="none"/>
        </w:rPr>
        <w:t>格式</w:t>
      </w:r>
      <w:r>
        <w:rPr>
          <w:rFonts w:hint="eastAsia" w:ascii="方正仿宋_GBK" w:hAnsi="仿宋" w:eastAsia="方正仿宋_GBK"/>
          <w:b/>
          <w:snapToGrid w:val="0"/>
          <w:color w:val="000000"/>
          <w:kern w:val="0"/>
          <w:sz w:val="32"/>
          <w:szCs w:val="32"/>
          <w:highlight w:val="none"/>
        </w:rPr>
        <w:t>）</w:t>
      </w:r>
    </w:p>
    <w:p>
      <w:pPr>
        <w:tabs>
          <w:tab w:val="left" w:pos="6300"/>
        </w:tabs>
        <w:snapToGrid w:val="0"/>
        <w:spacing w:line="560" w:lineRule="exact"/>
        <w:ind w:firstLine="640" w:firstLineChars="200"/>
        <w:jc w:val="center"/>
        <w:rPr>
          <w:rFonts w:ascii="方正仿宋_GBK" w:hAnsi="仿宋" w:eastAsia="方正仿宋_GBK"/>
          <w:snapToGrid w:val="0"/>
          <w:color w:val="000000"/>
          <w:kern w:val="0"/>
          <w:sz w:val="32"/>
          <w:szCs w:val="32"/>
          <w:highlight w:val="none"/>
        </w:rPr>
      </w:pPr>
    </w:p>
    <w:p>
      <w:pPr>
        <w:pStyle w:val="20"/>
        <w:rPr>
          <w:highlight w:val="none"/>
        </w:rPr>
      </w:pPr>
    </w:p>
    <w:p>
      <w:pPr>
        <w:tabs>
          <w:tab w:val="left" w:pos="6300"/>
        </w:tabs>
        <w:snapToGrid w:val="0"/>
        <w:spacing w:line="312" w:lineRule="auto"/>
        <w:jc w:val="center"/>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基本资格条件承诺函</w:t>
      </w:r>
    </w:p>
    <w:p>
      <w:pPr>
        <w:tabs>
          <w:tab w:val="left" w:pos="6300"/>
        </w:tabs>
        <w:snapToGrid w:val="0"/>
        <w:spacing w:line="312" w:lineRule="auto"/>
        <w:jc w:val="center"/>
        <w:rPr>
          <w:rFonts w:hint="default" w:ascii="Times New Roman" w:hAnsi="Times New Roman" w:eastAsia="方正小标宋_GBK" w:cs="Times New Roman"/>
          <w:color w:val="auto"/>
          <w:szCs w:val="28"/>
          <w:highlight w:val="none"/>
        </w:rPr>
      </w:pPr>
    </w:p>
    <w:p>
      <w:pPr>
        <w:tabs>
          <w:tab w:val="left" w:pos="6300"/>
        </w:tabs>
        <w:snapToGrid w:val="0"/>
        <w:spacing w:line="312" w:lineRule="auto"/>
        <w:jc w:val="left"/>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致：</w:t>
      </w:r>
      <w:r>
        <w:rPr>
          <w:rFonts w:hint="default" w:ascii="Times New Roman" w:hAnsi="Times New Roman" w:eastAsia="方正小标宋_GBK" w:cs="Times New Roman"/>
          <w:color w:val="auto"/>
          <w:szCs w:val="28"/>
          <w:highlight w:val="none"/>
          <w:u w:val="single"/>
        </w:rPr>
        <w:t xml:space="preserve">               </w:t>
      </w:r>
      <w:r>
        <w:rPr>
          <w:rFonts w:hint="default" w:ascii="Times New Roman" w:hAnsi="Times New Roman" w:eastAsia="方正小标宋_GBK" w:cs="Times New Roman"/>
          <w:color w:val="auto"/>
          <w:szCs w:val="28"/>
          <w:highlight w:val="none"/>
        </w:rPr>
        <w:t>（</w:t>
      </w:r>
      <w:r>
        <w:rPr>
          <w:rFonts w:hint="eastAsia" w:ascii="Times New Roman" w:hAnsi="Times New Roman" w:eastAsia="方正小标宋_GBK" w:cs="Times New Roman"/>
          <w:color w:val="auto"/>
          <w:szCs w:val="28"/>
          <w:highlight w:val="none"/>
          <w:lang w:eastAsia="zh-CN"/>
        </w:rPr>
        <w:t>采购人</w:t>
      </w:r>
      <w:r>
        <w:rPr>
          <w:rFonts w:hint="default" w:ascii="Times New Roman" w:hAnsi="Times New Roman" w:eastAsia="方正小标宋_GBK" w:cs="Times New Roman"/>
          <w:color w:val="auto"/>
          <w:szCs w:val="28"/>
          <w:highlight w:val="none"/>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560" w:firstLineChars="200"/>
        <w:jc w:val="left"/>
        <w:textAlignment w:val="auto"/>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u w:val="single"/>
        </w:rPr>
        <w:t xml:space="preserve">               </w:t>
      </w:r>
      <w:r>
        <w:rPr>
          <w:rFonts w:hint="default" w:ascii="Times New Roman" w:hAnsi="Times New Roman" w:eastAsia="方正小标宋_GBK" w:cs="Times New Roman"/>
          <w:color w:val="auto"/>
          <w:szCs w:val="28"/>
          <w:highlight w:val="none"/>
        </w:rPr>
        <w:t>（供应商名称）郑重承诺：</w:t>
      </w:r>
    </w:p>
    <w:p>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560" w:firstLineChars="200"/>
        <w:jc w:val="left"/>
        <w:textAlignment w:val="auto"/>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560" w:firstLineChars="200"/>
        <w:jc w:val="left"/>
        <w:textAlignment w:val="auto"/>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2.我方未列入在信用中国网站（www.creditchina.gov.cn）“失信被执行人”、“重大税收违法案件当事人名单”中，也未列入中国政府采购（www.ccgp.gov.cn）“政府采购严重违法失信行为记录名单”中。</w:t>
      </w:r>
    </w:p>
    <w:p>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560" w:firstLineChars="200"/>
        <w:jc w:val="left"/>
        <w:textAlignment w:val="auto"/>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560" w:firstLineChars="200"/>
        <w:jc w:val="left"/>
        <w:textAlignment w:val="auto"/>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我方对以上承诺负全部法律责任。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firstLine="560" w:firstLineChars="200"/>
        <w:jc w:val="left"/>
        <w:textAlignment w:val="auto"/>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特此承诺。</w:t>
      </w:r>
    </w:p>
    <w:p>
      <w:pPr>
        <w:tabs>
          <w:tab w:val="left" w:pos="6300"/>
        </w:tabs>
        <w:snapToGrid w:val="0"/>
        <w:spacing w:line="312" w:lineRule="auto"/>
        <w:jc w:val="center"/>
        <w:rPr>
          <w:rFonts w:hint="default" w:ascii="Times New Roman" w:hAnsi="Times New Roman" w:eastAsia="方正小标宋_GBK" w:cs="Times New Roman"/>
          <w:color w:val="auto"/>
          <w:szCs w:val="28"/>
          <w:highlight w:val="none"/>
        </w:rPr>
      </w:pPr>
    </w:p>
    <w:p>
      <w:pPr>
        <w:tabs>
          <w:tab w:val="left" w:pos="6300"/>
        </w:tabs>
        <w:snapToGrid w:val="0"/>
        <w:spacing w:line="312" w:lineRule="auto"/>
        <w:jc w:val="right"/>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供应商名称（公章）</w:t>
      </w:r>
    </w:p>
    <w:p>
      <w:pPr>
        <w:tabs>
          <w:tab w:val="left" w:pos="6300"/>
        </w:tabs>
        <w:snapToGrid w:val="0"/>
        <w:spacing w:line="312" w:lineRule="auto"/>
        <w:jc w:val="right"/>
        <w:rPr>
          <w:rFonts w:hint="default" w:ascii="Times New Roman" w:hAnsi="Times New Roman" w:eastAsia="方正小标宋_GBK" w:cs="Times New Roman"/>
          <w:color w:val="auto"/>
          <w:szCs w:val="28"/>
          <w:highlight w:val="none"/>
        </w:rPr>
      </w:pPr>
      <w:r>
        <w:rPr>
          <w:rFonts w:hint="default" w:ascii="Times New Roman" w:hAnsi="Times New Roman" w:eastAsia="方正小标宋_GBK" w:cs="Times New Roman"/>
          <w:color w:val="auto"/>
          <w:szCs w:val="28"/>
          <w:highlight w:val="none"/>
        </w:rPr>
        <w:t>年   月   日</w:t>
      </w:r>
    </w:p>
    <w:p>
      <w:pPr>
        <w:spacing w:line="560" w:lineRule="exact"/>
        <w:ind w:firstLine="643" w:firstLineChars="200"/>
        <w:rPr>
          <w:rFonts w:ascii="方正仿宋_GBK" w:hAnsi="仿宋" w:eastAsia="方正仿宋_GBK"/>
          <w:b/>
          <w:snapToGrid w:val="0"/>
          <w:color w:val="000000"/>
          <w:kern w:val="0"/>
          <w:sz w:val="32"/>
          <w:szCs w:val="32"/>
          <w:highlight w:val="none"/>
        </w:rPr>
      </w:pPr>
    </w:p>
    <w:p>
      <w:pPr>
        <w:spacing w:line="560" w:lineRule="exact"/>
        <w:ind w:firstLine="643" w:firstLineChars="200"/>
        <w:rPr>
          <w:rFonts w:ascii="方正仿宋_GBK" w:hAnsi="仿宋" w:eastAsia="方正仿宋_GBK"/>
          <w:b/>
          <w:snapToGrid w:val="0"/>
          <w:color w:val="000000"/>
          <w:kern w:val="0"/>
          <w:sz w:val="32"/>
          <w:szCs w:val="32"/>
          <w:highlight w:val="none"/>
        </w:rPr>
      </w:pPr>
    </w:p>
    <w:p>
      <w:pPr>
        <w:spacing w:line="560" w:lineRule="exact"/>
        <w:ind w:right="560"/>
        <w:jc w:val="center"/>
        <w:rPr>
          <w:rFonts w:ascii="方正仿宋_GBK" w:hAnsi="华文中宋" w:eastAsia="方正仿宋_GBK"/>
          <w:color w:val="000000"/>
          <w:spacing w:val="-18"/>
          <w:sz w:val="32"/>
          <w:szCs w:val="32"/>
          <w:highlight w:val="none"/>
        </w:rPr>
      </w:pPr>
    </w:p>
    <w:p>
      <w:pPr>
        <w:spacing w:line="560" w:lineRule="exact"/>
        <w:ind w:right="560"/>
        <w:jc w:val="both"/>
        <w:rPr>
          <w:rFonts w:ascii="方正仿宋_GBK" w:hAnsi="华文中宋" w:eastAsia="方正仿宋_GBK"/>
          <w:color w:val="000000"/>
          <w:spacing w:val="-18"/>
          <w:sz w:val="32"/>
          <w:szCs w:val="32"/>
          <w:highlight w:val="none"/>
        </w:rPr>
      </w:pPr>
    </w:p>
    <w:p>
      <w:pPr>
        <w:spacing w:line="560" w:lineRule="exact"/>
        <w:ind w:right="560"/>
        <w:jc w:val="center"/>
        <w:rPr>
          <w:rFonts w:ascii="方正仿宋_GBK" w:hAnsi="华文中宋" w:eastAsia="方正仿宋_GBK"/>
          <w:color w:val="000000"/>
          <w:spacing w:val="-18"/>
          <w:sz w:val="32"/>
          <w:szCs w:val="32"/>
          <w:highlight w:val="none"/>
        </w:rPr>
      </w:pPr>
      <w:r>
        <w:rPr>
          <w:rFonts w:hint="eastAsia" w:ascii="方正仿宋_GBK" w:hAnsi="华文中宋" w:eastAsia="方正仿宋_GBK"/>
          <w:color w:val="000000"/>
          <w:spacing w:val="-18"/>
          <w:sz w:val="32"/>
          <w:szCs w:val="32"/>
          <w:highlight w:val="none"/>
        </w:rPr>
        <w:t>（三）技术部分</w:t>
      </w:r>
    </w:p>
    <w:p>
      <w:pPr>
        <w:tabs>
          <w:tab w:val="left" w:pos="6300"/>
        </w:tabs>
        <w:snapToGrid w:val="0"/>
        <w:spacing w:line="560" w:lineRule="exact"/>
        <w:ind w:right="768"/>
        <w:rPr>
          <w:rFonts w:ascii="方正仿宋_GBK" w:hAnsi="仿宋" w:eastAsia="方正仿宋_GBK"/>
          <w:snapToGrid w:val="0"/>
          <w:color w:val="000000"/>
          <w:kern w:val="0"/>
          <w:sz w:val="32"/>
          <w:szCs w:val="32"/>
          <w:highlight w:val="none"/>
        </w:rPr>
      </w:pPr>
      <w:r>
        <w:rPr>
          <w:rFonts w:hint="eastAsia" w:ascii="方正仿宋_GBK" w:hAnsi="仿宋" w:eastAsia="方正仿宋_GBK"/>
          <w:bCs/>
          <w:snapToGrid w:val="0"/>
          <w:color w:val="000000"/>
          <w:kern w:val="0"/>
          <w:sz w:val="32"/>
          <w:szCs w:val="32"/>
          <w:highlight w:val="none"/>
        </w:rPr>
        <w:t>服务方案</w:t>
      </w:r>
      <w:r>
        <w:rPr>
          <w:rFonts w:hint="eastAsia" w:ascii="方正仿宋_GBK" w:hAnsi="仿宋" w:eastAsia="方正仿宋_GBK"/>
          <w:snapToGrid w:val="0"/>
          <w:color w:val="000000"/>
          <w:kern w:val="0"/>
          <w:sz w:val="32"/>
          <w:szCs w:val="32"/>
          <w:highlight w:val="none"/>
          <w:lang w:eastAsia="zh-CN"/>
        </w:rPr>
        <w:t>，</w:t>
      </w:r>
      <w:r>
        <w:rPr>
          <w:rFonts w:hint="eastAsia" w:ascii="方正仿宋_GBK" w:hAnsi="仿宋" w:eastAsia="方正仿宋_GBK"/>
          <w:snapToGrid w:val="0"/>
          <w:color w:val="000000"/>
          <w:kern w:val="0"/>
          <w:sz w:val="32"/>
          <w:szCs w:val="32"/>
          <w:highlight w:val="none"/>
        </w:rPr>
        <w:t>格式自定</w:t>
      </w:r>
    </w:p>
    <w:p>
      <w:pPr>
        <w:spacing w:line="560" w:lineRule="exact"/>
        <w:ind w:right="560"/>
        <w:jc w:val="center"/>
        <w:rPr>
          <w:rFonts w:ascii="方正仿宋_GBK" w:hAnsi="华文中宋" w:eastAsia="方正仿宋_GBK"/>
          <w:color w:val="000000"/>
          <w:spacing w:val="-18"/>
          <w:sz w:val="32"/>
          <w:szCs w:val="32"/>
          <w:highlight w:val="none"/>
        </w:rPr>
      </w:pPr>
    </w:p>
    <w:p>
      <w:pPr>
        <w:widowControl/>
        <w:spacing w:line="560" w:lineRule="exact"/>
        <w:jc w:val="left"/>
        <w:rPr>
          <w:rFonts w:ascii="方正仿宋_GBK" w:hAnsi="华文中宋" w:eastAsia="方正仿宋_GBK"/>
          <w:color w:val="000000"/>
          <w:spacing w:val="-18"/>
          <w:sz w:val="32"/>
          <w:szCs w:val="32"/>
          <w:highlight w:val="none"/>
        </w:rPr>
      </w:pPr>
      <w:r>
        <w:rPr>
          <w:rFonts w:hint="eastAsia" w:ascii="方正仿宋_GBK" w:hAnsi="华文中宋" w:eastAsia="方正仿宋_GBK"/>
          <w:color w:val="000000"/>
          <w:spacing w:val="-18"/>
          <w:sz w:val="32"/>
          <w:szCs w:val="32"/>
          <w:highlight w:val="none"/>
        </w:rPr>
        <w:br w:type="page"/>
      </w:r>
    </w:p>
    <w:p>
      <w:pPr>
        <w:spacing w:line="560" w:lineRule="exact"/>
        <w:ind w:right="560"/>
        <w:rPr>
          <w:rFonts w:ascii="方正仿宋_GBK" w:hAnsi="华文中宋" w:eastAsia="方正仿宋_GBK"/>
          <w:color w:val="000000"/>
          <w:spacing w:val="-18"/>
          <w:sz w:val="32"/>
          <w:szCs w:val="32"/>
          <w:highlight w:val="none"/>
        </w:rPr>
      </w:pPr>
      <w:r>
        <w:rPr>
          <w:rFonts w:hint="eastAsia" w:ascii="方正仿宋_GBK" w:hAnsi="华文中宋" w:eastAsia="方正仿宋_GBK"/>
          <w:color w:val="000000"/>
          <w:spacing w:val="-18"/>
          <w:sz w:val="32"/>
          <w:szCs w:val="32"/>
          <w:highlight w:val="none"/>
        </w:rPr>
        <w:t>（四）商务文件</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方正仿宋_GBK" w:eastAsia="方正仿宋_GBK" w:cs="方正仿宋_GBK"/>
          <w:bCs/>
          <w:snapToGrid w:val="0"/>
          <w:color w:val="000000"/>
          <w:kern w:val="0"/>
          <w:sz w:val="32"/>
          <w:szCs w:val="32"/>
          <w:highlight w:val="none"/>
        </w:rPr>
        <w:t>1.商务要求响应情况</w:t>
      </w:r>
      <w:r>
        <w:rPr>
          <w:rFonts w:hint="eastAsia" w:ascii="方正仿宋_GBK" w:hAnsi="方正仿宋_GBK" w:eastAsia="方正仿宋_GBK" w:cs="方正仿宋_GBK"/>
          <w:bCs/>
          <w:snapToGrid w:val="0"/>
          <w:color w:val="auto"/>
          <w:kern w:val="0"/>
          <w:sz w:val="32"/>
          <w:szCs w:val="32"/>
          <w:highlight w:val="none"/>
        </w:rPr>
        <w:t>（按竞争性磋商文件第三条提供有关响应情况）</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2.项目业绩证明</w:t>
      </w:r>
    </w:p>
    <w:p>
      <w:pPr>
        <w:spacing w:line="560" w:lineRule="exact"/>
        <w:ind w:firstLine="640" w:firstLineChars="200"/>
        <w:rPr>
          <w:rFonts w:ascii="方正仿宋_GBK" w:hAnsi="仿宋" w:eastAsia="方正仿宋_GBK"/>
          <w:snapToGrid w:val="0"/>
          <w:color w:val="000000"/>
          <w:kern w:val="0"/>
          <w:sz w:val="32"/>
          <w:szCs w:val="32"/>
          <w:highlight w:val="none"/>
        </w:rPr>
      </w:pPr>
      <w:r>
        <w:rPr>
          <w:rFonts w:hint="eastAsia" w:ascii="方正仿宋_GBK" w:hAnsi="仿宋" w:eastAsia="方正仿宋_GBK"/>
          <w:snapToGrid w:val="0"/>
          <w:color w:val="000000"/>
          <w:kern w:val="0"/>
          <w:sz w:val="32"/>
          <w:szCs w:val="32"/>
          <w:highlight w:val="none"/>
        </w:rPr>
        <w:t>3.其它与项目有关的资料（自附）</w:t>
      </w: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spacing w:line="560" w:lineRule="exact"/>
        <w:ind w:firstLine="640" w:firstLineChars="200"/>
        <w:rPr>
          <w:rFonts w:ascii="方正仿宋_GBK" w:hAnsi="方正仿宋_GBK" w:eastAsia="方正仿宋_GBK" w:cs="方正仿宋_GBK"/>
          <w:bCs/>
          <w:snapToGrid w:val="0"/>
          <w:color w:val="000000"/>
          <w:kern w:val="0"/>
          <w:sz w:val="32"/>
          <w:szCs w:val="32"/>
          <w:highlight w:val="none"/>
        </w:rPr>
      </w:pPr>
    </w:p>
    <w:p>
      <w:pPr>
        <w:tabs>
          <w:tab w:val="left" w:pos="6300"/>
        </w:tabs>
        <w:snapToGrid w:val="0"/>
        <w:spacing w:line="560" w:lineRule="exact"/>
        <w:rPr>
          <w:rFonts w:ascii="方正仿宋_GBK" w:hAnsi="仿宋_GB2312" w:eastAsia="方正仿宋_GBK" w:cs="仿宋_GB2312"/>
          <w:sz w:val="32"/>
          <w:szCs w:val="32"/>
          <w:highlight w:val="none"/>
        </w:rPr>
      </w:pPr>
    </w:p>
    <w:p>
      <w:pPr>
        <w:pStyle w:val="20"/>
        <w:rPr>
          <w:rFonts w:ascii="方正仿宋_GBK" w:hAnsi="仿宋_GB2312" w:eastAsia="方正仿宋_GBK" w:cs="仿宋_GB2312"/>
          <w:sz w:val="32"/>
          <w:szCs w:val="32"/>
          <w:highlight w:val="none"/>
        </w:rPr>
      </w:pPr>
    </w:p>
    <w:p>
      <w:pPr>
        <w:rPr>
          <w:highlight w:val="none"/>
        </w:rPr>
      </w:pPr>
    </w:p>
    <w:p>
      <w:pPr>
        <w:pStyle w:val="20"/>
        <w:rPr>
          <w:highlight w:val="none"/>
        </w:rPr>
      </w:pPr>
    </w:p>
    <w:p>
      <w:pPr>
        <w:tabs>
          <w:tab w:val="left" w:pos="6300"/>
        </w:tabs>
        <w:snapToGrid w:val="0"/>
        <w:spacing w:line="560" w:lineRule="exact"/>
        <w:rPr>
          <w:rFonts w:hint="eastAsia" w:ascii="方正仿宋_GBK" w:hAnsi="仿宋_GB2312" w:eastAsia="方正仿宋_GBK" w:cs="仿宋_GB2312"/>
          <w:sz w:val="32"/>
          <w:szCs w:val="32"/>
          <w:highlight w:val="none"/>
        </w:rPr>
      </w:pPr>
    </w:p>
    <w:p>
      <w:pPr>
        <w:tabs>
          <w:tab w:val="left" w:pos="6300"/>
        </w:tabs>
        <w:snapToGrid w:val="0"/>
        <w:spacing w:line="560" w:lineRule="exact"/>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商务响应</w:t>
      </w:r>
      <w:r>
        <w:rPr>
          <w:rFonts w:hint="eastAsia" w:ascii="方正仿宋_GBK" w:hAnsi="仿宋_GB2312" w:eastAsia="方正仿宋_GBK" w:cs="仿宋_GB2312"/>
          <w:sz w:val="32"/>
          <w:szCs w:val="32"/>
          <w:highlight w:val="none"/>
          <w:lang w:eastAsia="zh-CN"/>
        </w:rPr>
        <w:t>情况</w:t>
      </w:r>
      <w:r>
        <w:rPr>
          <w:rFonts w:hint="eastAsia" w:ascii="方正仿宋_GBK" w:hAnsi="仿宋_GB2312" w:eastAsia="方正仿宋_GBK" w:cs="仿宋_GB2312"/>
          <w:sz w:val="32"/>
          <w:szCs w:val="32"/>
          <w:highlight w:val="none"/>
        </w:rPr>
        <w:t>表</w:t>
      </w:r>
    </w:p>
    <w:p>
      <w:pPr>
        <w:pStyle w:val="9"/>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jc w:val="left"/>
        <w:textAlignment w:val="auto"/>
        <w:outlineLvl w:val="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采购项目名称：</w:t>
      </w:r>
    </w:p>
    <w:tbl>
      <w:tblPr>
        <w:tblStyle w:val="19"/>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序号</w:t>
            </w: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采购需求</w:t>
            </w: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响应情况</w:t>
            </w: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658"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759"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c>
          <w:tcPr>
            <w:tcW w:w="2067" w:type="dxa"/>
            <w:vAlign w:val="center"/>
          </w:tcPr>
          <w:p>
            <w:pPr>
              <w:tabs>
                <w:tab w:val="left" w:pos="6300"/>
              </w:tabs>
              <w:snapToGrid w:val="0"/>
              <w:spacing w:line="560" w:lineRule="exact"/>
              <w:jc w:val="center"/>
              <w:outlineLvl w:val="0"/>
              <w:rPr>
                <w:rFonts w:ascii="方正仿宋_GBK" w:hAnsi="仿宋_GB2312" w:eastAsia="方正仿宋_GBK" w:cs="仿宋_GB2312"/>
                <w:sz w:val="32"/>
                <w:szCs w:val="32"/>
                <w:highlight w:val="none"/>
              </w:rPr>
            </w:pPr>
          </w:p>
        </w:tc>
      </w:tr>
    </w:tbl>
    <w:p>
      <w:pPr>
        <w:spacing w:line="560" w:lineRule="exact"/>
        <w:ind w:firstLine="480" w:firstLineChars="15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供应商：                           法人授权代表：</w:t>
      </w:r>
    </w:p>
    <w:p>
      <w:pPr>
        <w:spacing w:line="560" w:lineRule="exact"/>
        <w:rPr>
          <w:rFonts w:ascii="方正仿宋_GBK" w:hAnsi="仿宋_GB2312" w:eastAsia="方正仿宋_GBK" w:cs="仿宋_GB2312"/>
          <w:sz w:val="32"/>
          <w:szCs w:val="32"/>
          <w:highlight w:val="none"/>
        </w:rPr>
      </w:pPr>
    </w:p>
    <w:p>
      <w:pPr>
        <w:spacing w:line="560" w:lineRule="exact"/>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（供应商公章）                      （签字或盖章）</w:t>
      </w:r>
    </w:p>
    <w:p>
      <w:pPr>
        <w:tabs>
          <w:tab w:val="left" w:pos="6300"/>
        </w:tabs>
        <w:snapToGrid w:val="0"/>
        <w:spacing w:line="560" w:lineRule="exact"/>
        <w:ind w:firstLine="57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年  月   日</w:t>
      </w:r>
    </w:p>
    <w:p>
      <w:pPr>
        <w:tabs>
          <w:tab w:val="left" w:pos="6300"/>
        </w:tabs>
        <w:snapToGrid w:val="0"/>
        <w:spacing w:line="560" w:lineRule="exact"/>
        <w:ind w:firstLine="640" w:firstLineChars="20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注：1.该表必须按照竞争性</w:t>
      </w:r>
      <w:r>
        <w:rPr>
          <w:rFonts w:hint="eastAsia" w:ascii="方正仿宋_GBK" w:hAnsi="仿宋_GB2312" w:eastAsia="方正仿宋_GBK" w:cs="仿宋_GB2312"/>
          <w:sz w:val="32"/>
          <w:szCs w:val="32"/>
          <w:highlight w:val="none"/>
          <w:lang w:eastAsia="zh-CN"/>
        </w:rPr>
        <w:t>磋商</w:t>
      </w:r>
      <w:r>
        <w:rPr>
          <w:rFonts w:hint="eastAsia" w:ascii="方正仿宋_GBK" w:hAnsi="仿宋_GB2312" w:eastAsia="方正仿宋_GBK" w:cs="仿宋_GB2312"/>
          <w:sz w:val="32"/>
          <w:szCs w:val="32"/>
          <w:highlight w:val="none"/>
        </w:rPr>
        <w:t>要求逐条如实填写，根据响应情况在“差异说明”项填写正偏离或负偏离及原因，完全符合的填写“无差异”；</w:t>
      </w:r>
    </w:p>
    <w:p>
      <w:pPr>
        <w:tabs>
          <w:tab w:val="left" w:pos="6300"/>
        </w:tabs>
        <w:snapToGrid w:val="0"/>
        <w:spacing w:line="560" w:lineRule="exact"/>
        <w:ind w:firstLine="640" w:firstLineChars="200"/>
        <w:rPr>
          <w:rFonts w:ascii="方正仿宋_GBK" w:hAnsi="仿宋_GB2312" w:eastAsia="方正仿宋_GBK" w:cs="仿宋_GB2312"/>
          <w:color w:val="FF0000"/>
          <w:sz w:val="32"/>
          <w:szCs w:val="32"/>
          <w:highlight w:val="none"/>
        </w:rPr>
      </w:pPr>
      <w:r>
        <w:rPr>
          <w:rFonts w:hint="eastAsia" w:ascii="方正仿宋_GBK" w:hAnsi="仿宋_GB2312" w:eastAsia="方正仿宋_GBK" w:cs="仿宋_GB2312"/>
          <w:color w:val="000000"/>
          <w:sz w:val="32"/>
          <w:szCs w:val="32"/>
          <w:highlight w:val="none"/>
        </w:rPr>
        <w:t xml:space="preserve">   2.该表可扩展，并逐页签字或盖章；</w:t>
      </w:r>
    </w:p>
    <w:p>
      <w:pPr>
        <w:tabs>
          <w:tab w:val="left" w:pos="6300"/>
        </w:tabs>
        <w:snapToGrid w:val="0"/>
        <w:spacing w:line="560" w:lineRule="exact"/>
        <w:ind w:firstLine="640" w:firstLineChars="20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 xml:space="preserve">   3.可附相关技术支撑材料。（格式自定）</w:t>
      </w:r>
    </w:p>
    <w:p>
      <w:pPr>
        <w:tabs>
          <w:tab w:val="left" w:pos="6300"/>
        </w:tabs>
        <w:snapToGrid w:val="0"/>
        <w:spacing w:line="560" w:lineRule="exact"/>
        <w:ind w:firstLine="640" w:firstLineChars="200"/>
        <w:rPr>
          <w:rFonts w:ascii="方正仿宋_GBK" w:hAnsi="仿宋_GB2312" w:eastAsia="方正仿宋_GBK" w:cs="仿宋_GB2312"/>
          <w:sz w:val="32"/>
          <w:szCs w:val="32"/>
          <w:highlight w:val="none"/>
        </w:rPr>
      </w:pPr>
      <w:r>
        <w:rPr>
          <w:rFonts w:hint="eastAsia" w:ascii="方正仿宋_GBK" w:hAnsi="仿宋_GB2312" w:eastAsia="方正仿宋_GBK" w:cs="仿宋_GB2312"/>
          <w:sz w:val="32"/>
          <w:szCs w:val="32"/>
          <w:highlight w:val="none"/>
        </w:rPr>
        <w:t xml:space="preserve">   4.“响应情况”栏中填写“实质性描述，未按要求填写的供应商将失去成为成交供应商的资格，仅保留其合格供应商的身份。</w:t>
      </w:r>
    </w:p>
    <w:p>
      <w:pPr>
        <w:tabs>
          <w:tab w:val="left" w:pos="6300"/>
        </w:tabs>
        <w:snapToGrid w:val="0"/>
        <w:spacing w:line="560" w:lineRule="exact"/>
        <w:ind w:firstLine="640" w:firstLineChars="200"/>
        <w:rPr>
          <w:rFonts w:ascii="方正仿宋_GBK" w:hAnsi="仿宋_GB2312" w:eastAsia="方正仿宋_GBK" w:cs="仿宋_GB2312"/>
          <w:sz w:val="32"/>
          <w:szCs w:val="32"/>
          <w:highlight w:val="none"/>
        </w:rPr>
      </w:pPr>
    </w:p>
    <w:sectPr>
      <w:headerReference r:id="rId12" w:type="default"/>
      <w:footerReference r:id="rId13" w:type="default"/>
      <w:footerReference r:id="rId14" w:type="even"/>
      <w:pgSz w:w="11907" w:h="16840"/>
      <w:pgMar w:top="1440" w:right="1797" w:bottom="1440" w:left="1797"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t>3</w:t>
    </w:r>
    <w:r>
      <w:rPr>
        <w:sz w:val="28"/>
        <w:szCs w:val="28"/>
      </w:rPr>
      <w:fldChar w:fldCharType="end"/>
    </w:r>
    <w:r>
      <w:rPr>
        <w:sz w:val="28"/>
        <w:szCs w:val="28"/>
      </w:rPr>
      <w:t>—</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t>4</w:t>
    </w:r>
    <w:r>
      <w:rPr>
        <w:sz w:val="28"/>
        <w:szCs w:val="28"/>
      </w:rPr>
      <w:fldChar w:fldCharType="end"/>
    </w:r>
    <w:r>
      <w:rPr>
        <w:sz w:val="28"/>
        <w:szCs w:val="28"/>
      </w:rPr>
      <w:t>—</w: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rStyle w:val="18"/>
        <w:sz w:val="24"/>
      </w:rPr>
      <w:fldChar w:fldCharType="begin"/>
    </w:r>
    <w:r>
      <w:rPr>
        <w:rStyle w:val="18"/>
        <w:sz w:val="24"/>
      </w:rPr>
      <w:instrText xml:space="preserve"> PAGE </w:instrText>
    </w:r>
    <w:r>
      <w:rPr>
        <w:rStyle w:val="18"/>
        <w:sz w:val="24"/>
      </w:rPr>
      <w:fldChar w:fldCharType="separate"/>
    </w:r>
    <w:r>
      <w:rPr>
        <w:rStyle w:val="18"/>
        <w:sz w:val="24"/>
      </w:rPr>
      <w:t>17</w:t>
    </w:r>
    <w:r>
      <w:rPr>
        <w:rStyle w:val="18"/>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16</w:t>
    </w:r>
    <w:r>
      <w:rPr>
        <w:rStyle w:val="18"/>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rStyle w:val="18"/>
        <w:sz w:val="24"/>
      </w:rPr>
      <w:fldChar w:fldCharType="begin"/>
    </w:r>
    <w:r>
      <w:rPr>
        <w:rStyle w:val="18"/>
        <w:sz w:val="24"/>
      </w:rPr>
      <w:instrText xml:space="preserve"> PAGE </w:instrText>
    </w:r>
    <w:r>
      <w:rPr>
        <w:rStyle w:val="18"/>
        <w:sz w:val="24"/>
      </w:rPr>
      <w:fldChar w:fldCharType="separate"/>
    </w:r>
    <w:r>
      <w:rPr>
        <w:rStyle w:val="18"/>
        <w:sz w:val="24"/>
      </w:rPr>
      <w:t>17</w:t>
    </w:r>
    <w:r>
      <w:rPr>
        <w:rStyle w:val="18"/>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16</w:t>
    </w:r>
    <w:r>
      <w:rPr>
        <w:rStyle w:val="18"/>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61DBD"/>
    <w:multiLevelType w:val="multilevel"/>
    <w:tmpl w:val="5CA61DB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F362212"/>
    <w:multiLevelType w:val="singleLevel"/>
    <w:tmpl w:val="5F362212"/>
    <w:lvl w:ilvl="0" w:tentative="0">
      <w:start w:val="4"/>
      <w:numFmt w:val="chineseCounting"/>
      <w:suff w:val="nothing"/>
      <w:lvlText w:val="（%1）"/>
      <w:lvlJc w:val="left"/>
    </w:lvl>
  </w:abstractNum>
  <w:abstractNum w:abstractNumId="2">
    <w:nsid w:val="5F3646E0"/>
    <w:multiLevelType w:val="singleLevel"/>
    <w:tmpl w:val="5F3646E0"/>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ZTIyZDU2ZWY2NjI0ZWQwMmZlNmZlNzNmYTZkNTQifQ=="/>
  </w:docVars>
  <w:rsids>
    <w:rsidRoot w:val="000B1D29"/>
    <w:rsid w:val="000059B9"/>
    <w:rsid w:val="00007AA7"/>
    <w:rsid w:val="0001041E"/>
    <w:rsid w:val="00016FAF"/>
    <w:rsid w:val="00025FE3"/>
    <w:rsid w:val="00026E98"/>
    <w:rsid w:val="00030191"/>
    <w:rsid w:val="00030B22"/>
    <w:rsid w:val="0003115D"/>
    <w:rsid w:val="0006415C"/>
    <w:rsid w:val="0006655A"/>
    <w:rsid w:val="00083834"/>
    <w:rsid w:val="000942E7"/>
    <w:rsid w:val="000A02AA"/>
    <w:rsid w:val="000A4317"/>
    <w:rsid w:val="000A607A"/>
    <w:rsid w:val="000A6834"/>
    <w:rsid w:val="000A6FB0"/>
    <w:rsid w:val="000B03E5"/>
    <w:rsid w:val="000B1D29"/>
    <w:rsid w:val="000C1142"/>
    <w:rsid w:val="000E2518"/>
    <w:rsid w:val="000E7A49"/>
    <w:rsid w:val="000F5314"/>
    <w:rsid w:val="00101609"/>
    <w:rsid w:val="00103873"/>
    <w:rsid w:val="00106CD7"/>
    <w:rsid w:val="0010707A"/>
    <w:rsid w:val="00110247"/>
    <w:rsid w:val="00117647"/>
    <w:rsid w:val="00120B0B"/>
    <w:rsid w:val="00125FE9"/>
    <w:rsid w:val="00127813"/>
    <w:rsid w:val="00127C09"/>
    <w:rsid w:val="00144B75"/>
    <w:rsid w:val="00167479"/>
    <w:rsid w:val="00181904"/>
    <w:rsid w:val="001909A6"/>
    <w:rsid w:val="00191005"/>
    <w:rsid w:val="00193147"/>
    <w:rsid w:val="0019588B"/>
    <w:rsid w:val="001C278E"/>
    <w:rsid w:val="001C44A6"/>
    <w:rsid w:val="001C4D40"/>
    <w:rsid w:val="001E6F25"/>
    <w:rsid w:val="001F16D3"/>
    <w:rsid w:val="0020582C"/>
    <w:rsid w:val="00207DF3"/>
    <w:rsid w:val="00214F89"/>
    <w:rsid w:val="00220150"/>
    <w:rsid w:val="00226E43"/>
    <w:rsid w:val="00236D4D"/>
    <w:rsid w:val="00254F17"/>
    <w:rsid w:val="002642E4"/>
    <w:rsid w:val="00265CCF"/>
    <w:rsid w:val="002671FA"/>
    <w:rsid w:val="002706A2"/>
    <w:rsid w:val="0027789C"/>
    <w:rsid w:val="0028650C"/>
    <w:rsid w:val="00292B3F"/>
    <w:rsid w:val="002A32C7"/>
    <w:rsid w:val="002A613C"/>
    <w:rsid w:val="002B0F98"/>
    <w:rsid w:val="002B1F82"/>
    <w:rsid w:val="002B495D"/>
    <w:rsid w:val="002B7D2D"/>
    <w:rsid w:val="002C2420"/>
    <w:rsid w:val="002C3A87"/>
    <w:rsid w:val="002C595E"/>
    <w:rsid w:val="002D0833"/>
    <w:rsid w:val="002D1A65"/>
    <w:rsid w:val="002D209C"/>
    <w:rsid w:val="002E0F0C"/>
    <w:rsid w:val="002E7516"/>
    <w:rsid w:val="002F6118"/>
    <w:rsid w:val="002F6963"/>
    <w:rsid w:val="00302AE1"/>
    <w:rsid w:val="003129F4"/>
    <w:rsid w:val="00320E66"/>
    <w:rsid w:val="0032708E"/>
    <w:rsid w:val="003332C0"/>
    <w:rsid w:val="00333D90"/>
    <w:rsid w:val="00334A39"/>
    <w:rsid w:val="00343731"/>
    <w:rsid w:val="00343AF3"/>
    <w:rsid w:val="00360C73"/>
    <w:rsid w:val="00370E7D"/>
    <w:rsid w:val="003710F2"/>
    <w:rsid w:val="0037334D"/>
    <w:rsid w:val="003853F0"/>
    <w:rsid w:val="003971C8"/>
    <w:rsid w:val="003A2EC7"/>
    <w:rsid w:val="003A4DBB"/>
    <w:rsid w:val="003A6C48"/>
    <w:rsid w:val="003B06EB"/>
    <w:rsid w:val="003C1A07"/>
    <w:rsid w:val="003C212E"/>
    <w:rsid w:val="003C3AA7"/>
    <w:rsid w:val="003D56EC"/>
    <w:rsid w:val="003E2D46"/>
    <w:rsid w:val="003F4515"/>
    <w:rsid w:val="00412C3E"/>
    <w:rsid w:val="004175DB"/>
    <w:rsid w:val="00437362"/>
    <w:rsid w:val="00440E72"/>
    <w:rsid w:val="00450AFF"/>
    <w:rsid w:val="00455CB6"/>
    <w:rsid w:val="00467778"/>
    <w:rsid w:val="00471774"/>
    <w:rsid w:val="00472265"/>
    <w:rsid w:val="004769AD"/>
    <w:rsid w:val="00481BBC"/>
    <w:rsid w:val="00490C7E"/>
    <w:rsid w:val="00492007"/>
    <w:rsid w:val="004B3E7C"/>
    <w:rsid w:val="004C014F"/>
    <w:rsid w:val="004D024D"/>
    <w:rsid w:val="004F0337"/>
    <w:rsid w:val="004F6E5F"/>
    <w:rsid w:val="00500EC3"/>
    <w:rsid w:val="00507F48"/>
    <w:rsid w:val="00515E76"/>
    <w:rsid w:val="00523A0A"/>
    <w:rsid w:val="00535FCE"/>
    <w:rsid w:val="00552F8D"/>
    <w:rsid w:val="0056199B"/>
    <w:rsid w:val="00561C18"/>
    <w:rsid w:val="005668F3"/>
    <w:rsid w:val="005671C5"/>
    <w:rsid w:val="005702C1"/>
    <w:rsid w:val="00574FC1"/>
    <w:rsid w:val="00586114"/>
    <w:rsid w:val="0059563E"/>
    <w:rsid w:val="00596144"/>
    <w:rsid w:val="00597BF2"/>
    <w:rsid w:val="005A2D93"/>
    <w:rsid w:val="005A6A6C"/>
    <w:rsid w:val="005B1762"/>
    <w:rsid w:val="005B28B3"/>
    <w:rsid w:val="005B4130"/>
    <w:rsid w:val="005C08FD"/>
    <w:rsid w:val="005D3E50"/>
    <w:rsid w:val="005F1443"/>
    <w:rsid w:val="005F24E8"/>
    <w:rsid w:val="005F373C"/>
    <w:rsid w:val="005F3814"/>
    <w:rsid w:val="00600640"/>
    <w:rsid w:val="006055C4"/>
    <w:rsid w:val="006152A7"/>
    <w:rsid w:val="00617E4E"/>
    <w:rsid w:val="00622DC2"/>
    <w:rsid w:val="00635740"/>
    <w:rsid w:val="0064669A"/>
    <w:rsid w:val="00654601"/>
    <w:rsid w:val="00666F9B"/>
    <w:rsid w:val="00666FCC"/>
    <w:rsid w:val="00676F19"/>
    <w:rsid w:val="0067773A"/>
    <w:rsid w:val="00690F14"/>
    <w:rsid w:val="00693162"/>
    <w:rsid w:val="006972AB"/>
    <w:rsid w:val="006A0241"/>
    <w:rsid w:val="006A1CD7"/>
    <w:rsid w:val="006A423D"/>
    <w:rsid w:val="006B47E4"/>
    <w:rsid w:val="006B6AB4"/>
    <w:rsid w:val="006B7D7D"/>
    <w:rsid w:val="006C1263"/>
    <w:rsid w:val="006D524B"/>
    <w:rsid w:val="006E50EF"/>
    <w:rsid w:val="006E5C81"/>
    <w:rsid w:val="0071058A"/>
    <w:rsid w:val="007457FD"/>
    <w:rsid w:val="00771C5A"/>
    <w:rsid w:val="007725F3"/>
    <w:rsid w:val="00773A9C"/>
    <w:rsid w:val="00777271"/>
    <w:rsid w:val="00777BAD"/>
    <w:rsid w:val="00784F3F"/>
    <w:rsid w:val="00785C4B"/>
    <w:rsid w:val="00786D39"/>
    <w:rsid w:val="007901F6"/>
    <w:rsid w:val="007977CD"/>
    <w:rsid w:val="007A5BC1"/>
    <w:rsid w:val="007C6D04"/>
    <w:rsid w:val="007D6DBE"/>
    <w:rsid w:val="007D7654"/>
    <w:rsid w:val="007D79A7"/>
    <w:rsid w:val="007E0ED8"/>
    <w:rsid w:val="007E30D4"/>
    <w:rsid w:val="007E32E4"/>
    <w:rsid w:val="007F2E9B"/>
    <w:rsid w:val="007F6E8B"/>
    <w:rsid w:val="008076FF"/>
    <w:rsid w:val="00823B67"/>
    <w:rsid w:val="00823CA8"/>
    <w:rsid w:val="008259EF"/>
    <w:rsid w:val="00830581"/>
    <w:rsid w:val="008421E6"/>
    <w:rsid w:val="0085283E"/>
    <w:rsid w:val="00854986"/>
    <w:rsid w:val="00856D3A"/>
    <w:rsid w:val="008760C7"/>
    <w:rsid w:val="008934F5"/>
    <w:rsid w:val="008966E5"/>
    <w:rsid w:val="008B4767"/>
    <w:rsid w:val="008C2F4F"/>
    <w:rsid w:val="008C3633"/>
    <w:rsid w:val="008C4035"/>
    <w:rsid w:val="008D0F46"/>
    <w:rsid w:val="008D29D5"/>
    <w:rsid w:val="008D576B"/>
    <w:rsid w:val="008D5B57"/>
    <w:rsid w:val="008F3917"/>
    <w:rsid w:val="009000C3"/>
    <w:rsid w:val="00900F34"/>
    <w:rsid w:val="009143F8"/>
    <w:rsid w:val="00915DF5"/>
    <w:rsid w:val="00940F0C"/>
    <w:rsid w:val="0094266C"/>
    <w:rsid w:val="00947578"/>
    <w:rsid w:val="00965866"/>
    <w:rsid w:val="009749F7"/>
    <w:rsid w:val="009831B2"/>
    <w:rsid w:val="00991BFE"/>
    <w:rsid w:val="009945F8"/>
    <w:rsid w:val="00995025"/>
    <w:rsid w:val="009A0141"/>
    <w:rsid w:val="009A3716"/>
    <w:rsid w:val="009A749E"/>
    <w:rsid w:val="009A7979"/>
    <w:rsid w:val="009B489F"/>
    <w:rsid w:val="009C3D39"/>
    <w:rsid w:val="009C6988"/>
    <w:rsid w:val="009C773E"/>
    <w:rsid w:val="009D44C5"/>
    <w:rsid w:val="009E0FF2"/>
    <w:rsid w:val="009E2CA0"/>
    <w:rsid w:val="009E77D9"/>
    <w:rsid w:val="009E7B20"/>
    <w:rsid w:val="009F4CC8"/>
    <w:rsid w:val="00A035EB"/>
    <w:rsid w:val="00A05AA4"/>
    <w:rsid w:val="00A13EEC"/>
    <w:rsid w:val="00A21A03"/>
    <w:rsid w:val="00A41728"/>
    <w:rsid w:val="00A43CA0"/>
    <w:rsid w:val="00A51C3F"/>
    <w:rsid w:val="00A54FEA"/>
    <w:rsid w:val="00A65C88"/>
    <w:rsid w:val="00A6689C"/>
    <w:rsid w:val="00A70646"/>
    <w:rsid w:val="00A85665"/>
    <w:rsid w:val="00A93AA5"/>
    <w:rsid w:val="00A97D14"/>
    <w:rsid w:val="00AA7540"/>
    <w:rsid w:val="00AB3189"/>
    <w:rsid w:val="00AB68C4"/>
    <w:rsid w:val="00AC2AC2"/>
    <w:rsid w:val="00AC3EAD"/>
    <w:rsid w:val="00AE2395"/>
    <w:rsid w:val="00AE390B"/>
    <w:rsid w:val="00B068BF"/>
    <w:rsid w:val="00B10C18"/>
    <w:rsid w:val="00B12269"/>
    <w:rsid w:val="00B216FA"/>
    <w:rsid w:val="00B222D6"/>
    <w:rsid w:val="00B231C5"/>
    <w:rsid w:val="00B328A4"/>
    <w:rsid w:val="00B357DF"/>
    <w:rsid w:val="00B37E94"/>
    <w:rsid w:val="00B449D3"/>
    <w:rsid w:val="00B45AD6"/>
    <w:rsid w:val="00B460FB"/>
    <w:rsid w:val="00B722B0"/>
    <w:rsid w:val="00B80729"/>
    <w:rsid w:val="00B84D52"/>
    <w:rsid w:val="00B864BD"/>
    <w:rsid w:val="00B94455"/>
    <w:rsid w:val="00B97B7D"/>
    <w:rsid w:val="00BA56DF"/>
    <w:rsid w:val="00BB4921"/>
    <w:rsid w:val="00BB5451"/>
    <w:rsid w:val="00BC4A03"/>
    <w:rsid w:val="00BD10C0"/>
    <w:rsid w:val="00BE02B5"/>
    <w:rsid w:val="00BF0743"/>
    <w:rsid w:val="00BF3A36"/>
    <w:rsid w:val="00C059E5"/>
    <w:rsid w:val="00C06D87"/>
    <w:rsid w:val="00C229E9"/>
    <w:rsid w:val="00C26072"/>
    <w:rsid w:val="00C26493"/>
    <w:rsid w:val="00C3572E"/>
    <w:rsid w:val="00C42319"/>
    <w:rsid w:val="00C42554"/>
    <w:rsid w:val="00C470FD"/>
    <w:rsid w:val="00C47E93"/>
    <w:rsid w:val="00C54F71"/>
    <w:rsid w:val="00C55643"/>
    <w:rsid w:val="00C679E9"/>
    <w:rsid w:val="00C975F6"/>
    <w:rsid w:val="00CB389A"/>
    <w:rsid w:val="00CB58B1"/>
    <w:rsid w:val="00CC2D6A"/>
    <w:rsid w:val="00CC557B"/>
    <w:rsid w:val="00CD347D"/>
    <w:rsid w:val="00CD7F60"/>
    <w:rsid w:val="00CE0D12"/>
    <w:rsid w:val="00CF2316"/>
    <w:rsid w:val="00CF617C"/>
    <w:rsid w:val="00D06C30"/>
    <w:rsid w:val="00D52A82"/>
    <w:rsid w:val="00D67125"/>
    <w:rsid w:val="00D75215"/>
    <w:rsid w:val="00D7663F"/>
    <w:rsid w:val="00D76692"/>
    <w:rsid w:val="00D854DC"/>
    <w:rsid w:val="00D860C3"/>
    <w:rsid w:val="00D92638"/>
    <w:rsid w:val="00D94894"/>
    <w:rsid w:val="00D97686"/>
    <w:rsid w:val="00DA150E"/>
    <w:rsid w:val="00DA46FA"/>
    <w:rsid w:val="00DA4B66"/>
    <w:rsid w:val="00DB5C40"/>
    <w:rsid w:val="00DC11CA"/>
    <w:rsid w:val="00DC4465"/>
    <w:rsid w:val="00DC6746"/>
    <w:rsid w:val="00DC7F07"/>
    <w:rsid w:val="00DD1A26"/>
    <w:rsid w:val="00DD5A35"/>
    <w:rsid w:val="00DE1583"/>
    <w:rsid w:val="00DE1A5F"/>
    <w:rsid w:val="00DF0406"/>
    <w:rsid w:val="00DF35F1"/>
    <w:rsid w:val="00DF45F5"/>
    <w:rsid w:val="00DF56C4"/>
    <w:rsid w:val="00E02E19"/>
    <w:rsid w:val="00E03FC3"/>
    <w:rsid w:val="00E040F9"/>
    <w:rsid w:val="00E105D0"/>
    <w:rsid w:val="00E11235"/>
    <w:rsid w:val="00E21E3A"/>
    <w:rsid w:val="00E22CFE"/>
    <w:rsid w:val="00E23F16"/>
    <w:rsid w:val="00E247D6"/>
    <w:rsid w:val="00E44737"/>
    <w:rsid w:val="00E619B6"/>
    <w:rsid w:val="00E67EA3"/>
    <w:rsid w:val="00E72BA2"/>
    <w:rsid w:val="00E8728F"/>
    <w:rsid w:val="00E90A48"/>
    <w:rsid w:val="00E93AC5"/>
    <w:rsid w:val="00EA1EFD"/>
    <w:rsid w:val="00EA4434"/>
    <w:rsid w:val="00EA6AD8"/>
    <w:rsid w:val="00EC016C"/>
    <w:rsid w:val="00EC3F72"/>
    <w:rsid w:val="00EC5778"/>
    <w:rsid w:val="00ED0E0C"/>
    <w:rsid w:val="00ED6DD1"/>
    <w:rsid w:val="00ED75E2"/>
    <w:rsid w:val="00F172A9"/>
    <w:rsid w:val="00F233BE"/>
    <w:rsid w:val="00F26219"/>
    <w:rsid w:val="00F3369C"/>
    <w:rsid w:val="00F36D93"/>
    <w:rsid w:val="00F42630"/>
    <w:rsid w:val="00F51B53"/>
    <w:rsid w:val="00F573F7"/>
    <w:rsid w:val="00F57498"/>
    <w:rsid w:val="00F61B5C"/>
    <w:rsid w:val="00F61CA2"/>
    <w:rsid w:val="00F65078"/>
    <w:rsid w:val="00F7424A"/>
    <w:rsid w:val="00F7697C"/>
    <w:rsid w:val="00F80EFD"/>
    <w:rsid w:val="00F82E41"/>
    <w:rsid w:val="00F85B92"/>
    <w:rsid w:val="00FA4E84"/>
    <w:rsid w:val="00FC77BC"/>
    <w:rsid w:val="00FD2BBF"/>
    <w:rsid w:val="00FD3F9E"/>
    <w:rsid w:val="00FE1F74"/>
    <w:rsid w:val="021858E9"/>
    <w:rsid w:val="02BC4F94"/>
    <w:rsid w:val="02C12962"/>
    <w:rsid w:val="03350D7A"/>
    <w:rsid w:val="03F94F47"/>
    <w:rsid w:val="04B8550E"/>
    <w:rsid w:val="054E34EC"/>
    <w:rsid w:val="057D012D"/>
    <w:rsid w:val="05832EEA"/>
    <w:rsid w:val="05B41080"/>
    <w:rsid w:val="07A15675"/>
    <w:rsid w:val="080B2B73"/>
    <w:rsid w:val="081200CE"/>
    <w:rsid w:val="0A4459C6"/>
    <w:rsid w:val="0A60620A"/>
    <w:rsid w:val="0AB06683"/>
    <w:rsid w:val="0AC32D03"/>
    <w:rsid w:val="0D091CB1"/>
    <w:rsid w:val="0EBB6283"/>
    <w:rsid w:val="0EC70E68"/>
    <w:rsid w:val="0ECE4280"/>
    <w:rsid w:val="0F025B4D"/>
    <w:rsid w:val="102A0E33"/>
    <w:rsid w:val="107C30D8"/>
    <w:rsid w:val="11246945"/>
    <w:rsid w:val="12495F32"/>
    <w:rsid w:val="12B65E86"/>
    <w:rsid w:val="143544BE"/>
    <w:rsid w:val="14796D09"/>
    <w:rsid w:val="155D29CB"/>
    <w:rsid w:val="168751EB"/>
    <w:rsid w:val="16F56BC3"/>
    <w:rsid w:val="172066E9"/>
    <w:rsid w:val="178C197C"/>
    <w:rsid w:val="18554429"/>
    <w:rsid w:val="19E80368"/>
    <w:rsid w:val="1AFB6C13"/>
    <w:rsid w:val="1B901FC0"/>
    <w:rsid w:val="1C445B70"/>
    <w:rsid w:val="1C7779A0"/>
    <w:rsid w:val="1D5B079D"/>
    <w:rsid w:val="1DCE1021"/>
    <w:rsid w:val="1F5D618B"/>
    <w:rsid w:val="213552F7"/>
    <w:rsid w:val="215A7320"/>
    <w:rsid w:val="224801FC"/>
    <w:rsid w:val="22660C7F"/>
    <w:rsid w:val="23913958"/>
    <w:rsid w:val="25AF5718"/>
    <w:rsid w:val="264D7240"/>
    <w:rsid w:val="26B3411F"/>
    <w:rsid w:val="26E068D7"/>
    <w:rsid w:val="27B22E6D"/>
    <w:rsid w:val="28E637E6"/>
    <w:rsid w:val="29376BE4"/>
    <w:rsid w:val="295E0225"/>
    <w:rsid w:val="2A4170E3"/>
    <w:rsid w:val="2C0323A7"/>
    <w:rsid w:val="2C963BCF"/>
    <w:rsid w:val="2D084830"/>
    <w:rsid w:val="2D3F73C1"/>
    <w:rsid w:val="2EEF3D96"/>
    <w:rsid w:val="2F125421"/>
    <w:rsid w:val="2F6C1AF0"/>
    <w:rsid w:val="30006B42"/>
    <w:rsid w:val="309705D7"/>
    <w:rsid w:val="31015029"/>
    <w:rsid w:val="313A277C"/>
    <w:rsid w:val="31435EA8"/>
    <w:rsid w:val="34EE3E4F"/>
    <w:rsid w:val="355B2D7F"/>
    <w:rsid w:val="35EC3CA9"/>
    <w:rsid w:val="37503D31"/>
    <w:rsid w:val="37690773"/>
    <w:rsid w:val="37AB0B23"/>
    <w:rsid w:val="38E50C05"/>
    <w:rsid w:val="3A2101F9"/>
    <w:rsid w:val="3B9D1D90"/>
    <w:rsid w:val="3DD920B5"/>
    <w:rsid w:val="3EF74D2B"/>
    <w:rsid w:val="3F041251"/>
    <w:rsid w:val="40FF28D6"/>
    <w:rsid w:val="41526327"/>
    <w:rsid w:val="41FF0858"/>
    <w:rsid w:val="4220523B"/>
    <w:rsid w:val="42B1697A"/>
    <w:rsid w:val="43974C04"/>
    <w:rsid w:val="43D06460"/>
    <w:rsid w:val="443A6E39"/>
    <w:rsid w:val="452C439E"/>
    <w:rsid w:val="45707625"/>
    <w:rsid w:val="457A52C5"/>
    <w:rsid w:val="46B65E17"/>
    <w:rsid w:val="46E70209"/>
    <w:rsid w:val="47331292"/>
    <w:rsid w:val="47DE72F3"/>
    <w:rsid w:val="484227FA"/>
    <w:rsid w:val="49160263"/>
    <w:rsid w:val="49405C13"/>
    <w:rsid w:val="4A584B2E"/>
    <w:rsid w:val="4A8D6447"/>
    <w:rsid w:val="4B447A9D"/>
    <w:rsid w:val="4B473952"/>
    <w:rsid w:val="4BB05C5E"/>
    <w:rsid w:val="4BE16927"/>
    <w:rsid w:val="4D51505D"/>
    <w:rsid w:val="4D574E9D"/>
    <w:rsid w:val="4E367B61"/>
    <w:rsid w:val="4E677901"/>
    <w:rsid w:val="4F4F27EE"/>
    <w:rsid w:val="50FD683E"/>
    <w:rsid w:val="51271F6F"/>
    <w:rsid w:val="52756E82"/>
    <w:rsid w:val="53420C01"/>
    <w:rsid w:val="53ED7A1C"/>
    <w:rsid w:val="541862A3"/>
    <w:rsid w:val="54785F1D"/>
    <w:rsid w:val="55122173"/>
    <w:rsid w:val="551564CF"/>
    <w:rsid w:val="555E417B"/>
    <w:rsid w:val="55E559CC"/>
    <w:rsid w:val="566552F6"/>
    <w:rsid w:val="57536787"/>
    <w:rsid w:val="57DF729E"/>
    <w:rsid w:val="57F213DD"/>
    <w:rsid w:val="580E6A0A"/>
    <w:rsid w:val="583F582E"/>
    <w:rsid w:val="58AC51CA"/>
    <w:rsid w:val="59A22D23"/>
    <w:rsid w:val="5C365B7A"/>
    <w:rsid w:val="5CBA6DB1"/>
    <w:rsid w:val="5D896925"/>
    <w:rsid w:val="5DA7760A"/>
    <w:rsid w:val="5E474708"/>
    <w:rsid w:val="5E872E09"/>
    <w:rsid w:val="615824A7"/>
    <w:rsid w:val="61E86DA3"/>
    <w:rsid w:val="62594624"/>
    <w:rsid w:val="631013FB"/>
    <w:rsid w:val="63277ECA"/>
    <w:rsid w:val="63EF61CB"/>
    <w:rsid w:val="640A158B"/>
    <w:rsid w:val="64B55EA5"/>
    <w:rsid w:val="64B612BA"/>
    <w:rsid w:val="65E13C68"/>
    <w:rsid w:val="66BD4C8B"/>
    <w:rsid w:val="67070B50"/>
    <w:rsid w:val="673637B4"/>
    <w:rsid w:val="68C86918"/>
    <w:rsid w:val="69AE3E8E"/>
    <w:rsid w:val="6A1B4710"/>
    <w:rsid w:val="6AF55E6C"/>
    <w:rsid w:val="6B8E1E63"/>
    <w:rsid w:val="6C121E77"/>
    <w:rsid w:val="6E2E0ECD"/>
    <w:rsid w:val="6E7241B2"/>
    <w:rsid w:val="6E991C9A"/>
    <w:rsid w:val="6F281222"/>
    <w:rsid w:val="6FB11B1B"/>
    <w:rsid w:val="706B7635"/>
    <w:rsid w:val="72CF5F44"/>
    <w:rsid w:val="72D921DF"/>
    <w:rsid w:val="74637E98"/>
    <w:rsid w:val="74BD0F02"/>
    <w:rsid w:val="75381FB3"/>
    <w:rsid w:val="75821FA6"/>
    <w:rsid w:val="75CF5AD5"/>
    <w:rsid w:val="75DA5D9E"/>
    <w:rsid w:val="769604FB"/>
    <w:rsid w:val="78AD195A"/>
    <w:rsid w:val="78D30D2C"/>
    <w:rsid w:val="793A505E"/>
    <w:rsid w:val="793D65A5"/>
    <w:rsid w:val="79CF7739"/>
    <w:rsid w:val="7A284E27"/>
    <w:rsid w:val="7A7B337A"/>
    <w:rsid w:val="7C4D5B6E"/>
    <w:rsid w:val="7CE771A2"/>
    <w:rsid w:val="7CF87AC3"/>
    <w:rsid w:val="7F097D6C"/>
    <w:rsid w:val="7FB74A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locked/>
    <w:uiPriority w:val="0"/>
    <w:pPr>
      <w:keepNext/>
      <w:tabs>
        <w:tab w:val="left" w:pos="3360"/>
      </w:tabs>
      <w:snapToGrid w:val="0"/>
      <w:spacing w:beforeLines="100" w:beforeAutospacing="0" w:afterLines="50" w:afterAutospacing="0" w:line="800" w:lineRule="atLeast"/>
      <w:jc w:val="center"/>
      <w:outlineLvl w:val="0"/>
    </w:pPr>
    <w:rPr>
      <w:rFonts w:eastAsia="黑体"/>
      <w:kern w:val="0"/>
      <w:sz w:val="44"/>
    </w:rPr>
  </w:style>
  <w:style w:type="paragraph" w:styleId="3">
    <w:name w:val="heading 2"/>
    <w:basedOn w:val="1"/>
    <w:next w:val="1"/>
    <w:link w:val="24"/>
    <w:qFormat/>
    <w:uiPriority w:val="99"/>
    <w:pPr>
      <w:keepNext/>
      <w:keepLines/>
      <w:adjustRightInd w:val="0"/>
      <w:snapToGrid w:val="0"/>
      <w:spacing w:line="360" w:lineRule="auto"/>
      <w:outlineLvl w:val="1"/>
    </w:pPr>
    <w:rPr>
      <w:rFonts w:ascii="宋体" w:hAnsi="宋体"/>
      <w:kern w:val="0"/>
      <w:sz w:val="20"/>
    </w:rPr>
  </w:style>
  <w:style w:type="paragraph" w:styleId="4">
    <w:name w:val="heading 3"/>
    <w:basedOn w:val="1"/>
    <w:next w:val="1"/>
    <w:link w:val="25"/>
    <w:qFormat/>
    <w:locked/>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annotation text"/>
    <w:basedOn w:val="1"/>
    <w:link w:val="32"/>
    <w:qFormat/>
    <w:uiPriority w:val="0"/>
    <w:pPr>
      <w:adjustRightInd w:val="0"/>
      <w:spacing w:line="360" w:lineRule="atLeast"/>
      <w:jc w:val="left"/>
      <w:textAlignment w:val="baseline"/>
    </w:pPr>
    <w:rPr>
      <w:rFonts w:ascii="等线" w:hAnsi="等线" w:eastAsia="等线"/>
      <w:kern w:val="0"/>
      <w:sz w:val="24"/>
      <w:szCs w:val="22"/>
    </w:rPr>
  </w:style>
  <w:style w:type="paragraph" w:styleId="7">
    <w:name w:val="Body Text"/>
    <w:basedOn w:val="1"/>
    <w:next w:val="1"/>
    <w:link w:val="31"/>
    <w:unhideWhenUsed/>
    <w:qFormat/>
    <w:uiPriority w:val="99"/>
    <w:pPr>
      <w:spacing w:after="120"/>
    </w:pPr>
  </w:style>
  <w:style w:type="paragraph" w:styleId="8">
    <w:name w:val="Body Text Indent"/>
    <w:basedOn w:val="1"/>
    <w:link w:val="26"/>
    <w:qFormat/>
    <w:uiPriority w:val="99"/>
    <w:pPr>
      <w:spacing w:line="700" w:lineRule="exact"/>
      <w:ind w:left="960"/>
    </w:pPr>
    <w:rPr>
      <w:kern w:val="0"/>
      <w:sz w:val="20"/>
    </w:rPr>
  </w:style>
  <w:style w:type="paragraph" w:styleId="9">
    <w:name w:val="Date"/>
    <w:basedOn w:val="1"/>
    <w:next w:val="1"/>
    <w:unhideWhenUsed/>
    <w:qFormat/>
    <w:uiPriority w:val="0"/>
  </w:style>
  <w:style w:type="paragraph" w:styleId="10">
    <w:name w:val="Body Text Indent 2"/>
    <w:basedOn w:val="1"/>
    <w:link w:val="27"/>
    <w:qFormat/>
    <w:uiPriority w:val="99"/>
    <w:pPr>
      <w:spacing w:after="120" w:line="480" w:lineRule="auto"/>
      <w:ind w:left="420" w:leftChars="200"/>
    </w:pPr>
  </w:style>
  <w:style w:type="paragraph" w:styleId="11">
    <w:name w:val="Balloon Text"/>
    <w:basedOn w:val="1"/>
    <w:link w:val="28"/>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kern w:val="0"/>
      <w:sz w:val="20"/>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kern w:val="0"/>
      <w:sz w:val="20"/>
    </w:rPr>
  </w:style>
  <w:style w:type="paragraph" w:styleId="14">
    <w:name w:val="toc 1"/>
    <w:basedOn w:val="1"/>
    <w:next w:val="1"/>
    <w:qFormat/>
    <w:locked/>
    <w:uiPriority w:val="0"/>
    <w:pPr>
      <w:spacing w:line="180" w:lineRule="auto"/>
      <w:jc w:val="center"/>
    </w:pPr>
    <w:rPr>
      <w:sz w:val="30"/>
      <w:szCs w:val="22"/>
    </w:rPr>
  </w:style>
  <w:style w:type="paragraph" w:styleId="1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7">
    <w:name w:val="Strong"/>
    <w:basedOn w:val="16"/>
    <w:qFormat/>
    <w:locked/>
    <w:uiPriority w:val="0"/>
    <w:rPr>
      <w:b/>
    </w:rPr>
  </w:style>
  <w:style w:type="character" w:styleId="18">
    <w:name w:val="page number"/>
    <w:basedOn w:val="16"/>
    <w:qFormat/>
    <w:uiPriority w:val="99"/>
    <w:rPr>
      <w:rFonts w:cs="Times New Roman"/>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1"/>
    <w:basedOn w:val="1"/>
    <w:qFormat/>
    <w:uiPriority w:val="99"/>
    <w:rPr>
      <w:rFonts w:ascii="Tahoma" w:hAnsi="Tahoma"/>
      <w:sz w:val="24"/>
    </w:rPr>
  </w:style>
  <w:style w:type="paragraph" w:customStyle="1" w:styleId="22">
    <w:name w:val="列出段落1"/>
    <w:basedOn w:val="1"/>
    <w:unhideWhenUsed/>
    <w:qFormat/>
    <w:uiPriority w:val="99"/>
    <w:pPr>
      <w:ind w:firstLine="420" w:firstLineChars="200"/>
    </w:pPr>
  </w:style>
  <w:style w:type="paragraph" w:customStyle="1" w:styleId="23">
    <w:name w:val="图例"/>
    <w:basedOn w:val="1"/>
    <w:qFormat/>
    <w:uiPriority w:val="0"/>
    <w:pPr>
      <w:spacing w:before="120" w:after="120" w:line="360" w:lineRule="auto"/>
      <w:jc w:val="center"/>
    </w:pPr>
    <w:rPr>
      <w:rFonts w:eastAsia="仿宋_GB2312"/>
      <w:b/>
      <w:sz w:val="24"/>
      <w:szCs w:val="22"/>
    </w:rPr>
  </w:style>
  <w:style w:type="character" w:customStyle="1" w:styleId="24">
    <w:name w:val="标题 2 Char"/>
    <w:basedOn w:val="16"/>
    <w:link w:val="3"/>
    <w:qFormat/>
    <w:locked/>
    <w:uiPriority w:val="99"/>
    <w:rPr>
      <w:rFonts w:ascii="宋体" w:hAnsi="宋体" w:eastAsia="宋体"/>
      <w:sz w:val="20"/>
    </w:rPr>
  </w:style>
  <w:style w:type="character" w:customStyle="1" w:styleId="25">
    <w:name w:val="标题 3 Char"/>
    <w:basedOn w:val="16"/>
    <w:link w:val="4"/>
    <w:semiHidden/>
    <w:qFormat/>
    <w:uiPriority w:val="9"/>
    <w:rPr>
      <w:rFonts w:ascii="Times New Roman" w:hAnsi="Times New Roman"/>
      <w:b/>
      <w:bCs/>
      <w:sz w:val="32"/>
      <w:szCs w:val="32"/>
    </w:rPr>
  </w:style>
  <w:style w:type="character" w:customStyle="1" w:styleId="26">
    <w:name w:val="正文文本缩进 Char"/>
    <w:basedOn w:val="16"/>
    <w:link w:val="8"/>
    <w:qFormat/>
    <w:locked/>
    <w:uiPriority w:val="99"/>
    <w:rPr>
      <w:rFonts w:ascii="Times New Roman" w:hAnsi="Times New Roman" w:eastAsia="宋体"/>
      <w:sz w:val="20"/>
    </w:rPr>
  </w:style>
  <w:style w:type="character" w:customStyle="1" w:styleId="27">
    <w:name w:val="正文文本缩进 2 Char"/>
    <w:basedOn w:val="16"/>
    <w:link w:val="10"/>
    <w:semiHidden/>
    <w:qFormat/>
    <w:uiPriority w:val="99"/>
    <w:rPr>
      <w:rFonts w:ascii="Times New Roman" w:hAnsi="Times New Roman"/>
      <w:sz w:val="28"/>
      <w:szCs w:val="20"/>
    </w:rPr>
  </w:style>
  <w:style w:type="character" w:customStyle="1" w:styleId="28">
    <w:name w:val="批注框文本 Char"/>
    <w:basedOn w:val="16"/>
    <w:link w:val="11"/>
    <w:qFormat/>
    <w:locked/>
    <w:uiPriority w:val="99"/>
    <w:rPr>
      <w:rFonts w:ascii="Times New Roman" w:hAnsi="Times New Roman" w:cs="Times New Roman"/>
      <w:kern w:val="2"/>
      <w:sz w:val="18"/>
      <w:szCs w:val="18"/>
    </w:rPr>
  </w:style>
  <w:style w:type="character" w:customStyle="1" w:styleId="29">
    <w:name w:val="页脚 Char"/>
    <w:basedOn w:val="16"/>
    <w:link w:val="12"/>
    <w:qFormat/>
    <w:locked/>
    <w:uiPriority w:val="99"/>
    <w:rPr>
      <w:rFonts w:ascii="Times New Roman" w:hAnsi="Times New Roman" w:eastAsia="宋体"/>
      <w:sz w:val="20"/>
    </w:rPr>
  </w:style>
  <w:style w:type="character" w:customStyle="1" w:styleId="30">
    <w:name w:val="页眉 Char"/>
    <w:basedOn w:val="16"/>
    <w:link w:val="13"/>
    <w:qFormat/>
    <w:locked/>
    <w:uiPriority w:val="99"/>
    <w:rPr>
      <w:rFonts w:ascii="Times New Roman" w:hAnsi="Times New Roman" w:eastAsia="宋体"/>
      <w:sz w:val="20"/>
    </w:rPr>
  </w:style>
  <w:style w:type="character" w:customStyle="1" w:styleId="31">
    <w:name w:val="正文文本 Char"/>
    <w:basedOn w:val="16"/>
    <w:link w:val="7"/>
    <w:semiHidden/>
    <w:qFormat/>
    <w:uiPriority w:val="99"/>
    <w:rPr>
      <w:kern w:val="2"/>
      <w:sz w:val="28"/>
    </w:rPr>
  </w:style>
  <w:style w:type="character" w:customStyle="1" w:styleId="32">
    <w:name w:val="批注文字 Char"/>
    <w:basedOn w:val="16"/>
    <w:link w:val="6"/>
    <w:qFormat/>
    <w:uiPriority w:val="0"/>
    <w:rPr>
      <w:rFonts w:ascii="等线" w:hAnsi="等线" w:eastAsia="等线"/>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3D270-2806-413C-8109-9A72131CD8D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6344</Words>
  <Characters>6641</Characters>
  <Lines>52</Lines>
  <Paragraphs>14</Paragraphs>
  <TotalTime>81</TotalTime>
  <ScaleCrop>false</ScaleCrop>
  <LinksUpToDate>false</LinksUpToDate>
  <CharactersWithSpaces>6798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2021-11-01T08:00:00Z</dcterms:created>
  <dc:creator>微软用户</dc:creator>
  <cp:lastModifiedBy>jxw</cp:lastModifiedBy>
  <cp:lastPrinted>2020-08-14T08:40:00Z</cp:lastPrinted>
  <dcterms:modified xsi:type="dcterms:W3CDTF">2022-10-10T02:21:51Z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09277B5904BD4671AD0169AC77945D05</vt:lpwstr>
  </property>
</Properties>
</file>