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北碚区金兴小学2022年单位预算情况说明</w:t>
      </w:r>
    </w:p>
    <w:p>
      <w:pPr>
        <w:spacing w:line="600" w:lineRule="exact"/>
        <w:ind w:firstLine="880" w:firstLineChars="200"/>
        <w:jc w:val="center"/>
        <w:rPr>
          <w:rFonts w:ascii="华文中宋" w:hAnsi="华文中宋" w:eastAsia="华文中宋" w:cs="华文中宋"/>
          <w:sz w:val="44"/>
          <w:szCs w:val="44"/>
        </w:rPr>
      </w:pPr>
    </w:p>
    <w:p>
      <w:pPr>
        <w:spacing w:line="600" w:lineRule="exact"/>
        <w:ind w:firstLine="640" w:firstLineChars="200"/>
        <w:rPr>
          <w:rFonts w:ascii="方正黑体_GBK" w:hAnsi="黑体" w:eastAsia="方正黑体_GBK" w:cs="仿宋_GB2312"/>
          <w:sz w:val="32"/>
        </w:rPr>
      </w:pPr>
      <w:r>
        <w:rPr>
          <w:rFonts w:hint="eastAsia" w:ascii="方正黑体_GBK" w:hAnsi="黑体" w:eastAsia="方正黑体_GBK" w:cs="仿宋_GB2312"/>
          <w:sz w:val="32"/>
        </w:rPr>
        <w:t>一、单位基本情况</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（一）职能职责</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本单位主要职能是实施小学教育，从事义务教育小学教育工作。</w:t>
      </w:r>
    </w:p>
    <w:p>
      <w:pPr>
        <w:pStyle w:val="10"/>
        <w:tabs>
          <w:tab w:val="center" w:pos="4153"/>
          <w:tab w:val="left" w:pos="7275"/>
        </w:tabs>
        <w:spacing w:line="600" w:lineRule="exact"/>
        <w:ind w:left="640" w:firstLine="0" w:firstLineChars="0"/>
        <w:jc w:val="left"/>
        <w:rPr>
          <w:rFonts w:ascii="方正仿宋_GBK" w:hAnsi="仿宋_GB2312" w:eastAsia="方正仿宋_GBK" w:cs="仿宋_GB2312"/>
          <w:sz w:val="32"/>
        </w:rPr>
      </w:pPr>
      <w:r>
        <w:rPr>
          <w:rFonts w:hint="eastAsia" w:ascii="方正仿宋_GBK" w:hAnsi="仿宋_GB2312" w:eastAsia="方正仿宋_GBK" w:cs="仿宋_GB2312"/>
          <w:sz w:val="32"/>
        </w:rPr>
        <w:t>（二）单位构成</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本单位</w:t>
      </w:r>
      <w:r>
        <w:rPr>
          <w:rFonts w:hint="eastAsia" w:ascii="方正仿宋_GBK" w:hAnsi="方正仿宋_GBK" w:eastAsia="方正仿宋_GBK" w:cs="方正仿宋_GBK"/>
          <w:sz w:val="32"/>
          <w:szCs w:val="32"/>
        </w:rPr>
        <w:t>设有办公室、德育处、教导处、后勤处、安保科</w:t>
      </w:r>
      <w:r>
        <w:rPr>
          <w:rFonts w:hint="eastAsia" w:ascii="方正仿宋_GBK" w:hAnsi="仿宋_GB2312" w:eastAsia="方正仿宋_GBK" w:cs="仿宋_GB2312"/>
          <w:sz w:val="32"/>
        </w:rPr>
        <w:t>。</w:t>
      </w:r>
    </w:p>
    <w:p>
      <w:pPr>
        <w:snapToGrid w:val="0"/>
        <w:spacing w:line="520" w:lineRule="exact"/>
        <w:rPr>
          <w:rFonts w:ascii="方正仿宋_GBK" w:hAnsi="仿宋_GB2312" w:eastAsia="方正仿宋_GBK" w:cs="仿宋_GB2312"/>
          <w:sz w:val="32"/>
        </w:rPr>
      </w:pPr>
      <w:r>
        <w:rPr>
          <w:rFonts w:hint="eastAsia" w:ascii="方正仿宋_GBK" w:hAnsi="仿宋_GB2312" w:eastAsia="方正仿宋_GBK" w:cs="仿宋_GB2312"/>
          <w:sz w:val="32"/>
        </w:rPr>
        <w:t>分为小学部：2021年北碚人社核定编制73人，实际在职在编73人；有义务教育小学1-6年级33个教学班，1534人；金兴幼儿园部：学前教育11个班，学生352人，临聘幼儿园老师40人。</w:t>
      </w:r>
    </w:p>
    <w:p>
      <w:pPr>
        <w:spacing w:line="600" w:lineRule="exact"/>
        <w:ind w:firstLine="640" w:firstLineChars="200"/>
        <w:rPr>
          <w:rFonts w:ascii="方正黑体_GBK" w:hAnsi="黑体" w:eastAsia="方正黑体_GBK" w:cs="仿宋_GB2312"/>
          <w:sz w:val="32"/>
        </w:rPr>
      </w:pPr>
      <w:r>
        <w:rPr>
          <w:rFonts w:hint="eastAsia" w:ascii="方正黑体_GBK" w:hAnsi="黑体" w:eastAsia="方正黑体_GBK" w:cs="仿宋_GB2312"/>
          <w:sz w:val="32"/>
        </w:rPr>
        <w:t>二、单位收支总体情况</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一）收入预算：2022年年初预算数1481.02万元，其中：一般公共预算拨款1481.02万元，政府性基金预算拨款0万元，国有资本经营预算收入0万元，事业收入0万元，事业单位经营收入0万元，其他收入0万元。收入较2021年增加635.75万元，主要是一般公共预算基本支出经费拨款增加631.75万元，一般公共预算项目支出经费拨款增加4万元。</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二）支出预算：2022年年初预算数1481.02万元，其中：一般公共服务支出预算0万元，教育支出预算1207.07万元，社会保障和就业支出预算138.40万元，卫生健康支出预算69.35万元，住房保障支出预算69.20万元。支出预算较2021年增加635.75万元，主要是基本支出预算增加631.75万元，项目支出预算增加4万元。</w:t>
      </w:r>
    </w:p>
    <w:p>
      <w:pPr>
        <w:spacing w:line="600" w:lineRule="exact"/>
        <w:ind w:firstLine="640" w:firstLineChars="200"/>
        <w:rPr>
          <w:rFonts w:ascii="方正仿宋_GBK" w:hAnsi="黑体" w:eastAsia="方正仿宋_GBK" w:cs="仿宋_GB2312"/>
          <w:sz w:val="32"/>
        </w:rPr>
      </w:pPr>
      <w:r>
        <w:rPr>
          <w:rFonts w:hint="eastAsia" w:ascii="方正黑体_GBK" w:hAnsi="黑体" w:eastAsia="方正黑体_GBK" w:cs="仿宋_GB2312"/>
          <w:sz w:val="32"/>
        </w:rPr>
        <w:t>三</w:t>
      </w:r>
      <w:r>
        <w:rPr>
          <w:rFonts w:ascii="方正黑体_GBK" w:hAnsi="黑体" w:eastAsia="方正黑体_GBK" w:cs="仿宋_GB2312"/>
          <w:sz w:val="32"/>
        </w:rPr>
        <w:t>、</w:t>
      </w:r>
      <w:r>
        <w:rPr>
          <w:rFonts w:hint="eastAsia" w:ascii="方正黑体_GBK" w:hAnsi="黑体" w:eastAsia="方正黑体_GBK" w:cs="仿宋_GB2312"/>
          <w:sz w:val="32"/>
        </w:rPr>
        <w:t>单位预算情况说明</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2022年一般公共预算财政拨款收入1481.02万元，一般公共预算财政拨款支出1481.02万元，比2021年增加635.75万元。其中：基本支出1477.02万元，比2021年增加631.75万元，主要原因是教职工人员增加30人，学生人数增加868人等，主要用于保障单位在编在职人员工资福利及社会保险缴费，离休人员离休费，退休人员补助等，保障单位正常运转的各项商品服务支出；项目支出4万元，比2021年增加4万元，主要原因是2022年增加北碚区班主任大讲堂培训项目4万元等，主要用于班主任大讲堂培训等重点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北碚区金兴小学2022年无使用政府性基金预算拨款安排的支出。</w:t>
      </w:r>
    </w:p>
    <w:p>
      <w:pPr>
        <w:spacing w:line="600" w:lineRule="exact"/>
        <w:ind w:firstLine="640" w:firstLineChars="200"/>
        <w:rPr>
          <w:rFonts w:ascii="方正仿宋_GBK" w:hAnsi="黑体" w:eastAsia="方正仿宋_GBK" w:cs="仿宋_GB2312"/>
          <w:sz w:val="32"/>
        </w:rPr>
      </w:pPr>
      <w:r>
        <w:rPr>
          <w:rFonts w:hint="eastAsia" w:ascii="方正黑体_GBK" w:hAnsi="黑体" w:eastAsia="方正黑体_GBK" w:cs="仿宋_GB2312"/>
          <w:sz w:val="32"/>
        </w:rPr>
        <w:t>四</w:t>
      </w:r>
      <w:r>
        <w:rPr>
          <w:rFonts w:ascii="方正黑体_GBK" w:hAnsi="黑体" w:eastAsia="方正黑体_GBK" w:cs="仿宋_GB2312"/>
          <w:sz w:val="32"/>
        </w:rPr>
        <w:t>、</w:t>
      </w:r>
      <w:r>
        <w:rPr>
          <w:rFonts w:hint="eastAsia" w:ascii="方正黑体_GBK" w:hAnsi="黑体" w:eastAsia="方正黑体_GBK" w:cs="仿宋_GB2312"/>
          <w:sz w:val="32"/>
        </w:rPr>
        <w:t>“三公”经费情况说明</w:t>
      </w:r>
    </w:p>
    <w:p>
      <w:pPr>
        <w:spacing w:line="600" w:lineRule="exact"/>
        <w:ind w:firstLine="600"/>
        <w:rPr>
          <w:rFonts w:ascii="方正仿宋_GBK" w:hAnsi="仿宋_GB2312" w:eastAsia="方正仿宋_GBK" w:cs="仿宋_GB2312"/>
          <w:sz w:val="32"/>
        </w:rPr>
      </w:pPr>
      <w:r>
        <w:rPr>
          <w:rFonts w:hint="eastAsia" w:ascii="方正仿宋_GBK" w:hAnsi="仿宋_GB2312" w:eastAsia="方正仿宋_GBK" w:cs="仿宋_GB2312"/>
          <w:sz w:val="32"/>
        </w:rPr>
        <w:t>2022年“三公”经费预算0万元，比2021年减少(或增加)0万元。其中：因公出国（境）费用0万元，比2021年减少(或增加)0万元，主要原因是本单位无因公出国（境）费用；公务接待费0万元，比2021年减少(或增加)0万元，主要原因是本单位无公务接待事项；公务用车运行维护费0万元，比2021年减少(或增加)0万元，主要原因是本单位无公务用车；公务用车购置费0万元，比2021年减少(或增加)0万元；主要原因是本单位无公务用车购置项目。</w:t>
      </w:r>
    </w:p>
    <w:p>
      <w:pPr>
        <w:spacing w:line="600" w:lineRule="exact"/>
        <w:ind w:firstLine="640" w:firstLineChars="200"/>
        <w:rPr>
          <w:rFonts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1、机关运行经费：我单位不在机关运行经费统计范围之内。</w:t>
      </w:r>
    </w:p>
    <w:p>
      <w:pPr>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政府采购情况。本单位政府采购预算总额0万元：政府采购货物预算0万元、政府采购工程预算0万元、政府采购服务预算0万元；其中一般公共预算拨款政府采购0万元：政府采购货物预算0万元、政府采购工程预算0万元、政府采购服务预算0万元。</w:t>
      </w:r>
    </w:p>
    <w:p>
      <w:pPr>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sz w:val="32"/>
        </w:rPr>
        <w:t>3、绩效目标设置情况。</w:t>
      </w:r>
      <w:r>
        <w:rPr>
          <w:rFonts w:hint="eastAsia" w:ascii="方正仿宋_GBK" w:hAnsi="仿宋_GB2312" w:eastAsia="方正仿宋_GBK" w:cs="仿宋_GB2312"/>
          <w:color w:val="000000"/>
          <w:sz w:val="32"/>
        </w:rPr>
        <w:t>2022年项目支出均实行了绩效目标管理，涉及一般公共预算当年财政拨款</w:t>
      </w:r>
      <w:r>
        <w:rPr>
          <w:rFonts w:hint="eastAsia" w:ascii="方正仿宋_GBK" w:hAnsi="仿宋_GB2312" w:eastAsia="方正仿宋_GBK" w:cs="仿宋_GB2312"/>
          <w:color w:val="000000"/>
          <w:sz w:val="32"/>
          <w:lang w:val="en-US" w:eastAsia="zh-CN"/>
        </w:rPr>
        <w:t>4</w:t>
      </w:r>
      <w:r>
        <w:rPr>
          <w:rFonts w:hint="eastAsia" w:ascii="方正仿宋_GBK" w:hAnsi="仿宋_GB2312" w:eastAsia="方正仿宋_GBK" w:cs="仿宋_GB2312"/>
          <w:color w:val="000000"/>
          <w:sz w:val="32"/>
        </w:rPr>
        <w:t>万元。</w:t>
      </w:r>
    </w:p>
    <w:p>
      <w:pPr>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color w:val="000000"/>
          <w:sz w:val="32"/>
        </w:rPr>
        <w:t>4、国有资产占有使用情况。截止2021年12月，本单位共有车辆0辆，其中一般公务用车0辆、执勤执法用车0辆。2022年一般公共预算安排购置车辆0辆，其中一般公务用车0辆、执勤执法用车0辆。</w:t>
      </w:r>
    </w:p>
    <w:p>
      <w:pPr>
        <w:spacing w:line="600" w:lineRule="exact"/>
        <w:ind w:firstLine="640" w:firstLineChars="200"/>
        <w:rPr>
          <w:rFonts w:ascii="方正黑体_GBK" w:hAnsi="黑体" w:eastAsia="方正黑体_GBK" w:cs="仿宋_GB2312"/>
          <w:sz w:val="32"/>
        </w:rPr>
      </w:pPr>
      <w:r>
        <w:rPr>
          <w:rFonts w:hint="eastAsia" w:ascii="方正黑体_GBK" w:hAnsi="黑体" w:eastAsia="方正黑体_GBK" w:cs="仿宋_GB2312"/>
          <w:sz w:val="32"/>
        </w:rPr>
        <w:t>六</w:t>
      </w:r>
      <w:r>
        <w:rPr>
          <w:rFonts w:ascii="方正黑体_GBK" w:hAnsi="黑体" w:eastAsia="方正黑体_GBK" w:cs="仿宋_GB2312"/>
          <w:sz w:val="32"/>
        </w:rPr>
        <w:t>、</w:t>
      </w:r>
      <w:r>
        <w:rPr>
          <w:rFonts w:hint="eastAsia" w:ascii="方正黑体_GBK" w:hAnsi="黑体" w:eastAsia="方正黑体_GBK" w:cs="仿宋_GB2312"/>
          <w:sz w:val="32"/>
        </w:rPr>
        <w:t>专业性名词解释</w:t>
      </w:r>
    </w:p>
    <w:p>
      <w:pPr>
        <w:pStyle w:val="10"/>
        <w:tabs>
          <w:tab w:val="center" w:pos="4153"/>
          <w:tab w:val="left" w:pos="7275"/>
        </w:tabs>
        <w:spacing w:line="600" w:lineRule="exact"/>
        <w:ind w:firstLine="640"/>
        <w:jc w:val="left"/>
        <w:rPr>
          <w:rFonts w:ascii="方正仿宋_GBK" w:eastAsia="方正仿宋_GBK"/>
          <w:sz w:val="32"/>
          <w:szCs w:val="32"/>
        </w:rPr>
      </w:pPr>
      <w:bookmarkStart w:id="0" w:name="_GoBack"/>
      <w:bookmarkEnd w:id="0"/>
      <w:r>
        <w:rPr>
          <w:rFonts w:hint="eastAsia" w:ascii="方正仿宋_GBK" w:eastAsia="方正仿宋_GBK"/>
          <w:sz w:val="32"/>
          <w:szCs w:val="32"/>
        </w:rPr>
        <w:t>（一）财政拨款收入：指本年度从本级财政部门取得的财政拨款，包括一般公共预算财政拨款和政府性基金预算财政拨款。</w:t>
      </w:r>
    </w:p>
    <w:p>
      <w:pPr>
        <w:pStyle w:val="10"/>
        <w:tabs>
          <w:tab w:val="center" w:pos="4153"/>
          <w:tab w:val="left" w:pos="7275"/>
        </w:tabs>
        <w:spacing w:line="600" w:lineRule="exact"/>
        <w:ind w:firstLine="640"/>
        <w:jc w:val="left"/>
        <w:rPr>
          <w:rFonts w:ascii="方正仿宋_GBK" w:eastAsia="方正仿宋_GBK"/>
          <w:sz w:val="32"/>
          <w:szCs w:val="32"/>
        </w:rPr>
      </w:pPr>
      <w:r>
        <w:rPr>
          <w:rFonts w:hint="eastAsia" w:ascii="方正仿宋_GBK" w:eastAsia="方正仿宋_GBK"/>
          <w:sz w:val="32"/>
          <w:szCs w:val="32"/>
        </w:rPr>
        <w:t>（二）其他收入：指单位取得的除“财政拨款收入”、“事业收入”、“经营收入”等以外的收入。</w:t>
      </w:r>
    </w:p>
    <w:p>
      <w:pPr>
        <w:pStyle w:val="10"/>
        <w:tabs>
          <w:tab w:val="center" w:pos="4153"/>
          <w:tab w:val="left" w:pos="7275"/>
        </w:tabs>
        <w:spacing w:line="600" w:lineRule="exact"/>
        <w:ind w:firstLine="640"/>
        <w:jc w:val="left"/>
        <w:rPr>
          <w:rFonts w:ascii="方正仿宋_GBK" w:eastAsia="方正仿宋_GBK"/>
          <w:sz w:val="32"/>
          <w:szCs w:val="32"/>
        </w:rPr>
      </w:pPr>
      <w:r>
        <w:rPr>
          <w:rFonts w:hint="eastAsia" w:ascii="方正仿宋_GBK" w:eastAsia="方正仿宋_GBK"/>
          <w:sz w:val="32"/>
          <w:szCs w:val="32"/>
        </w:rPr>
        <w:t>（三）基本支出：指为保障机构正常运转、完成日常工作任务而发生的人员经费和公用经费。</w:t>
      </w:r>
    </w:p>
    <w:p>
      <w:pPr>
        <w:pStyle w:val="10"/>
        <w:tabs>
          <w:tab w:val="center" w:pos="4153"/>
          <w:tab w:val="left" w:pos="7275"/>
        </w:tabs>
        <w:spacing w:line="600" w:lineRule="exact"/>
        <w:ind w:firstLine="640"/>
        <w:jc w:val="left"/>
        <w:rPr>
          <w:rFonts w:ascii="方正仿宋_GBK" w:eastAsia="方正仿宋_GBK"/>
          <w:sz w:val="32"/>
          <w:szCs w:val="32"/>
        </w:rPr>
      </w:pPr>
      <w:r>
        <w:rPr>
          <w:rFonts w:hint="eastAsia" w:ascii="方正仿宋_GBK" w:eastAsia="方正仿宋_GBK"/>
          <w:sz w:val="32"/>
          <w:szCs w:val="32"/>
        </w:rPr>
        <w:t>（四）项目支出：指在基本支出之外为完成特定行政任务和事业发展目标所发生的支出。</w:t>
      </w:r>
    </w:p>
    <w:p>
      <w:pPr>
        <w:ind w:firstLine="640" w:firstLineChars="200"/>
        <w:rPr>
          <w:rFonts w:ascii="方正仿宋_GBK" w:hAnsi="仿宋_GB2312" w:eastAsia="方正仿宋_GBK" w:cs="仿宋_GB2312"/>
          <w:color w:val="000000"/>
          <w:sz w:val="32"/>
        </w:rPr>
      </w:pPr>
      <w:r>
        <w:rPr>
          <w:rFonts w:hint="eastAsia" w:ascii="方正仿宋_GBK" w:eastAsia="方正仿宋_GBK"/>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0" w:firstLineChars="200"/>
        <w:rPr>
          <w:rFonts w:hint="eastAsia" w:ascii="方正仿宋_GBK" w:hAnsi="仿宋_GB2312" w:eastAsia="方正仿宋_GBK" w:cs="仿宋_GB2312"/>
          <w:b/>
          <w:sz w:val="32"/>
          <w:lang w:eastAsia="zh-CN"/>
        </w:rPr>
      </w:pPr>
      <w:r>
        <w:rPr>
          <w:rFonts w:hint="eastAsia" w:ascii="方正仿宋_GBK" w:hAnsi="仿宋_GB2312" w:eastAsia="方正仿宋_GBK" w:cs="仿宋_GB2312"/>
          <w:b/>
          <w:sz w:val="32"/>
        </w:rPr>
        <w:t>单位预算公开联系人：李光富</w:t>
      </w:r>
      <w:r>
        <w:rPr>
          <w:rFonts w:hint="eastAsia" w:ascii="方正仿宋_GBK" w:hAnsi="仿宋_GB2312" w:eastAsia="方正仿宋_GBK" w:cs="仿宋_GB2312"/>
          <w:b/>
          <w:sz w:val="32"/>
          <w:lang w:val="en-US" w:eastAsia="zh-CN"/>
        </w:rPr>
        <w:t xml:space="preserve">  </w:t>
      </w:r>
      <w:r>
        <w:rPr>
          <w:rFonts w:hint="eastAsia" w:ascii="方正仿宋_GBK" w:hAnsi="仿宋_GB2312" w:eastAsia="方正仿宋_GBK" w:cs="仿宋_GB2312"/>
          <w:b/>
          <w:sz w:val="32"/>
        </w:rPr>
        <w:t>联系方式：19923250306</w:t>
      </w:r>
    </w:p>
    <w:p/>
    <w:sectPr>
      <w:pgSz w:w="11906" w:h="16838"/>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7687"/>
    <w:rsid w:val="00016E8E"/>
    <w:rsid w:val="000324E7"/>
    <w:rsid w:val="00051CB6"/>
    <w:rsid w:val="000A5E27"/>
    <w:rsid w:val="000C54B2"/>
    <w:rsid w:val="00122400"/>
    <w:rsid w:val="001348E6"/>
    <w:rsid w:val="00167E76"/>
    <w:rsid w:val="00171109"/>
    <w:rsid w:val="001F5605"/>
    <w:rsid w:val="001F5C87"/>
    <w:rsid w:val="00277B0A"/>
    <w:rsid w:val="002D4BEA"/>
    <w:rsid w:val="00313000"/>
    <w:rsid w:val="00363A31"/>
    <w:rsid w:val="0036731E"/>
    <w:rsid w:val="00446841"/>
    <w:rsid w:val="00456244"/>
    <w:rsid w:val="004A5A83"/>
    <w:rsid w:val="004B32A1"/>
    <w:rsid w:val="004D0C9E"/>
    <w:rsid w:val="004F5114"/>
    <w:rsid w:val="005A47C9"/>
    <w:rsid w:val="005F7680"/>
    <w:rsid w:val="00683536"/>
    <w:rsid w:val="0069360A"/>
    <w:rsid w:val="006C017E"/>
    <w:rsid w:val="006C42E7"/>
    <w:rsid w:val="006E7537"/>
    <w:rsid w:val="007400CC"/>
    <w:rsid w:val="007D0EF8"/>
    <w:rsid w:val="00815608"/>
    <w:rsid w:val="008505B8"/>
    <w:rsid w:val="00863CA6"/>
    <w:rsid w:val="00897A5C"/>
    <w:rsid w:val="00904805"/>
    <w:rsid w:val="009801CE"/>
    <w:rsid w:val="009B013D"/>
    <w:rsid w:val="009C7687"/>
    <w:rsid w:val="009E600E"/>
    <w:rsid w:val="009F2E20"/>
    <w:rsid w:val="00A40D65"/>
    <w:rsid w:val="00A54B9D"/>
    <w:rsid w:val="00AC6A1E"/>
    <w:rsid w:val="00B4441E"/>
    <w:rsid w:val="00B50295"/>
    <w:rsid w:val="00BC7E3E"/>
    <w:rsid w:val="00C05411"/>
    <w:rsid w:val="00C05AA2"/>
    <w:rsid w:val="00C82DED"/>
    <w:rsid w:val="00CD0016"/>
    <w:rsid w:val="00D226D0"/>
    <w:rsid w:val="00D31F47"/>
    <w:rsid w:val="00D55F57"/>
    <w:rsid w:val="00D659EC"/>
    <w:rsid w:val="00D673A6"/>
    <w:rsid w:val="00D833FC"/>
    <w:rsid w:val="00DD4C8A"/>
    <w:rsid w:val="00E61075"/>
    <w:rsid w:val="00EB5739"/>
    <w:rsid w:val="00F04C68"/>
    <w:rsid w:val="33905E99"/>
    <w:rsid w:val="6BE56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uiPriority w:val="0"/>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uiPriority w:val="99"/>
    <w:rPr>
      <w:sz w:val="21"/>
      <w:szCs w:val="21"/>
    </w:rPr>
  </w:style>
  <w:style w:type="character" w:customStyle="1" w:styleId="9">
    <w:name w:val="批注文字 Char"/>
    <w:basedOn w:val="7"/>
    <w:link w:val="2"/>
    <w:uiPriority w:val="0"/>
    <w:rPr>
      <w:rFonts w:ascii="Calibri" w:hAnsi="Calibri" w:eastAsia="宋体" w:cs="Times New Roman"/>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uiPriority w:val="99"/>
    <w:rPr>
      <w:rFonts w:ascii="Calibri" w:hAnsi="Calibri" w:eastAsia="宋体" w:cs="Times New Roman"/>
      <w:sz w:val="18"/>
      <w:szCs w:val="18"/>
    </w:rPr>
  </w:style>
  <w:style w:type="character" w:customStyle="1" w:styleId="12">
    <w:name w:val="页眉 Char"/>
    <w:basedOn w:val="7"/>
    <w:link w:val="5"/>
    <w:semiHidden/>
    <w:uiPriority w:val="99"/>
    <w:rPr>
      <w:rFonts w:ascii="Calibri" w:hAnsi="Calibri" w:eastAsia="宋体" w:cs="Times New Roman"/>
      <w:sz w:val="18"/>
      <w:szCs w:val="18"/>
    </w:rPr>
  </w:style>
  <w:style w:type="character" w:customStyle="1" w:styleId="13">
    <w:name w:val="页脚 Char"/>
    <w:basedOn w:val="7"/>
    <w:link w:val="4"/>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289</Words>
  <Characters>1652</Characters>
  <Lines>13</Lines>
  <Paragraphs>3</Paragraphs>
  <TotalTime>3</TotalTime>
  <ScaleCrop>false</ScaleCrop>
  <LinksUpToDate>false</LinksUpToDate>
  <CharactersWithSpaces>1938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2022-02-07T01:23:00Z</dcterms:created>
  <dc:creator>asus</dc:creator>
  <cp:lastModifiedBy>七槿年华、负教主</cp:lastModifiedBy>
  <dcterms:modified xsi:type="dcterms:W3CDTF">2022-02-09T03:18:18Z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BF12B5E2032649829322E55C47FC7D62</vt:lpwstr>
  </property>
</Properties>
</file>