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600" w:lineRule="exact"/>
        <w:ind w:right="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司法鉴定有关行政许可事项所需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证明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  <w:t>告知承诺制办事指南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80" w:afterAutospacing="0" w:line="240" w:lineRule="exact"/>
        <w:ind w:left="0" w:right="0" w:firstLine="420"/>
        <w:jc w:val="center"/>
        <w:textAlignment w:val="auto"/>
        <w:outlineLvl w:val="9"/>
        <w:rPr>
          <w:rStyle w:val="5"/>
          <w:rFonts w:hint="eastAsia" w:ascii="方正小标宋_GBK" w:hAnsi="方正小标宋_GBK" w:eastAsia="方正小标宋_GBK" w:cs="方正小标宋_GBK"/>
          <w:b w:val="0"/>
          <w:bCs w:val="0"/>
          <w:i w:val="0"/>
          <w:caps w:val="0"/>
          <w:color w:val="000000" w:themeColor="text1"/>
          <w:spacing w:val="0"/>
          <w:sz w:val="44"/>
          <w:szCs w:val="44"/>
          <w:shd w:val="clear" w:fill="FFFFFF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leftChars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司法鉴定有关行政许可事项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可选择告知承诺方式，填写证明事项告知承诺书，证明事项告知承诺书范本可以在北碚区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人民政府官网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下载打印或北碚区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公共法律服务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中心大厅现场领取。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一、适用范围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 个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人未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因故意犯罪或者职务过失犯罪受过刑事处罚；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2.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个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人未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受过开除公职处分；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6" w:firstLineChars="202"/>
        <w:jc w:val="both"/>
        <w:textAlignment w:val="auto"/>
        <w:outlineLvl w:val="9"/>
        <w:rPr>
          <w:rFonts w:hint="eastAsia" w:ascii="Times New Roman" w:hAnsi="Times New Roman" w:eastAsia="方正仿宋_GBK" w:cs="方正仿宋_GBK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法人或组织的资产数额</w:t>
      </w:r>
      <w:r>
        <w:rPr>
          <w:rFonts w:hint="eastAsia" w:ascii="Times New Roman" w:hAnsi="Times New Roman" w:eastAsia="方正仿宋_GBK" w:cs="方正仿宋_GBK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二、设定依据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《全国人民代表大会常务委员会关于司法鉴定管理问题的决定》（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2015年修正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）第四条、第五条，《司法鉴定人登记管理办法》第十一条、第十二条、第十三条，《司法鉴定机构登记管理办法》第十三条、第十四条、第十五条。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leftChars="0" w:rightChars="0"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ascii="方正黑体_GBK" w:hAnsi="方正黑体_GBK" w:eastAsia="方正黑体_GBK" w:cs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告知承诺的适用对象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申请人可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自主选择是否采用告知承诺替代证明，申请人不愿承诺、无法承诺或者不愿配合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司法行政机关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事中事后核查的，应当提交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法律法规规定的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证明。有较严重的不良信用记录或者存在曾作出虚假承诺等情形的，在信用修复前不适用告知承诺制。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四、承诺的方式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本证明事项采用书面承诺方式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，申请人愿意作出承诺的，应当向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司法行政机关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提交申请人签字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、盖章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的告知承诺书原件。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五、承诺的效力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申请人书面承诺已经符合告知的条件、要求，并愿意承担不实承诺的法律责任后，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司法行政机关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不再索要有关证明而依据书面承诺办理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司法鉴定行政许可有关事宜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六、不实承诺责任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Chars="0" w:rightChars="0" w:firstLine="640" w:firstLineChars="200"/>
        <w:jc w:val="both"/>
        <w:textAlignment w:val="auto"/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申请人承诺是否属实的信用记录将纳入重庆公共信用信息目录，导入全市统一的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告知承诺系统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。对执意隐瞒真实情况、提供虚假承诺办理有关事项的，依法作出如下处理：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1. 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不予许可或终止办理审批；2. 列入失信名单实施联合惩戒；3. 符合行政处罚情形的，给予行政处罚；4. 构成犯罪的，追究刑事责任</w:t>
      </w:r>
      <w:r>
        <w:rPr>
          <w:rFonts w:hint="eastAsia" w:ascii="Times New Roman" w:hAnsi="Times New Roman" w:eastAsia="方正仿宋_GBK" w:cs="Times New Roman"/>
          <w:color w:val="000000" w:themeColor="text1"/>
          <w:kern w:val="0"/>
          <w:sz w:val="32"/>
          <w:szCs w:val="22"/>
          <w:lang w:val="en-US" w:eastAsia="zh-CN" w:bidi="ar-SA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4" w:lineRule="exact"/>
        <w:ind w:right="0" w:firstLine="640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七、办理</w:t>
      </w:r>
      <w:r>
        <w:rPr>
          <w:rFonts w:hint="eastAsia" w:ascii="方正黑体_GBK" w:hAnsi="方正黑体_GBK" w:eastAsia="方正黑体_GBK" w:cs="方正黑体_GBK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流程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Chars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（一） 申请人提交申请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leftChars="0"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通过“渝快办”政务服务一体化平台线上申请。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92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（二）区司法局初审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区司法局在规定的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行政许可时限内，通过全市统一的“告知承诺系统”核实申请人是否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有较严重的不良信用记录或者存在曾作出虚假承诺等情形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，若存在以上情形，告知申请人不能适用告知承诺制，应当提交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司法鉴定法律、法规、规章规</w:t>
      </w: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定的证明。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方正楷体_GBK" w:hAnsi="方正楷体_GBK" w:eastAsia="方正楷体_GBK" w:cs="方正楷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（三）市司法局审批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Chars="0"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经区司法局初审通过的由市司法局进行审批，</w:t>
      </w:r>
      <w:r>
        <w:rPr>
          <w:rFonts w:hint="eastAsia" w:ascii="方正仿宋_GBK" w:hAnsi="方正仿宋_GBK" w:eastAsia="方正仿宋_GBK" w:cs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在司法鉴定行政许可事项办结前，申请人有合理理由的，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可以撤回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告知承诺书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司法行政机关准予司法鉴定许可后，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可将申请人的姓名或者名称、申请事项、承诺内容、准予许可事项等信息通过官方网站等载体依法公开，公示期为3个月，并开通投诉举报渠道，接受社会监督。</w:t>
      </w:r>
    </w:p>
    <w:p>
      <w:pPr>
        <w:keepNext w:val="0"/>
        <w:keepLines w:val="0"/>
        <w:pageBreakBefore w:val="0"/>
        <w:widowControl w:val="0"/>
        <w:kinsoku w:val="0"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办理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司法鉴定有关行政许可事项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告知承诺书</w:t>
      </w:r>
    </w:p>
    <w:p>
      <w:pPr>
        <w:pStyle w:val="2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2"/>
        <w:ind w:left="0" w:leftChars="0" w:firstLine="0" w:firstLineChars="0"/>
        <w:rPr>
          <w:rFonts w:hint="default" w:ascii="方正仿宋_GBK" w:hAnsi="方正仿宋_GBK" w:eastAsia="方正仿宋_GBK" w:cs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984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BC4CFE"/>
    <w:rsid w:val="1413710B"/>
    <w:rsid w:val="1ACE53F8"/>
    <w:rsid w:val="2CBC4CFE"/>
    <w:rsid w:val="546D39D1"/>
    <w:rsid w:val="56A3712F"/>
    <w:rsid w:val="6C6B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Chars="100" w:rightChars="10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区司法局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2021-07-06T12:34:00Z</dcterms:created>
  <dc:creator>ly</dc:creator>
  <cp:lastModifiedBy>ly</cp:lastModifiedBy>
  <cp:lastPrinted>2021-07-07T07:39:20Z</cp:lastPrinted>
  <dcterms:modified xsi:type="dcterms:W3CDTF">2021-07-07T07:40:16Z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