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40" w:lineRule="exact"/>
        <w:rPr>
          <w:rFonts w:hint="eastAsia" w:ascii="Times New Roman" w:hAnsi="Times New Roman" w:eastAsia="方正黑体_GBK" w:cs="方正黑体_GBK"/>
          <w:color w:val="000000" w:themeColor="text1"/>
          <w:kern w:val="0"/>
          <w:sz w:val="32"/>
          <w:szCs w:val="32"/>
          <w:lang w:eastAsia="zh-CN"/>
          <w14:textFill>
            <w14:solidFill>
              <w14:schemeClr w14:val="tx1"/>
            </w14:solidFill>
          </w14:textFill>
        </w:rPr>
      </w:pPr>
      <w:bookmarkStart w:id="0" w:name="_GoBack"/>
      <w:bookmarkEnd w:id="0"/>
      <w:r>
        <w:rPr>
          <w:rFonts w:hint="eastAsia" w:ascii="Times New Roman" w:hAnsi="Times New Roman" w:eastAsia="方正黑体_GBK" w:cs="方正黑体_GBK"/>
          <w:color w:val="000000" w:themeColor="text1"/>
          <w:kern w:val="0"/>
          <w:sz w:val="32"/>
          <w:szCs w:val="32"/>
          <w:lang w:eastAsia="zh-CN"/>
          <w14:textFill>
            <w14:solidFill>
              <w14:schemeClr w14:val="tx1"/>
            </w14:solidFill>
          </w14:textFill>
        </w:rPr>
        <w:t>附件</w:t>
      </w:r>
    </w:p>
    <w:p>
      <w:pPr>
        <w:autoSpaceDE w:val="0"/>
        <w:autoSpaceDN w:val="0"/>
        <w:adjustRightInd w:val="0"/>
        <w:spacing w:line="540" w:lineRule="exact"/>
        <w:rPr>
          <w:rFonts w:hint="eastAsia" w:ascii="Times New Roman" w:hAnsi="Times New Roman" w:eastAsia="方正黑体_GBK" w:cs="方正黑体_GBK"/>
          <w:color w:val="000000" w:themeColor="text1"/>
          <w:kern w:val="0"/>
          <w:sz w:val="32"/>
          <w:szCs w:val="32"/>
          <w14:textFill>
            <w14:solidFill>
              <w14:schemeClr w14:val="tx1"/>
            </w14:solidFill>
          </w14:textFill>
        </w:rPr>
      </w:pPr>
    </w:p>
    <w:p>
      <w:pPr>
        <w:autoSpaceDE w:val="0"/>
        <w:autoSpaceDN w:val="0"/>
        <w:adjustRightInd w:val="0"/>
        <w:spacing w:line="600" w:lineRule="exact"/>
        <w:ind w:firstLine="420" w:firstLineChars="200"/>
        <w:rPr>
          <w:rFonts w:ascii="Times New Roman" w:hAnsi="Times New Roman" w:eastAsia="方正仿宋_GBK" w:cs="方正仿宋_GBK"/>
          <w:color w:val="000000" w:themeColor="text1"/>
          <w:kern w:val="0"/>
          <w14:textFill>
            <w14:solidFill>
              <w14:schemeClr w14:val="tx1"/>
            </w14:solidFill>
          </w14:textFill>
        </w:rPr>
      </w:pPr>
    </w:p>
    <w:p>
      <w:pPr>
        <w:autoSpaceDE w:val="0"/>
        <w:autoSpaceDN w:val="0"/>
        <w:adjustRightInd w:val="0"/>
        <w:spacing w:line="600" w:lineRule="exact"/>
        <w:jc w:val="center"/>
        <w:rPr>
          <w:rFonts w:ascii="Times New Roman" w:hAnsi="Times New Roman" w:eastAsia="方正小标宋_GBK" w:cs="方正小标宋_GBK"/>
          <w:color w:val="000000" w:themeColor="text1"/>
          <w:kern w:val="0"/>
          <w:sz w:val="44"/>
          <w:szCs w:val="44"/>
          <w14:textFill>
            <w14:solidFill>
              <w14:schemeClr w14:val="tx1"/>
            </w14:solidFill>
          </w14:textFill>
        </w:rPr>
      </w:pPr>
      <w:r>
        <w:rPr>
          <w:rFonts w:hint="eastAsia" w:ascii="Times New Roman" w:hAnsi="Times New Roman" w:eastAsia="方正小标宋_GBK" w:cs="方正小标宋_GBK"/>
          <w:color w:val="000000" w:themeColor="text1"/>
          <w:kern w:val="0"/>
          <w:sz w:val="44"/>
          <w:szCs w:val="44"/>
          <w14:textFill>
            <w14:solidFill>
              <w14:schemeClr w14:val="tx1"/>
            </w14:solidFill>
          </w14:textFill>
        </w:rPr>
        <w:t>重庆市基本医疗保险门诊特殊疾病保障指南</w:t>
      </w:r>
    </w:p>
    <w:p>
      <w:pPr>
        <w:autoSpaceDE w:val="0"/>
        <w:autoSpaceDN w:val="0"/>
        <w:adjustRightInd w:val="0"/>
        <w:spacing w:line="600" w:lineRule="exact"/>
        <w:jc w:val="center"/>
        <w:rPr>
          <w:rFonts w:ascii="Times New Roman" w:hAnsi="Times New Roman" w:eastAsia="方正小标宋_GBK" w:cs="方正小标宋_GBK"/>
          <w:color w:val="000000" w:themeColor="text1"/>
          <w:kern w:val="0"/>
          <w:sz w:val="44"/>
          <w:szCs w:val="44"/>
          <w14:textFill>
            <w14:solidFill>
              <w14:schemeClr w14:val="tx1"/>
            </w14:solidFill>
          </w14:textFill>
        </w:rPr>
      </w:pPr>
    </w:p>
    <w:p>
      <w:pPr>
        <w:autoSpaceDE w:val="0"/>
        <w:autoSpaceDN w:val="0"/>
        <w:adjustRightInd w:val="0"/>
        <w:spacing w:line="600" w:lineRule="exact"/>
        <w:jc w:val="center"/>
        <w:rPr>
          <w:rFonts w:hint="eastAsia" w:ascii="方正小标宋_GBK" w:hAnsi="方正小标宋_GBK" w:eastAsia="方正小标宋_GBK" w:cs="方正小标宋_GBK"/>
          <w:color w:val="000000" w:themeColor="text1"/>
          <w:kern w:val="0"/>
          <w:sz w:val="44"/>
          <w:szCs w:val="44"/>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14:textFill>
            <w14:solidFill>
              <w14:schemeClr w14:val="tx1"/>
            </w14:solidFill>
          </w14:textFill>
        </w:rPr>
        <w:t>（2025年</w:t>
      </w:r>
      <w:r>
        <w:rPr>
          <w:rFonts w:hint="eastAsia" w:ascii="方正小标宋_GBK" w:hAnsi="方正小标宋_GBK" w:eastAsia="方正小标宋_GBK" w:cs="方正小标宋_GBK"/>
          <w:color w:val="000000" w:themeColor="text1"/>
          <w:kern w:val="0"/>
          <w:sz w:val="44"/>
          <w:szCs w:val="44"/>
          <w:lang w:eastAsia="zh-CN"/>
          <w14:textFill>
            <w14:solidFill>
              <w14:schemeClr w14:val="tx1"/>
            </w14:solidFill>
          </w14:textFill>
        </w:rPr>
        <w:t>修订版</w:t>
      </w:r>
      <w:r>
        <w:rPr>
          <w:rFonts w:hint="eastAsia" w:ascii="方正小标宋_GBK" w:hAnsi="方正小标宋_GBK" w:eastAsia="方正小标宋_GBK" w:cs="方正小标宋_GBK"/>
          <w:color w:val="000000" w:themeColor="text1"/>
          <w:kern w:val="0"/>
          <w:sz w:val="44"/>
          <w:szCs w:val="44"/>
          <w14:textFill>
            <w14:solidFill>
              <w14:schemeClr w14:val="tx1"/>
            </w14:solidFill>
          </w14:textFill>
        </w:rPr>
        <w:t>）</w:t>
      </w:r>
    </w:p>
    <w:p>
      <w:pPr>
        <w:autoSpaceDE w:val="0"/>
        <w:autoSpaceDN w:val="0"/>
        <w:adjustRightInd w:val="0"/>
        <w:spacing w:line="600" w:lineRule="exact"/>
        <w:jc w:val="center"/>
        <w:rPr>
          <w:rFonts w:ascii="Times New Roman" w:hAnsi="Times New Roman" w:eastAsia="方正小标宋_GBK" w:cs="方正小标宋_GBK"/>
          <w:color w:val="000000" w:themeColor="text1"/>
          <w:kern w:val="0"/>
          <w:sz w:val="44"/>
          <w:szCs w:val="44"/>
          <w14:textFill>
            <w14:solidFill>
              <w14:schemeClr w14:val="tx1"/>
            </w14:solidFill>
          </w14:textFill>
        </w:rPr>
      </w:pPr>
    </w:p>
    <w:p>
      <w:pPr>
        <w:autoSpaceDE w:val="0"/>
        <w:autoSpaceDN w:val="0"/>
        <w:adjustRightInd w:val="0"/>
        <w:spacing w:line="600" w:lineRule="exact"/>
        <w:jc w:val="center"/>
        <w:rPr>
          <w:rFonts w:ascii="Times New Roman" w:hAnsi="Times New Roman" w:eastAsia="方正小标宋_GBK" w:cs="方正小标宋_GBK"/>
          <w:color w:val="000000" w:themeColor="text1"/>
          <w:kern w:val="0"/>
          <w:sz w:val="44"/>
          <w:szCs w:val="44"/>
          <w14:textFill>
            <w14:solidFill>
              <w14:schemeClr w14:val="tx1"/>
            </w14:solidFill>
          </w14:textFill>
        </w:rPr>
      </w:pPr>
    </w:p>
    <w:p>
      <w:pPr>
        <w:autoSpaceDE w:val="0"/>
        <w:autoSpaceDN w:val="0"/>
        <w:adjustRightInd w:val="0"/>
        <w:spacing w:line="600" w:lineRule="exact"/>
        <w:jc w:val="center"/>
        <w:rPr>
          <w:rFonts w:ascii="Times New Roman" w:hAnsi="Times New Roman" w:eastAsia="方正小标宋_GBK" w:cs="方正小标宋_GBK"/>
          <w:color w:val="000000" w:themeColor="text1"/>
          <w:kern w:val="0"/>
          <w:sz w:val="44"/>
          <w:szCs w:val="44"/>
          <w14:textFill>
            <w14:solidFill>
              <w14:schemeClr w14:val="tx1"/>
            </w14:solidFill>
          </w14:textFill>
        </w:rPr>
      </w:pPr>
    </w:p>
    <w:p>
      <w:pPr>
        <w:autoSpaceDE w:val="0"/>
        <w:autoSpaceDN w:val="0"/>
        <w:adjustRightInd w:val="0"/>
        <w:spacing w:line="600" w:lineRule="exact"/>
        <w:jc w:val="center"/>
        <w:rPr>
          <w:rFonts w:ascii="Times New Roman" w:hAnsi="Times New Roman" w:eastAsia="方正小标宋_GBK" w:cs="方正小标宋_GBK"/>
          <w:color w:val="000000" w:themeColor="text1"/>
          <w:kern w:val="0"/>
          <w:sz w:val="44"/>
          <w:szCs w:val="44"/>
          <w14:textFill>
            <w14:solidFill>
              <w14:schemeClr w14:val="tx1"/>
            </w14:solidFill>
          </w14:textFill>
        </w:rPr>
      </w:pPr>
    </w:p>
    <w:p>
      <w:pPr>
        <w:autoSpaceDE w:val="0"/>
        <w:autoSpaceDN w:val="0"/>
        <w:adjustRightInd w:val="0"/>
        <w:spacing w:line="600" w:lineRule="exact"/>
        <w:jc w:val="center"/>
        <w:rPr>
          <w:rFonts w:ascii="Times New Roman" w:hAnsi="Times New Roman" w:eastAsia="方正小标宋_GBK" w:cs="方正小标宋_GBK"/>
          <w:color w:val="000000" w:themeColor="text1"/>
          <w:kern w:val="0"/>
          <w:sz w:val="44"/>
          <w:szCs w:val="44"/>
          <w14:textFill>
            <w14:solidFill>
              <w14:schemeClr w14:val="tx1"/>
            </w14:solidFill>
          </w14:textFill>
        </w:rPr>
      </w:pPr>
    </w:p>
    <w:p>
      <w:pPr>
        <w:autoSpaceDE w:val="0"/>
        <w:autoSpaceDN w:val="0"/>
        <w:adjustRightInd w:val="0"/>
        <w:spacing w:line="600" w:lineRule="exact"/>
        <w:jc w:val="center"/>
        <w:rPr>
          <w:rFonts w:ascii="Times New Roman" w:hAnsi="Times New Roman" w:eastAsia="方正小标宋_GBK" w:cs="方正小标宋_GBK"/>
          <w:color w:val="000000" w:themeColor="text1"/>
          <w:kern w:val="0"/>
          <w:sz w:val="44"/>
          <w:szCs w:val="44"/>
          <w14:textFill>
            <w14:solidFill>
              <w14:schemeClr w14:val="tx1"/>
            </w14:solidFill>
          </w14:textFill>
        </w:rPr>
      </w:pPr>
    </w:p>
    <w:p>
      <w:pPr>
        <w:autoSpaceDE w:val="0"/>
        <w:autoSpaceDN w:val="0"/>
        <w:adjustRightInd w:val="0"/>
        <w:spacing w:line="600" w:lineRule="exact"/>
        <w:jc w:val="center"/>
        <w:rPr>
          <w:rFonts w:ascii="Times New Roman" w:hAnsi="Times New Roman" w:eastAsia="方正小标宋_GBK" w:cs="方正小标宋_GBK"/>
          <w:color w:val="000000" w:themeColor="text1"/>
          <w:kern w:val="0"/>
          <w:sz w:val="44"/>
          <w:szCs w:val="44"/>
          <w14:textFill>
            <w14:solidFill>
              <w14:schemeClr w14:val="tx1"/>
            </w14:solidFill>
          </w14:textFill>
        </w:rPr>
      </w:pPr>
    </w:p>
    <w:p>
      <w:pPr>
        <w:autoSpaceDE w:val="0"/>
        <w:autoSpaceDN w:val="0"/>
        <w:adjustRightInd w:val="0"/>
        <w:spacing w:line="600" w:lineRule="exact"/>
        <w:jc w:val="center"/>
        <w:rPr>
          <w:rFonts w:ascii="Times New Roman" w:hAnsi="Times New Roman" w:eastAsia="方正小标宋_GBK" w:cs="方正小标宋_GBK"/>
          <w:color w:val="000000" w:themeColor="text1"/>
          <w:kern w:val="0"/>
          <w:sz w:val="44"/>
          <w:szCs w:val="44"/>
          <w14:textFill>
            <w14:solidFill>
              <w14:schemeClr w14:val="tx1"/>
            </w14:solidFill>
          </w14:textFill>
        </w:rPr>
      </w:pPr>
    </w:p>
    <w:p>
      <w:pPr>
        <w:autoSpaceDE w:val="0"/>
        <w:autoSpaceDN w:val="0"/>
        <w:adjustRightInd w:val="0"/>
        <w:spacing w:line="600" w:lineRule="exact"/>
        <w:jc w:val="center"/>
        <w:rPr>
          <w:rFonts w:ascii="Times New Roman" w:hAnsi="Times New Roman" w:eastAsia="方正小标宋_GBK" w:cs="方正小标宋_GBK"/>
          <w:color w:val="000000" w:themeColor="text1"/>
          <w:kern w:val="0"/>
          <w:sz w:val="44"/>
          <w:szCs w:val="44"/>
          <w14:textFill>
            <w14:solidFill>
              <w14:schemeClr w14:val="tx1"/>
            </w14:solidFill>
          </w14:textFill>
        </w:rPr>
      </w:pPr>
    </w:p>
    <w:p>
      <w:pPr>
        <w:autoSpaceDE w:val="0"/>
        <w:autoSpaceDN w:val="0"/>
        <w:adjustRightInd w:val="0"/>
        <w:spacing w:line="600" w:lineRule="exact"/>
        <w:jc w:val="center"/>
        <w:rPr>
          <w:rFonts w:ascii="Times New Roman" w:hAnsi="Times New Roman" w:eastAsia="方正小标宋_GBK" w:cs="方正小标宋_GBK"/>
          <w:color w:val="000000" w:themeColor="text1"/>
          <w:kern w:val="0"/>
          <w:sz w:val="44"/>
          <w:szCs w:val="44"/>
          <w14:textFill>
            <w14:solidFill>
              <w14:schemeClr w14:val="tx1"/>
            </w14:solidFill>
          </w14:textFill>
        </w:rPr>
      </w:pPr>
    </w:p>
    <w:p>
      <w:pPr>
        <w:autoSpaceDE w:val="0"/>
        <w:autoSpaceDN w:val="0"/>
        <w:adjustRightInd w:val="0"/>
        <w:spacing w:line="600" w:lineRule="exact"/>
        <w:jc w:val="center"/>
        <w:rPr>
          <w:rFonts w:ascii="Times New Roman" w:hAnsi="Times New Roman" w:eastAsia="方正小标宋_GBK" w:cs="方正小标宋_GBK"/>
          <w:color w:val="000000" w:themeColor="text1"/>
          <w:kern w:val="0"/>
          <w:sz w:val="44"/>
          <w:szCs w:val="44"/>
          <w14:textFill>
            <w14:solidFill>
              <w14:schemeClr w14:val="tx1"/>
            </w14:solidFill>
          </w14:textFill>
        </w:rPr>
      </w:pPr>
    </w:p>
    <w:p>
      <w:pPr>
        <w:autoSpaceDE w:val="0"/>
        <w:autoSpaceDN w:val="0"/>
        <w:adjustRightInd w:val="0"/>
        <w:spacing w:line="600" w:lineRule="exact"/>
        <w:jc w:val="center"/>
        <w:rPr>
          <w:rFonts w:hint="eastAsia" w:ascii="方正黑体_GBK" w:hAnsi="方正黑体_GBK" w:eastAsia="方正黑体_GBK" w:cs="方正黑体_GBK"/>
          <w:color w:val="000000" w:themeColor="text1"/>
          <w:kern w:val="0"/>
          <w:sz w:val="32"/>
          <w:szCs w:val="32"/>
          <w14:textFill>
            <w14:solidFill>
              <w14:schemeClr w14:val="tx1"/>
            </w14:solidFill>
          </w14:textFill>
        </w:rPr>
      </w:pPr>
    </w:p>
    <w:p>
      <w:pPr>
        <w:autoSpaceDE w:val="0"/>
        <w:autoSpaceDN w:val="0"/>
        <w:adjustRightInd w:val="0"/>
        <w:spacing w:line="600" w:lineRule="exact"/>
        <w:jc w:val="center"/>
        <w:rPr>
          <w:rFonts w:hint="eastAsia" w:ascii="方正黑体_GBK" w:hAnsi="方正黑体_GBK" w:eastAsia="方正黑体_GBK" w:cs="方正黑体_GBK"/>
          <w:color w:val="000000" w:themeColor="text1"/>
          <w:kern w:val="0"/>
          <w:sz w:val="32"/>
          <w:szCs w:val="32"/>
          <w14:textFill>
            <w14:solidFill>
              <w14:schemeClr w14:val="tx1"/>
            </w14:solidFill>
          </w14:textFill>
        </w:rPr>
      </w:pPr>
      <w:r>
        <w:rPr>
          <w:rFonts w:hint="eastAsia" w:ascii="方正黑体_GBK" w:hAnsi="方正黑体_GBK" w:eastAsia="方正黑体_GBK" w:cs="方正黑体_GBK"/>
          <w:color w:val="000000" w:themeColor="text1"/>
          <w:kern w:val="0"/>
          <w:sz w:val="32"/>
          <w:szCs w:val="32"/>
          <w14:textFill>
            <w14:solidFill>
              <w14:schemeClr w14:val="tx1"/>
            </w14:solidFill>
          </w14:textFill>
        </w:rPr>
        <w:t>重庆市医疗保障局</w:t>
      </w:r>
    </w:p>
    <w:p>
      <w:pPr>
        <w:autoSpaceDE w:val="0"/>
        <w:autoSpaceDN w:val="0"/>
        <w:adjustRightInd w:val="0"/>
        <w:spacing w:line="600" w:lineRule="exact"/>
        <w:jc w:val="center"/>
        <w:rPr>
          <w:rFonts w:ascii="Times New Roman" w:hAnsi="Times New Roman" w:eastAsia="方正小标宋_GBK" w:cs="方正小标宋_GBK"/>
          <w:color w:val="000000" w:themeColor="text1"/>
          <w:kern w:val="0"/>
          <w:sz w:val="44"/>
          <w:szCs w:val="44"/>
          <w14:textFill>
            <w14:solidFill>
              <w14:schemeClr w14:val="tx1"/>
            </w14:solidFill>
          </w14:textFill>
        </w:rPr>
      </w:pPr>
    </w:p>
    <w:p>
      <w:pPr>
        <w:autoSpaceDE w:val="0"/>
        <w:autoSpaceDN w:val="0"/>
        <w:adjustRightInd w:val="0"/>
        <w:spacing w:line="600" w:lineRule="exact"/>
        <w:rPr>
          <w:rFonts w:ascii="Times New Roman" w:hAnsi="Times New Roman" w:eastAsia="方正小标宋_GBK" w:cs="方正小标宋_GBK"/>
          <w:color w:val="000000" w:themeColor="text1"/>
          <w:kern w:val="0"/>
          <w:sz w:val="44"/>
          <w:szCs w:val="44"/>
          <w14:textFill>
            <w14:solidFill>
              <w14:schemeClr w14:val="tx1"/>
            </w14:solidFill>
          </w14:textFill>
        </w:rPr>
      </w:pPr>
    </w:p>
    <w:p>
      <w:pPr>
        <w:autoSpaceDE w:val="0"/>
        <w:autoSpaceDN w:val="0"/>
        <w:adjustRightInd w:val="0"/>
        <w:spacing w:line="600" w:lineRule="exact"/>
        <w:jc w:val="center"/>
        <w:rPr>
          <w:rFonts w:ascii="Times New Roman" w:hAnsi="Times New Roman" w:eastAsia="方正小标宋_GBK" w:cs="方正小标宋_GBK"/>
          <w:color w:val="000000" w:themeColor="text1"/>
          <w:kern w:val="0"/>
          <w:sz w:val="44"/>
          <w:szCs w:val="44"/>
          <w14:textFill>
            <w14:solidFill>
              <w14:schemeClr w14:val="tx1"/>
            </w14:solidFill>
          </w14:textFill>
        </w:rPr>
        <w:sectPr>
          <w:footerReference r:id="rId3" w:type="even"/>
          <w:pgSz w:w="11906" w:h="16838"/>
          <w:pgMar w:top="2098" w:right="1474" w:bottom="1985" w:left="1588" w:header="851" w:footer="992" w:gutter="0"/>
          <w:pgNumType w:fmt="numberInDash"/>
          <w:cols w:space="425" w:num="1"/>
          <w:docGrid w:type="lines" w:linePitch="312" w:charSpace="0"/>
        </w:sectPr>
      </w:pPr>
    </w:p>
    <w:p>
      <w:pPr>
        <w:autoSpaceDE w:val="0"/>
        <w:autoSpaceDN w:val="0"/>
        <w:adjustRightInd w:val="0"/>
        <w:spacing w:line="600" w:lineRule="exact"/>
        <w:jc w:val="center"/>
        <w:rPr>
          <w:rFonts w:ascii="Times New Roman" w:hAnsi="Times New Roman" w:eastAsia="方正小标宋_GBK" w:cs="方正小标宋_GBK"/>
          <w:color w:val="000000" w:themeColor="text1"/>
          <w:kern w:val="0"/>
          <w:sz w:val="44"/>
          <w:szCs w:val="44"/>
          <w14:textFill>
            <w14:solidFill>
              <w14:schemeClr w14:val="tx1"/>
            </w14:solidFill>
          </w14:textFill>
        </w:rPr>
      </w:pPr>
    </w:p>
    <w:p>
      <w:pPr>
        <w:autoSpaceDE w:val="0"/>
        <w:autoSpaceDN w:val="0"/>
        <w:adjustRightInd w:val="0"/>
        <w:spacing w:line="600" w:lineRule="exact"/>
        <w:jc w:val="center"/>
        <w:rPr>
          <w:rFonts w:ascii="Times New Roman" w:hAnsi="Times New Roman" w:eastAsia="方正小标宋_GBK" w:cs="方正小标宋_GBK"/>
          <w:color w:val="000000" w:themeColor="text1"/>
          <w:kern w:val="0"/>
          <w:sz w:val="44"/>
          <w:szCs w:val="44"/>
          <w14:textFill>
            <w14:solidFill>
              <w14:schemeClr w14:val="tx1"/>
            </w14:solidFill>
          </w14:textFill>
        </w:rPr>
        <w:sectPr>
          <w:footerReference r:id="rId4" w:type="default"/>
          <w:pgSz w:w="11906" w:h="16838"/>
          <w:pgMar w:top="2098" w:right="1474" w:bottom="1985" w:left="1588" w:header="851" w:footer="992" w:gutter="0"/>
          <w:pgNumType w:fmt="numberInDash" w:start="1"/>
          <w:cols w:space="425" w:num="1"/>
          <w:docGrid w:type="lines" w:linePitch="312" w:charSpace="0"/>
        </w:sectPr>
      </w:pPr>
    </w:p>
    <w:p>
      <w:pPr>
        <w:autoSpaceDE w:val="0"/>
        <w:autoSpaceDN w:val="0"/>
        <w:adjustRightInd w:val="0"/>
        <w:spacing w:line="600" w:lineRule="exact"/>
        <w:jc w:val="center"/>
        <w:rPr>
          <w:rFonts w:ascii="Times New Roman" w:hAnsi="Times New Roman" w:eastAsia="方正小标宋_GBK" w:cs="方正小标宋_GBK"/>
          <w:color w:val="000000" w:themeColor="text1"/>
          <w:kern w:val="0"/>
          <w:sz w:val="44"/>
          <w:szCs w:val="44"/>
          <w14:textFill>
            <w14:solidFill>
              <w14:schemeClr w14:val="tx1"/>
            </w14:solidFill>
          </w14:textFill>
        </w:rPr>
      </w:pPr>
      <w:r>
        <w:rPr>
          <w:rFonts w:hint="eastAsia" w:ascii="Times New Roman" w:hAnsi="Times New Roman" w:eastAsia="方正小标宋_GBK" w:cs="方正小标宋_GBK"/>
          <w:color w:val="000000" w:themeColor="text1"/>
          <w:kern w:val="0"/>
          <w:sz w:val="44"/>
          <w:szCs w:val="44"/>
          <w14:textFill>
            <w14:solidFill>
              <w14:schemeClr w14:val="tx1"/>
            </w14:solidFill>
          </w14:textFill>
        </w:rPr>
        <w:t>目  录</w:t>
      </w:r>
    </w:p>
    <w:p>
      <w:pPr>
        <w:autoSpaceDE w:val="0"/>
        <w:autoSpaceDN w:val="0"/>
        <w:adjustRightInd w:val="0"/>
        <w:spacing w:line="600" w:lineRule="exact"/>
        <w:jc w:val="center"/>
        <w:rPr>
          <w:rFonts w:ascii="Times New Roman" w:hAnsi="Times New Roman" w:eastAsia="方正小标宋_GBK" w:cs="方正小标宋_GBK"/>
          <w:color w:val="000000" w:themeColor="text1"/>
          <w:kern w:val="0"/>
          <w:sz w:val="44"/>
          <w:szCs w:val="44"/>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ascii="Times New Roman" w:hAnsi="Times New Roman" w:eastAsia="方正楷体_GBK" w:cs="方正仿宋_GBK"/>
          <w:b/>
          <w:bCs/>
          <w:color w:val="000000" w:themeColor="text1"/>
          <w:kern w:val="0"/>
          <w:sz w:val="30"/>
          <w:szCs w:val="30"/>
          <w14:textFill>
            <w14:solidFill>
              <w14:schemeClr w14:val="tx1"/>
            </w14:solidFill>
          </w14:textFill>
        </w:rPr>
      </w:pPr>
      <w:r>
        <w:rPr>
          <w:rFonts w:hint="eastAsia" w:ascii="Times New Roman" w:hAnsi="Times New Roman" w:eastAsia="方正楷体_GBK" w:cs="方正楷体_GBK"/>
          <w:b/>
          <w:bCs/>
          <w:color w:val="000000" w:themeColor="text1"/>
          <w:kern w:val="0"/>
          <w:sz w:val="30"/>
          <w:szCs w:val="30"/>
          <w14:textFill>
            <w14:solidFill>
              <w14:schemeClr w14:val="tx1"/>
            </w14:solidFill>
          </w14:textFill>
        </w:rPr>
        <w:t>一类病种</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eastAsia" w:ascii="Times New Roman" w:hAnsi="Times New Roman" w:eastAsia="方正仿宋_GBK" w:cs="方正仿宋_GBK"/>
          <w:color w:val="000000" w:themeColor="text1"/>
          <w:kern w:val="0"/>
          <w:sz w:val="30"/>
          <w:szCs w:val="30"/>
          <w:lang w:eastAsia="zh-CN"/>
          <w14:textFill>
            <w14:solidFill>
              <w14:schemeClr w14:val="tx1"/>
            </w14:solidFill>
          </w14:textFill>
        </w:rPr>
      </w:pPr>
      <w:r>
        <w:rPr>
          <w:rFonts w:hint="eastAsia" w:ascii="Times New Roman" w:hAnsi="Times New Roman" w:eastAsia="方正仿宋_GBK" w:cs="方正仿宋_GBK"/>
          <w:color w:val="000000" w:themeColor="text1"/>
          <w:kern w:val="0"/>
          <w:sz w:val="30"/>
          <w:szCs w:val="30"/>
          <w14:textFill>
            <w14:solidFill>
              <w14:schemeClr w14:val="tx1"/>
            </w14:solidFill>
          </w14:textFill>
        </w:rPr>
        <w:t>1．慢性肾衰竭血液净化治疗...</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1</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eastAsia" w:ascii="Times New Roman" w:hAnsi="Times New Roman" w:eastAsia="方正仿宋_GBK" w:cs="方正仿宋_GBK"/>
          <w:color w:val="000000" w:themeColor="text1"/>
          <w:kern w:val="0"/>
          <w:sz w:val="30"/>
          <w:szCs w:val="30"/>
          <w:lang w:eastAsia="zh-CN"/>
          <w14:textFill>
            <w14:solidFill>
              <w14:schemeClr w14:val="tx1"/>
            </w14:solidFill>
          </w14:textFill>
        </w:rPr>
      </w:pPr>
      <w:r>
        <w:rPr>
          <w:rFonts w:hint="eastAsia" w:ascii="Times New Roman" w:hAnsi="Times New Roman" w:eastAsia="方正仿宋_GBK" w:cs="方正仿宋_GBK"/>
          <w:color w:val="000000" w:themeColor="text1"/>
          <w:kern w:val="0"/>
          <w:sz w:val="30"/>
          <w:szCs w:val="30"/>
          <w14:textFill>
            <w14:solidFill>
              <w14:schemeClr w14:val="tx1"/>
            </w14:solidFill>
          </w14:textFill>
        </w:rPr>
        <w:t>2．器官（包括组织、细胞）移植术后抗排异治疗...</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6</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color w:val="000000" w:themeColor="text1"/>
          <w:kern w:val="0"/>
          <w:sz w:val="30"/>
          <w:szCs w:val="30"/>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30"/>
          <w:szCs w:val="30"/>
          <w14:textFill>
            <w14:solidFill>
              <w14:schemeClr w14:val="tx1"/>
            </w14:solidFill>
          </w14:textFill>
        </w:rPr>
        <w:t>3．恶性肿瘤...........................................................</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26</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eastAsia" w:ascii="Times New Roman" w:hAnsi="Times New Roman" w:eastAsia="方正仿宋_GBK" w:cs="方正仿宋_GBK"/>
          <w:color w:val="000000" w:themeColor="text1"/>
          <w:kern w:val="0"/>
          <w:sz w:val="30"/>
          <w:szCs w:val="30"/>
          <w:lang w:eastAsia="zh-CN"/>
          <w14:textFill>
            <w14:solidFill>
              <w14:schemeClr w14:val="tx1"/>
            </w14:solidFill>
          </w14:textFill>
        </w:rPr>
      </w:pPr>
      <w:r>
        <w:rPr>
          <w:rFonts w:hint="eastAsia" w:ascii="Times New Roman" w:hAnsi="Times New Roman" w:eastAsia="方正仿宋_GBK" w:cs="方正仿宋_GBK"/>
          <w:color w:val="000000" w:themeColor="text1"/>
          <w:kern w:val="0"/>
          <w:sz w:val="30"/>
          <w:szCs w:val="30"/>
          <w14:textFill>
            <w14:solidFill>
              <w14:schemeClr w14:val="tx1"/>
            </w14:solidFill>
          </w14:textFill>
        </w:rPr>
        <w:t>4．血友病......................................................................</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ascii="Times New Roman" w:hAnsi="Times New Roman" w:eastAsia="方正仿宋_GBK" w:cs="方正仿宋_GBK"/>
          <w:color w:val="000000" w:themeColor="text1"/>
          <w:kern w:val="0"/>
          <w:sz w:val="30"/>
          <w:szCs w:val="30"/>
          <w14:textFill>
            <w14:solidFill>
              <w14:schemeClr w14:val="tx1"/>
            </w14:solidFill>
          </w14:textFill>
        </w:rPr>
        <w:t>3</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0</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color w:val="000000" w:themeColor="text1"/>
          <w:kern w:val="0"/>
          <w:sz w:val="30"/>
          <w:szCs w:val="30"/>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30"/>
          <w:szCs w:val="30"/>
          <w14:textFill>
            <w14:solidFill>
              <w14:schemeClr w14:val="tx1"/>
            </w14:solidFill>
          </w14:textFill>
        </w:rPr>
        <w:t>5．再生障碍性贫血.................................................</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34</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ascii="Times New Roman" w:hAnsi="Times New Roman" w:eastAsia="方正仿宋_GBK" w:cs="方正仿宋_GBK"/>
          <w:color w:val="000000" w:themeColor="text1"/>
          <w:kern w:val="0"/>
          <w:sz w:val="30"/>
          <w:szCs w:val="30"/>
          <w14:textFill>
            <w14:solidFill>
              <w14:schemeClr w14:val="tx1"/>
            </w14:solidFill>
          </w14:textFill>
        </w:rPr>
      </w:pPr>
      <w:r>
        <w:rPr>
          <w:rFonts w:hint="eastAsia" w:ascii="Times New Roman" w:hAnsi="Times New Roman" w:eastAsia="方正仿宋_GBK" w:cs="方正仿宋_GBK"/>
          <w:color w:val="000000" w:themeColor="text1"/>
          <w:kern w:val="0"/>
          <w:sz w:val="30"/>
          <w:szCs w:val="30"/>
          <w14:textFill>
            <w14:solidFill>
              <w14:schemeClr w14:val="tx1"/>
            </w14:solidFill>
          </w14:textFill>
        </w:rPr>
        <w:t>6．地中海贫血（中、重型）.................................</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37</w:t>
      </w:r>
      <w:r>
        <w:rPr>
          <w:rFonts w:hint="eastAsia" w:ascii="Times New Roman" w:hAnsi="Times New Roman" w:eastAsia="方正仿宋_GBK" w:cs="方正仿宋_GBK"/>
          <w:color w:val="000000" w:themeColor="text1"/>
          <w:kern w:val="0"/>
          <w:sz w:val="30"/>
          <w:szCs w:val="30"/>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color w:val="000000" w:themeColor="text1"/>
          <w:kern w:val="0"/>
          <w:sz w:val="30"/>
          <w:szCs w:val="30"/>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30"/>
          <w:szCs w:val="30"/>
          <w14:textFill>
            <w14:solidFill>
              <w14:schemeClr w14:val="tx1"/>
            </w14:solidFill>
          </w14:textFill>
        </w:rPr>
        <w:t>7．扩张型心肌病......................................................</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40</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ascii="Times New Roman" w:hAnsi="Times New Roman" w:eastAsia="方正仿宋_GBK" w:cs="方正仿宋_GBK"/>
          <w:color w:val="000000" w:themeColor="text1"/>
          <w:kern w:val="0"/>
          <w:sz w:val="30"/>
          <w:szCs w:val="30"/>
          <w14:textFill>
            <w14:solidFill>
              <w14:schemeClr w14:val="tx1"/>
            </w14:solidFill>
          </w14:textFill>
        </w:rPr>
      </w:pPr>
      <w:r>
        <w:rPr>
          <w:rFonts w:hint="eastAsia" w:ascii="Times New Roman" w:hAnsi="Times New Roman" w:eastAsia="方正仿宋_GBK" w:cs="方正仿宋_GBK"/>
          <w:color w:val="000000" w:themeColor="text1"/>
          <w:kern w:val="0"/>
          <w:sz w:val="30"/>
          <w:szCs w:val="30"/>
          <w14:textFill>
            <w14:solidFill>
              <w14:schemeClr w14:val="tx1"/>
            </w14:solidFill>
          </w14:textFill>
        </w:rPr>
        <w:t>8．克山病....................................................................</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42</w:t>
      </w:r>
      <w:r>
        <w:rPr>
          <w:rFonts w:hint="eastAsia" w:ascii="Times New Roman" w:hAnsi="Times New Roman" w:eastAsia="方正仿宋_GBK" w:cs="方正仿宋_GBK"/>
          <w:color w:val="000000" w:themeColor="text1"/>
          <w:kern w:val="0"/>
          <w:sz w:val="30"/>
          <w:szCs w:val="30"/>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ascii="Times New Roman" w:hAnsi="Times New Roman" w:eastAsia="方正仿宋_GBK" w:cs="方正仿宋_GBK"/>
          <w:color w:val="000000" w:themeColor="text1"/>
          <w:kern w:val="0"/>
          <w:sz w:val="30"/>
          <w:szCs w:val="30"/>
          <w14:textFill>
            <w14:solidFill>
              <w14:schemeClr w14:val="tx1"/>
            </w14:solidFill>
          </w14:textFill>
        </w:rPr>
      </w:pPr>
      <w:r>
        <w:rPr>
          <w:rFonts w:hint="eastAsia" w:ascii="Times New Roman" w:hAnsi="Times New Roman" w:eastAsia="方正仿宋_GBK" w:cs="方正仿宋_GBK"/>
          <w:color w:val="000000" w:themeColor="text1"/>
          <w:kern w:val="0"/>
          <w:sz w:val="30"/>
          <w:szCs w:val="30"/>
          <w14:textFill>
            <w14:solidFill>
              <w14:schemeClr w14:val="tx1"/>
            </w14:solidFill>
          </w14:textFill>
        </w:rPr>
        <w:t>9．阿尔茨海默病.....................................................</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44</w:t>
      </w:r>
      <w:r>
        <w:rPr>
          <w:rFonts w:hint="eastAsia" w:ascii="Times New Roman" w:hAnsi="Times New Roman" w:eastAsia="方正仿宋_GBK" w:cs="方正仿宋_GBK"/>
          <w:color w:val="000000" w:themeColor="text1"/>
          <w:kern w:val="0"/>
          <w:sz w:val="30"/>
          <w:szCs w:val="30"/>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color w:val="000000" w:themeColor="text1"/>
          <w:kern w:val="0"/>
          <w:sz w:val="30"/>
          <w:szCs w:val="30"/>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30"/>
          <w:szCs w:val="30"/>
          <w14:textFill>
            <w14:solidFill>
              <w14:schemeClr w14:val="tx1"/>
            </w14:solidFill>
          </w14:textFill>
        </w:rPr>
        <w:t>10．艾滋病机会性感染............................................................</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47</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color w:val="000000" w:themeColor="text1"/>
          <w:kern w:val="0"/>
          <w:sz w:val="30"/>
          <w:szCs w:val="30"/>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30"/>
          <w:szCs w:val="30"/>
          <w14:textFill>
            <w14:solidFill>
              <w14:schemeClr w14:val="tx1"/>
            </w14:solidFill>
          </w14:textFill>
        </w:rPr>
        <w:t>11．耐药结核病.......................................................................</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52</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color w:val="000000" w:themeColor="text1"/>
          <w:kern w:val="0"/>
          <w:sz w:val="30"/>
          <w:szCs w:val="30"/>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30"/>
          <w:szCs w:val="30"/>
          <w14:textFill>
            <w14:solidFill>
              <w14:schemeClr w14:val="tx1"/>
            </w14:solidFill>
          </w14:textFill>
        </w:rPr>
        <w:t>12．高苯丙氨酸血症（苯丙酮尿症、四氢生物蝶呤缺乏症）...........................................................................................</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57</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color w:val="000000" w:themeColor="text1"/>
          <w:kern w:val="0"/>
          <w:sz w:val="30"/>
          <w:szCs w:val="30"/>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30"/>
          <w:szCs w:val="30"/>
          <w14:textFill>
            <w14:solidFill>
              <w14:schemeClr w14:val="tx1"/>
            </w14:solidFill>
          </w14:textFill>
        </w:rPr>
        <w:t>13．普拉德-威利综合征............................................</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59</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color w:val="000000" w:themeColor="text1"/>
          <w:kern w:val="0"/>
          <w:sz w:val="30"/>
          <w:szCs w:val="30"/>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30"/>
          <w:szCs w:val="30"/>
          <w14:textFill>
            <w14:solidFill>
              <w14:schemeClr w14:val="tx1"/>
            </w14:solidFill>
          </w14:textFill>
        </w:rPr>
        <w:t>14．原发性生长激素缺乏症.....................................</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60</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ascii="Times New Roman" w:hAnsi="Times New Roman" w:eastAsia="方正楷体_GBK" w:cs="方正楷体_GBK"/>
          <w:b/>
          <w:bCs/>
          <w:color w:val="000000" w:themeColor="text1"/>
          <w:kern w:val="0"/>
          <w:sz w:val="30"/>
          <w:szCs w:val="30"/>
          <w14:textFill>
            <w14:solidFill>
              <w14:schemeClr w14:val="tx1"/>
            </w14:solidFill>
          </w14:textFill>
        </w:rPr>
      </w:pPr>
      <w:r>
        <w:rPr>
          <w:rFonts w:hint="eastAsia" w:ascii="Times New Roman" w:hAnsi="Times New Roman" w:eastAsia="方正楷体_GBK" w:cs="方正楷体_GBK"/>
          <w:b/>
          <w:bCs/>
          <w:color w:val="000000" w:themeColor="text1"/>
          <w:kern w:val="0"/>
          <w:sz w:val="30"/>
          <w:szCs w:val="30"/>
          <w14:textFill>
            <w14:solidFill>
              <w14:schemeClr w14:val="tx1"/>
            </w14:solidFill>
          </w14:textFill>
        </w:rPr>
        <w:t>二类病种</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ascii="Times New Roman" w:hAnsi="Times New Roman" w:eastAsia="方正仿宋_GBK" w:cs="方正仿宋_GBK"/>
          <w:color w:val="000000" w:themeColor="text1"/>
          <w:kern w:val="0"/>
          <w:sz w:val="30"/>
          <w:szCs w:val="30"/>
          <w14:textFill>
            <w14:solidFill>
              <w14:schemeClr w14:val="tx1"/>
            </w14:solidFill>
          </w14:textFill>
        </w:rPr>
      </w:pPr>
      <w:r>
        <w:rPr>
          <w:rFonts w:hint="eastAsia" w:ascii="Times New Roman" w:hAnsi="Times New Roman" w:eastAsia="方正仿宋_GBK" w:cs="方正仿宋_GBK"/>
          <w:color w:val="000000" w:themeColor="text1"/>
          <w:kern w:val="0"/>
          <w:sz w:val="30"/>
          <w:szCs w:val="30"/>
          <w14:textFill>
            <w14:solidFill>
              <w14:schemeClr w14:val="tx1"/>
            </w14:solidFill>
          </w14:textFill>
        </w:rPr>
        <w:t>1．强直性脊柱炎....................................................................</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61</w:t>
      </w:r>
      <w:r>
        <w:rPr>
          <w:rFonts w:hint="eastAsia" w:ascii="Times New Roman" w:hAnsi="Times New Roman" w:eastAsia="方正仿宋_GBK" w:cs="方正仿宋_GBK"/>
          <w:color w:val="000000" w:themeColor="text1"/>
          <w:kern w:val="0"/>
          <w:sz w:val="30"/>
          <w:szCs w:val="30"/>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color w:val="000000" w:themeColor="text1"/>
          <w:kern w:val="0"/>
          <w:sz w:val="30"/>
          <w:szCs w:val="30"/>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30"/>
          <w:szCs w:val="30"/>
          <w14:textFill>
            <w14:solidFill>
              <w14:schemeClr w14:val="tx1"/>
            </w14:solidFill>
          </w14:textFill>
        </w:rPr>
        <w:t>2．原发性肾病综合征.......................................................</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64</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eastAsia" w:ascii="Times New Roman" w:hAnsi="Times New Roman" w:eastAsia="方正仿宋_GBK" w:cs="方正仿宋_GBK"/>
          <w:color w:val="000000" w:themeColor="text1"/>
          <w:kern w:val="0"/>
          <w:sz w:val="30"/>
          <w:szCs w:val="30"/>
          <w14:textFill>
            <w14:solidFill>
              <w14:schemeClr w14:val="tx1"/>
            </w14:solidFill>
          </w14:textFill>
        </w:rPr>
        <w:sectPr>
          <w:footerReference r:id="rId5" w:type="default"/>
          <w:pgSz w:w="11906" w:h="16838"/>
          <w:pgMar w:top="2098" w:right="1474" w:bottom="1985" w:left="1588" w:header="851" w:footer="992" w:gutter="0"/>
          <w:pgNumType w:fmt="numberInDash" w:start="1"/>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color w:val="000000" w:themeColor="text1"/>
          <w:kern w:val="0"/>
          <w:sz w:val="30"/>
          <w:szCs w:val="30"/>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30"/>
          <w:szCs w:val="30"/>
          <w14:textFill>
            <w14:solidFill>
              <w14:schemeClr w14:val="tx1"/>
            </w14:solidFill>
          </w14:textFill>
        </w:rPr>
        <w:t>3．肝豆状核变性....................................................................</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67</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color w:val="000000" w:themeColor="text1"/>
          <w:kern w:val="0"/>
          <w:sz w:val="30"/>
          <w:szCs w:val="30"/>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30"/>
          <w:szCs w:val="30"/>
          <w14:textFill>
            <w14:solidFill>
              <w14:schemeClr w14:val="tx1"/>
            </w14:solidFill>
          </w14:textFill>
        </w:rPr>
        <w:t>4．重度骨质疏松...................................................................</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69</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color w:val="000000" w:themeColor="text1"/>
          <w:kern w:val="0"/>
          <w:sz w:val="30"/>
          <w:szCs w:val="30"/>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30"/>
          <w:szCs w:val="30"/>
          <w14:textFill>
            <w14:solidFill>
              <w14:schemeClr w14:val="tx1"/>
            </w14:solidFill>
          </w14:textFill>
        </w:rPr>
        <w:t>5．高血压................................................................................</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71</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color w:val="000000" w:themeColor="text1"/>
          <w:kern w:val="0"/>
          <w:sz w:val="30"/>
          <w:szCs w:val="30"/>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30"/>
          <w:szCs w:val="30"/>
          <w14:textFill>
            <w14:solidFill>
              <w14:schemeClr w14:val="tx1"/>
            </w14:solidFill>
          </w14:textFill>
        </w:rPr>
        <w:t>6．糖尿病.................................................................................</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76</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color w:val="000000" w:themeColor="text1"/>
          <w:kern w:val="0"/>
          <w:sz w:val="30"/>
          <w:szCs w:val="30"/>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30"/>
          <w:szCs w:val="30"/>
          <w14:textFill>
            <w14:solidFill>
              <w14:schemeClr w14:val="tx1"/>
            </w14:solidFill>
          </w14:textFill>
        </w:rPr>
        <w:t>7．甲亢......................................................................................</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79</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color w:val="000000" w:themeColor="text1"/>
          <w:kern w:val="0"/>
          <w:sz w:val="30"/>
          <w:szCs w:val="30"/>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30"/>
          <w:szCs w:val="30"/>
          <w14:textFill>
            <w14:solidFill>
              <w14:schemeClr w14:val="tx1"/>
            </w14:solidFill>
          </w14:textFill>
        </w:rPr>
        <w:t>8．冠心病.................................................................................</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81</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ascii="Times New Roman" w:hAnsi="Times New Roman" w:eastAsia="方正仿宋_GBK" w:cs="方正仿宋_GBK"/>
          <w:color w:val="000000" w:themeColor="text1"/>
          <w:kern w:val="0"/>
          <w:sz w:val="30"/>
          <w:szCs w:val="30"/>
          <w14:textFill>
            <w14:solidFill>
              <w14:schemeClr w14:val="tx1"/>
            </w14:solidFill>
          </w14:textFill>
        </w:rPr>
      </w:pPr>
      <w:r>
        <w:rPr>
          <w:rFonts w:hint="eastAsia" w:ascii="Times New Roman" w:hAnsi="Times New Roman" w:eastAsia="方正仿宋_GBK" w:cs="方正仿宋_GBK"/>
          <w:color w:val="000000" w:themeColor="text1"/>
          <w:kern w:val="0"/>
          <w:sz w:val="30"/>
          <w:szCs w:val="30"/>
          <w14:textFill>
            <w14:solidFill>
              <w14:schemeClr w14:val="tx1"/>
            </w14:solidFill>
          </w14:textFill>
        </w:rPr>
        <w:t>9．风湿性心瓣膜病...............................................................</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83</w:t>
      </w:r>
      <w:r>
        <w:rPr>
          <w:rFonts w:hint="eastAsia" w:ascii="Times New Roman" w:hAnsi="Times New Roman" w:eastAsia="方正仿宋_GBK" w:cs="方正仿宋_GBK"/>
          <w:color w:val="000000" w:themeColor="text1"/>
          <w:kern w:val="0"/>
          <w:sz w:val="30"/>
          <w:szCs w:val="30"/>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color w:val="000000" w:themeColor="text1"/>
          <w:kern w:val="0"/>
          <w:sz w:val="30"/>
          <w:szCs w:val="30"/>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30"/>
          <w:szCs w:val="30"/>
          <w14:textFill>
            <w14:solidFill>
              <w14:schemeClr w14:val="tx1"/>
            </w14:solidFill>
          </w14:textFill>
        </w:rPr>
        <w:t>10．肝硬化..............................................................................</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85</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color w:val="000000" w:themeColor="text1"/>
          <w:kern w:val="0"/>
          <w:sz w:val="30"/>
          <w:szCs w:val="30"/>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30"/>
          <w:szCs w:val="30"/>
          <w14:textFill>
            <w14:solidFill>
              <w14:schemeClr w14:val="tx1"/>
            </w14:solidFill>
          </w14:textFill>
        </w:rPr>
        <w:t>11．脑卒中后遗症（脑梗死、脑出血、蛛网膜下腔出血后遗症、血管性痴呆）...........................................................</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91</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color w:val="000000" w:themeColor="text1"/>
          <w:kern w:val="0"/>
          <w:sz w:val="30"/>
          <w:szCs w:val="30"/>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30"/>
          <w:szCs w:val="30"/>
          <w14:textFill>
            <w14:solidFill>
              <w14:schemeClr w14:val="tx1"/>
            </w14:solidFill>
          </w14:textFill>
        </w:rPr>
        <w:t>12．帕金森病........................................................................</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95</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ascii="Times New Roman" w:hAnsi="Times New Roman" w:eastAsia="方正仿宋_GBK" w:cs="方正仿宋_GBK"/>
          <w:color w:val="000000" w:themeColor="text1"/>
          <w:kern w:val="0"/>
          <w:sz w:val="30"/>
          <w:szCs w:val="30"/>
          <w14:textFill>
            <w14:solidFill>
              <w14:schemeClr w14:val="tx1"/>
            </w14:solidFill>
          </w14:textFill>
        </w:rPr>
      </w:pPr>
      <w:r>
        <w:rPr>
          <w:rFonts w:hint="eastAsia" w:ascii="Times New Roman" w:hAnsi="Times New Roman" w:eastAsia="方正仿宋_GBK" w:cs="方正仿宋_GBK"/>
          <w:color w:val="000000" w:themeColor="text1"/>
          <w:kern w:val="0"/>
          <w:sz w:val="30"/>
          <w:szCs w:val="30"/>
          <w14:textFill>
            <w14:solidFill>
              <w14:schemeClr w14:val="tx1"/>
            </w14:solidFill>
          </w14:textFill>
        </w:rPr>
        <w:t>13．肌萎缩侧索硬化症..............................................</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97</w:t>
      </w:r>
      <w:r>
        <w:rPr>
          <w:rFonts w:hint="eastAsia" w:ascii="Times New Roman" w:hAnsi="Times New Roman" w:eastAsia="方正仿宋_GBK" w:cs="方正仿宋_GBK"/>
          <w:color w:val="000000" w:themeColor="text1"/>
          <w:kern w:val="0"/>
          <w:sz w:val="30"/>
          <w:szCs w:val="30"/>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color w:val="000000" w:themeColor="text1"/>
          <w:kern w:val="0"/>
          <w:sz w:val="30"/>
          <w:szCs w:val="30"/>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30"/>
          <w:szCs w:val="30"/>
          <w14:textFill>
            <w14:solidFill>
              <w14:schemeClr w14:val="tx1"/>
            </w14:solidFill>
          </w14:textFill>
        </w:rPr>
        <w:t>14．支气管哮喘.....................................................................</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99</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color w:val="000000" w:themeColor="text1"/>
          <w:kern w:val="0"/>
          <w:sz w:val="30"/>
          <w:szCs w:val="30"/>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30"/>
          <w:szCs w:val="30"/>
          <w14:textFill>
            <w14:solidFill>
              <w14:schemeClr w14:val="tx1"/>
            </w14:solidFill>
          </w14:textFill>
        </w:rPr>
        <w:t>15．慢性阻塞性肺疾病..........................................................</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102</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color w:val="000000" w:themeColor="text1"/>
          <w:kern w:val="0"/>
          <w:sz w:val="30"/>
          <w:szCs w:val="30"/>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30"/>
          <w:szCs w:val="30"/>
          <w14:textFill>
            <w14:solidFill>
              <w14:schemeClr w14:val="tx1"/>
            </w14:solidFill>
          </w14:textFill>
        </w:rPr>
        <w:t>16．慢性肺源性心脏病........................................................</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104</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color w:val="000000" w:themeColor="text1"/>
          <w:kern w:val="0"/>
          <w:sz w:val="30"/>
          <w:szCs w:val="30"/>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30"/>
          <w:szCs w:val="30"/>
          <w14:textFill>
            <w14:solidFill>
              <w14:schemeClr w14:val="tx1"/>
            </w14:solidFill>
          </w14:textFill>
        </w:rPr>
        <w:t>17．结核病.............................................................................</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106</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ascii="Times New Roman" w:hAnsi="Times New Roman" w:eastAsia="方正仿宋_GBK" w:cs="方正仿宋_GBK"/>
          <w:color w:val="000000" w:themeColor="text1"/>
          <w:kern w:val="0"/>
          <w:sz w:val="30"/>
          <w:szCs w:val="30"/>
          <w14:textFill>
            <w14:solidFill>
              <w14:schemeClr w14:val="tx1"/>
            </w14:solidFill>
          </w14:textFill>
        </w:rPr>
      </w:pPr>
      <w:r>
        <w:rPr>
          <w:rFonts w:hint="eastAsia" w:ascii="Times New Roman" w:hAnsi="Times New Roman" w:eastAsia="方正仿宋_GBK" w:cs="方正仿宋_GBK"/>
          <w:color w:val="000000" w:themeColor="text1"/>
          <w:kern w:val="0"/>
          <w:sz w:val="30"/>
          <w:szCs w:val="30"/>
          <w14:textFill>
            <w14:solidFill>
              <w14:schemeClr w14:val="tx1"/>
            </w14:solidFill>
          </w14:textFill>
        </w:rPr>
        <w:t>18．慢性乙型肝炎病毒感染.....................................</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110</w:t>
      </w:r>
      <w:r>
        <w:rPr>
          <w:rFonts w:hint="eastAsia" w:ascii="Times New Roman" w:hAnsi="Times New Roman" w:eastAsia="方正仿宋_GBK" w:cs="方正仿宋_GBK"/>
          <w:color w:val="000000" w:themeColor="text1"/>
          <w:kern w:val="0"/>
          <w:sz w:val="30"/>
          <w:szCs w:val="30"/>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color w:val="000000" w:themeColor="text1"/>
          <w:kern w:val="0"/>
          <w:sz w:val="30"/>
          <w:szCs w:val="30"/>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30"/>
          <w:szCs w:val="30"/>
          <w14:textFill>
            <w14:solidFill>
              <w14:schemeClr w14:val="tx1"/>
            </w14:solidFill>
          </w14:textFill>
        </w:rPr>
        <w:t>19．丙型肝炎............................................................</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112</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color w:val="000000" w:themeColor="text1"/>
          <w:kern w:val="0"/>
          <w:sz w:val="30"/>
          <w:szCs w:val="30"/>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30"/>
          <w:szCs w:val="30"/>
          <w14:textFill>
            <w14:solidFill>
              <w14:schemeClr w14:val="tx1"/>
            </w14:solidFill>
          </w14:textFill>
        </w:rPr>
        <w:t>20．真性红细胞增多症.........................................................</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114</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color w:val="000000" w:themeColor="text1"/>
          <w:kern w:val="0"/>
          <w:sz w:val="30"/>
          <w:szCs w:val="30"/>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30"/>
          <w:szCs w:val="30"/>
          <w14:textFill>
            <w14:solidFill>
              <w14:schemeClr w14:val="tx1"/>
            </w14:solidFill>
          </w14:textFill>
        </w:rPr>
        <w:t>21．原发性血小板增多症......................................................</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116</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color w:val="000000" w:themeColor="text1"/>
          <w:kern w:val="0"/>
          <w:sz w:val="30"/>
          <w:szCs w:val="30"/>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30"/>
          <w:szCs w:val="30"/>
          <w14:textFill>
            <w14:solidFill>
              <w14:schemeClr w14:val="tx1"/>
            </w14:solidFill>
          </w14:textFill>
        </w:rPr>
        <w:t>22．原发性骨髓纤维化症.......................................</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118</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eastAsia" w:ascii="Times New Roman" w:hAnsi="Times New Roman" w:eastAsia="方正仿宋_GBK" w:cs="方正仿宋_GBK"/>
          <w:color w:val="000000" w:themeColor="text1"/>
          <w:kern w:val="0"/>
          <w:sz w:val="30"/>
          <w:szCs w:val="30"/>
          <w14:textFill>
            <w14:solidFill>
              <w14:schemeClr w14:val="tx1"/>
            </w14:solidFill>
          </w14:textFill>
        </w:rPr>
        <w:sectPr>
          <w:footerReference r:id="rId6" w:type="default"/>
          <w:pgSz w:w="11906" w:h="16838"/>
          <w:pgMar w:top="2098" w:right="1474" w:bottom="1985" w:left="1588"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color w:val="000000" w:themeColor="text1"/>
          <w:kern w:val="0"/>
          <w:sz w:val="30"/>
          <w:szCs w:val="30"/>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30"/>
          <w:szCs w:val="30"/>
          <w14:textFill>
            <w14:solidFill>
              <w14:schemeClr w14:val="tx1"/>
            </w14:solidFill>
          </w14:textFill>
        </w:rPr>
        <w:t>23．系统性红斑狼疮..............................................</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120</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color w:val="000000" w:themeColor="text1"/>
          <w:kern w:val="0"/>
          <w:sz w:val="30"/>
          <w:szCs w:val="30"/>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30"/>
          <w:szCs w:val="30"/>
          <w14:textFill>
            <w14:solidFill>
              <w14:schemeClr w14:val="tx1"/>
            </w14:solidFill>
          </w14:textFill>
        </w:rPr>
        <w:t>24．系统性硬化症.....................................................</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125</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ascii="Times New Roman" w:hAnsi="Times New Roman" w:eastAsia="方正仿宋_GBK" w:cs="方正仿宋_GBK"/>
          <w:color w:val="000000" w:themeColor="text1"/>
          <w:kern w:val="0"/>
          <w:sz w:val="30"/>
          <w:szCs w:val="30"/>
          <w14:textFill>
            <w14:solidFill>
              <w14:schemeClr w14:val="tx1"/>
            </w14:solidFill>
          </w14:textFill>
        </w:rPr>
      </w:pPr>
      <w:r>
        <w:rPr>
          <w:rFonts w:hint="eastAsia" w:ascii="Times New Roman" w:hAnsi="Times New Roman" w:eastAsia="方正仿宋_GBK" w:cs="方正仿宋_GBK"/>
          <w:color w:val="000000" w:themeColor="text1"/>
          <w:kern w:val="0"/>
          <w:sz w:val="30"/>
          <w:szCs w:val="30"/>
          <w14:textFill>
            <w14:solidFill>
              <w14:schemeClr w14:val="tx1"/>
            </w14:solidFill>
          </w14:textFill>
        </w:rPr>
        <w:t>25．原发性干燥综合征.......................................</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128</w:t>
      </w:r>
      <w:r>
        <w:rPr>
          <w:rFonts w:hint="eastAsia" w:ascii="Times New Roman" w:hAnsi="Times New Roman" w:eastAsia="方正仿宋_GBK" w:cs="方正仿宋_GBK"/>
          <w:color w:val="000000" w:themeColor="text1"/>
          <w:kern w:val="0"/>
          <w:sz w:val="30"/>
          <w:szCs w:val="30"/>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ascii="Times New Roman" w:hAnsi="Times New Roman" w:eastAsia="方正仿宋_GBK" w:cs="方正仿宋_GBK"/>
          <w:color w:val="000000" w:themeColor="text1"/>
          <w:kern w:val="0"/>
          <w:sz w:val="30"/>
          <w:szCs w:val="30"/>
          <w14:textFill>
            <w14:solidFill>
              <w14:schemeClr w14:val="tx1"/>
            </w14:solidFill>
          </w14:textFill>
        </w:rPr>
      </w:pPr>
      <w:r>
        <w:rPr>
          <w:rFonts w:hint="eastAsia" w:ascii="Times New Roman" w:hAnsi="Times New Roman" w:eastAsia="方正仿宋_GBK" w:cs="方正仿宋_GBK"/>
          <w:color w:val="000000" w:themeColor="text1"/>
          <w:kern w:val="0"/>
          <w:sz w:val="30"/>
          <w:szCs w:val="30"/>
          <w14:textFill>
            <w14:solidFill>
              <w14:schemeClr w14:val="tx1"/>
            </w14:solidFill>
          </w14:textFill>
        </w:rPr>
        <w:t>26．重症肌无力..........................................................</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132</w:t>
      </w:r>
      <w:r>
        <w:rPr>
          <w:rFonts w:hint="eastAsia" w:ascii="Times New Roman" w:hAnsi="Times New Roman" w:eastAsia="方正仿宋_GBK" w:cs="方正仿宋_GBK"/>
          <w:color w:val="000000" w:themeColor="text1"/>
          <w:kern w:val="0"/>
          <w:sz w:val="30"/>
          <w:szCs w:val="30"/>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ascii="Times New Roman" w:hAnsi="Times New Roman" w:eastAsia="方正仿宋_GBK" w:cs="方正仿宋_GBK"/>
          <w:color w:val="000000" w:themeColor="text1"/>
          <w:kern w:val="0"/>
          <w:sz w:val="30"/>
          <w:szCs w:val="30"/>
          <w14:textFill>
            <w14:solidFill>
              <w14:schemeClr w14:val="tx1"/>
            </w14:solidFill>
          </w14:textFill>
        </w:rPr>
      </w:pPr>
      <w:r>
        <w:rPr>
          <w:rFonts w:hint="eastAsia" w:ascii="Times New Roman" w:hAnsi="Times New Roman" w:eastAsia="方正仿宋_GBK" w:cs="方正仿宋_GBK"/>
          <w:color w:val="000000" w:themeColor="text1"/>
          <w:kern w:val="0"/>
          <w:sz w:val="30"/>
          <w:szCs w:val="30"/>
          <w14:textFill>
            <w14:solidFill>
              <w14:schemeClr w14:val="tx1"/>
            </w14:solidFill>
          </w14:textFill>
        </w:rPr>
        <w:t>27．慢性肾脏病..........................................................</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134</w:t>
      </w:r>
      <w:r>
        <w:rPr>
          <w:rFonts w:hint="eastAsia" w:ascii="Times New Roman" w:hAnsi="Times New Roman" w:eastAsia="方正仿宋_GBK" w:cs="方正仿宋_GBK"/>
          <w:color w:val="000000" w:themeColor="text1"/>
          <w:kern w:val="0"/>
          <w:sz w:val="30"/>
          <w:szCs w:val="30"/>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color w:val="000000" w:themeColor="text1"/>
          <w:kern w:val="0"/>
          <w:sz w:val="30"/>
          <w:szCs w:val="30"/>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30"/>
          <w:szCs w:val="30"/>
          <w14:textFill>
            <w14:solidFill>
              <w14:schemeClr w14:val="tx1"/>
            </w14:solidFill>
          </w14:textFill>
        </w:rPr>
        <w:t>28．类风湿性关节炎、幼年特发性关节炎..............</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137</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color w:val="000000" w:themeColor="text1"/>
          <w:kern w:val="0"/>
          <w:sz w:val="30"/>
          <w:szCs w:val="30"/>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30"/>
          <w:szCs w:val="30"/>
          <w14:textFill>
            <w14:solidFill>
              <w14:schemeClr w14:val="tx1"/>
            </w14:solidFill>
          </w14:textFill>
        </w:rPr>
        <w:t>29．良性前列腺增生症..............................................</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143</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color w:val="000000" w:themeColor="text1"/>
          <w:kern w:val="0"/>
          <w:sz w:val="30"/>
          <w:szCs w:val="30"/>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30"/>
          <w:szCs w:val="30"/>
          <w14:textFill>
            <w14:solidFill>
              <w14:schemeClr w14:val="tx1"/>
            </w14:solidFill>
          </w14:textFill>
        </w:rPr>
        <w:t>30．原发性青光眼........................................................</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144</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color w:val="000000" w:themeColor="text1"/>
          <w:kern w:val="0"/>
          <w:sz w:val="30"/>
          <w:szCs w:val="30"/>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30"/>
          <w:szCs w:val="30"/>
          <w14:textFill>
            <w14:solidFill>
              <w14:schemeClr w14:val="tx1"/>
            </w14:solidFill>
          </w14:textFill>
        </w:rPr>
        <w:t>31．精神分裂症............................................................</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145</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color w:val="000000" w:themeColor="text1"/>
          <w:kern w:val="0"/>
          <w:sz w:val="30"/>
          <w:szCs w:val="30"/>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30"/>
          <w:szCs w:val="30"/>
          <w14:textFill>
            <w14:solidFill>
              <w14:schemeClr w14:val="tx1"/>
            </w14:solidFill>
          </w14:textFill>
        </w:rPr>
        <w:t>32．心境障碍.............................................................</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149</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color w:val="000000" w:themeColor="text1"/>
          <w:kern w:val="0"/>
          <w:sz w:val="30"/>
          <w:szCs w:val="30"/>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30"/>
          <w:szCs w:val="30"/>
          <w14:textFill>
            <w14:solidFill>
              <w14:schemeClr w14:val="tx1"/>
            </w14:solidFill>
          </w14:textFill>
        </w:rPr>
        <w:t>33．偏执性精神障碍..................................................</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154</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color w:val="000000" w:themeColor="text1"/>
          <w:kern w:val="0"/>
          <w:sz w:val="30"/>
          <w:szCs w:val="30"/>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30"/>
          <w:szCs w:val="30"/>
          <w14:textFill>
            <w14:solidFill>
              <w14:schemeClr w14:val="tx1"/>
            </w14:solidFill>
          </w14:textFill>
        </w:rPr>
        <w:t>34．分裂情感性障碍.............................................................</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157</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color w:val="000000" w:themeColor="text1"/>
          <w:kern w:val="0"/>
          <w:sz w:val="30"/>
          <w:szCs w:val="30"/>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30"/>
          <w:szCs w:val="30"/>
          <w14:textFill>
            <w14:solidFill>
              <w14:schemeClr w14:val="tx1"/>
            </w14:solidFill>
          </w14:textFill>
        </w:rPr>
        <w:t>35．癫痫所致精神障碍......................................................</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160</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color w:val="000000" w:themeColor="text1"/>
          <w:kern w:val="0"/>
          <w:sz w:val="30"/>
          <w:szCs w:val="30"/>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30"/>
          <w:szCs w:val="30"/>
          <w14:textFill>
            <w14:solidFill>
              <w14:schemeClr w14:val="tx1"/>
            </w14:solidFill>
          </w14:textFill>
        </w:rPr>
        <w:t>36．精神发育迟滞伴发精神障碍.....................................</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162</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color w:val="000000" w:themeColor="text1"/>
          <w:kern w:val="0"/>
          <w:sz w:val="30"/>
          <w:szCs w:val="30"/>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30"/>
          <w:szCs w:val="30"/>
          <w14:textFill>
            <w14:solidFill>
              <w14:schemeClr w14:val="tx1"/>
            </w14:solidFill>
          </w14:textFill>
        </w:rPr>
        <w:t>37．焦虑症...............................................................</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166</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仿宋_GBK"/>
          <w:color w:val="000000" w:themeColor="text1"/>
          <w:kern w:val="0"/>
          <w:sz w:val="30"/>
          <w:szCs w:val="30"/>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30"/>
          <w:szCs w:val="30"/>
          <w14:textFill>
            <w14:solidFill>
              <w14:schemeClr w14:val="tx1"/>
            </w14:solidFill>
          </w14:textFill>
        </w:rPr>
        <w:t>38．强迫症............................................................................</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168</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textAlignment w:val="auto"/>
        <w:rPr>
          <w:rFonts w:hint="default" w:ascii="Times New Roman" w:hAnsi="Times New Roman" w:eastAsia="方正仿宋_GBK" w:cs="方正小标宋_GBK"/>
          <w:color w:val="000000" w:themeColor="text1"/>
          <w:kern w:val="0"/>
          <w:sz w:val="30"/>
          <w:szCs w:val="30"/>
          <w:lang w:val="en-US" w:eastAsia="zh-CN"/>
          <w14:textFill>
            <w14:solidFill>
              <w14:schemeClr w14:val="tx1"/>
            </w14:solidFill>
          </w14:textFill>
        </w:rPr>
      </w:pPr>
      <w:r>
        <w:rPr>
          <w:rFonts w:hint="eastAsia" w:ascii="Times New Roman" w:hAnsi="Times New Roman" w:eastAsia="方正仿宋_GBK" w:cs="方正仿宋_GBK"/>
          <w:color w:val="000000" w:themeColor="text1"/>
          <w:kern w:val="0"/>
          <w:sz w:val="30"/>
          <w:szCs w:val="30"/>
          <w14:textFill>
            <w14:solidFill>
              <w14:schemeClr w14:val="tx1"/>
            </w14:solidFill>
          </w14:textFill>
        </w:rPr>
        <w:t>39．抑郁症..............................................................................</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w:t>
      </w:r>
      <w:r>
        <w:rPr>
          <w:rFonts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14:textFill>
            <w14:solidFill>
              <w14:schemeClr w14:val="tx1"/>
            </w14:solidFill>
          </w14:textFill>
        </w:rPr>
        <w:t>.....</w:t>
      </w:r>
      <w:r>
        <w:rPr>
          <w:rFonts w:hint="eastAsia" w:ascii="Times New Roman" w:hAnsi="Times New Roman" w:eastAsia="方正仿宋_GBK" w:cs="方正仿宋_GBK"/>
          <w:color w:val="000000" w:themeColor="text1"/>
          <w:kern w:val="0"/>
          <w:sz w:val="30"/>
          <w:szCs w:val="30"/>
          <w:lang w:val="en-US" w:eastAsia="zh-CN"/>
          <w14:textFill>
            <w14:solidFill>
              <w14:schemeClr w14:val="tx1"/>
            </w14:solidFill>
          </w14:textFill>
        </w:rPr>
        <w:t>171</w:t>
      </w:r>
    </w:p>
    <w:p>
      <w:pPr>
        <w:keepNext w:val="0"/>
        <w:keepLines w:val="0"/>
        <w:pageBreakBefore w:val="0"/>
        <w:widowControl w:val="0"/>
        <w:kinsoku/>
        <w:wordWrap/>
        <w:overflowPunct/>
        <w:topLinePunct w:val="0"/>
        <w:bidi w:val="0"/>
        <w:snapToGrid/>
        <w:spacing w:line="340" w:lineRule="exact"/>
        <w:ind w:firstLine="0" w:firstLineChars="0"/>
        <w:textAlignment w:val="auto"/>
        <w:rPr>
          <w:rFonts w:ascii="Times New Roman" w:hAnsi="Times New Roman"/>
          <w:b/>
          <w:bCs/>
          <w:color w:val="000000" w:themeColor="text1"/>
          <w:sz w:val="36"/>
          <w:szCs w:val="36"/>
          <w14:textFill>
            <w14:solidFill>
              <w14:schemeClr w14:val="tx1"/>
            </w14:solidFill>
          </w14:textFill>
        </w:rPr>
      </w:pPr>
    </w:p>
    <w:p>
      <w:pPr>
        <w:spacing w:before="156" w:beforeLines="50" w:line="340" w:lineRule="exact"/>
        <w:rPr>
          <w:rFonts w:ascii="Times New Roman" w:hAnsi="Times New Roman"/>
          <w:b/>
          <w:bCs/>
          <w:color w:val="000000" w:themeColor="text1"/>
          <w:sz w:val="36"/>
          <w:szCs w:val="36"/>
          <w14:textFill>
            <w14:solidFill>
              <w14:schemeClr w14:val="tx1"/>
            </w14:solidFill>
          </w14:textFill>
        </w:rPr>
      </w:pPr>
    </w:p>
    <w:p>
      <w:pPr>
        <w:spacing w:before="156" w:beforeLines="50" w:line="340" w:lineRule="exact"/>
        <w:ind w:firstLine="442" w:firstLineChars="100"/>
        <w:jc w:val="center"/>
        <w:rPr>
          <w:rFonts w:hint="eastAsia" w:ascii="Times New Roman" w:hAnsi="Times New Roman"/>
          <w:b/>
          <w:bCs/>
          <w:color w:val="000000" w:themeColor="text1"/>
          <w:sz w:val="44"/>
          <w:szCs w:val="44"/>
          <w14:textFill>
            <w14:solidFill>
              <w14:schemeClr w14:val="tx1"/>
            </w14:solidFill>
          </w14:textFill>
        </w:rPr>
      </w:pPr>
    </w:p>
    <w:p>
      <w:pPr>
        <w:spacing w:before="156" w:beforeLines="50" w:line="340" w:lineRule="exact"/>
        <w:ind w:firstLine="442" w:firstLineChars="100"/>
        <w:jc w:val="center"/>
        <w:rPr>
          <w:rFonts w:hint="eastAsia" w:ascii="Times New Roman" w:hAnsi="Times New Roman"/>
          <w:b/>
          <w:bCs/>
          <w:color w:val="000000" w:themeColor="text1"/>
          <w:sz w:val="44"/>
          <w:szCs w:val="44"/>
          <w14:textFill>
            <w14:solidFill>
              <w14:schemeClr w14:val="tx1"/>
            </w14:solidFill>
          </w14:textFill>
        </w:rPr>
      </w:pPr>
    </w:p>
    <w:p>
      <w:pPr>
        <w:spacing w:before="156" w:beforeLines="50" w:line="340" w:lineRule="exact"/>
        <w:ind w:firstLine="442" w:firstLineChars="100"/>
        <w:jc w:val="center"/>
        <w:rPr>
          <w:rFonts w:hint="eastAsia" w:ascii="Times New Roman" w:hAnsi="Times New Roman"/>
          <w:b/>
          <w:bCs/>
          <w:color w:val="000000" w:themeColor="text1"/>
          <w:sz w:val="44"/>
          <w:szCs w:val="44"/>
          <w14:textFill>
            <w14:solidFill>
              <w14:schemeClr w14:val="tx1"/>
            </w14:solidFill>
          </w14:textFill>
        </w:rPr>
      </w:pPr>
    </w:p>
    <w:p>
      <w:pPr>
        <w:spacing w:before="156" w:beforeLines="50" w:line="340" w:lineRule="exact"/>
        <w:ind w:firstLine="442" w:firstLineChars="100"/>
        <w:jc w:val="center"/>
        <w:rPr>
          <w:rFonts w:hint="eastAsia" w:ascii="Times New Roman" w:hAnsi="Times New Roman"/>
          <w:b/>
          <w:bCs/>
          <w:color w:val="000000" w:themeColor="text1"/>
          <w:sz w:val="44"/>
          <w:szCs w:val="44"/>
          <w14:textFill>
            <w14:solidFill>
              <w14:schemeClr w14:val="tx1"/>
            </w14:solidFill>
          </w14:textFill>
        </w:rPr>
        <w:sectPr>
          <w:footerReference r:id="rId7" w:type="default"/>
          <w:pgSz w:w="11906" w:h="16838"/>
          <w:pgMar w:top="2098" w:right="1474" w:bottom="1985" w:left="1588"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56" w:beforeLines="50" w:line="340" w:lineRule="exact"/>
        <w:ind w:firstLine="0" w:firstLineChars="0"/>
        <w:jc w:val="center"/>
        <w:textAlignment w:val="auto"/>
        <w:rPr>
          <w:rFonts w:hint="eastAsia" w:ascii="Times New Roman" w:hAnsi="Times New Roman" w:eastAsia="方正小标宋_GBK" w:cs="方正小标宋_GBK"/>
          <w:b w:val="0"/>
          <w:bCs w:val="0"/>
          <w:color w:val="000000" w:themeColor="text1"/>
          <w:sz w:val="44"/>
          <w:szCs w:val="44"/>
          <w14:textFill>
            <w14:solidFill>
              <w14:schemeClr w14:val="tx1"/>
            </w14:solidFill>
          </w14:textFill>
        </w:rPr>
      </w:pPr>
      <w:r>
        <w:rPr>
          <w:rFonts w:hint="eastAsia" w:ascii="Times New Roman" w:hAnsi="Times New Roman" w:eastAsia="方正小标宋_GBK" w:cs="方正小标宋_GBK"/>
          <w:b w:val="0"/>
          <w:bCs w:val="0"/>
          <w:color w:val="000000" w:themeColor="text1"/>
          <w:sz w:val="44"/>
          <w:szCs w:val="44"/>
          <w14:textFill>
            <w14:solidFill>
              <w14:schemeClr w14:val="tx1"/>
            </w14:solidFill>
          </w14:textFill>
        </w:rPr>
        <w:t>一类病种</w:t>
      </w:r>
    </w:p>
    <w:p>
      <w:pPr>
        <w:spacing w:before="156" w:beforeLines="50" w:line="340" w:lineRule="exact"/>
        <w:rPr>
          <w:rFonts w:ascii="Times New Roman" w:hAnsi="Times New Roman"/>
          <w:b/>
          <w:bCs/>
          <w:color w:val="000000" w:themeColor="text1"/>
          <w:sz w:val="36"/>
          <w:szCs w:val="36"/>
          <w14:textFill>
            <w14:solidFill>
              <w14:schemeClr w14:val="tx1"/>
            </w14:solidFill>
          </w14:textFill>
        </w:rPr>
      </w:pPr>
    </w:p>
    <w:p>
      <w:pPr>
        <w:tabs>
          <w:tab w:val="left" w:pos="596"/>
        </w:tabs>
        <w:spacing w:line="340" w:lineRule="exact"/>
        <w:rPr>
          <w:rFonts w:ascii="Times New Roman" w:hAnsi="Times New Roman" w:eastAsia="黑体"/>
          <w:color w:val="000000" w:themeColor="text1"/>
          <w:sz w:val="30"/>
          <w:szCs w:val="30"/>
          <w14:textFill>
            <w14:solidFill>
              <w14:schemeClr w14:val="tx1"/>
            </w14:solidFill>
          </w14:textFill>
        </w:rPr>
      </w:pPr>
      <w:r>
        <w:rPr>
          <w:rFonts w:hint="eastAsia" w:ascii="Times New Roman" w:hAnsi="Times New Roman" w:eastAsia="黑体"/>
          <w:color w:val="000000" w:themeColor="text1"/>
          <w:sz w:val="30"/>
          <w:szCs w:val="30"/>
          <w14:textFill>
            <w14:solidFill>
              <w14:schemeClr w14:val="tx1"/>
            </w14:solidFill>
          </w14:textFill>
        </w:rPr>
        <w:t>1</w:t>
      </w:r>
      <w:r>
        <w:rPr>
          <w:rFonts w:ascii="Times New Roman" w:hAnsi="Times New Roman" w:eastAsia="黑体"/>
          <w:color w:val="000000" w:themeColor="text1"/>
          <w:sz w:val="30"/>
          <w:szCs w:val="30"/>
          <w14:textFill>
            <w14:solidFill>
              <w14:schemeClr w14:val="tx1"/>
            </w14:solidFill>
          </w14:textFill>
        </w:rPr>
        <w:t>.慢性肾衰竭血液净化治疗</w:t>
      </w:r>
    </w:p>
    <w:tbl>
      <w:tblPr>
        <w:tblStyle w:val="4"/>
        <w:tblW w:w="4923" w:type="pct"/>
        <w:tblInd w:w="0" w:type="dxa"/>
        <w:tblLayout w:type="fixed"/>
        <w:tblCellMar>
          <w:top w:w="0" w:type="dxa"/>
          <w:left w:w="108" w:type="dxa"/>
          <w:bottom w:w="0" w:type="dxa"/>
          <w:right w:w="108" w:type="dxa"/>
        </w:tblCellMar>
      </w:tblPr>
      <w:tblGrid>
        <w:gridCol w:w="686"/>
        <w:gridCol w:w="377"/>
        <w:gridCol w:w="1273"/>
        <w:gridCol w:w="2850"/>
        <w:gridCol w:w="3735"/>
      </w:tblGrid>
      <w:tr>
        <w:tblPrEx>
          <w:tblCellMar>
            <w:top w:w="0" w:type="dxa"/>
            <w:left w:w="108" w:type="dxa"/>
            <w:bottom w:w="0" w:type="dxa"/>
            <w:right w:w="108" w:type="dxa"/>
          </w:tblCellMar>
        </w:tblPrEx>
        <w:trPr>
          <w:trHeight w:val="306" w:hRule="atLeast"/>
        </w:trPr>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182"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92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慢性肾衰竭血液净化治疗</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N18.506+I32.8X</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尿毒症性心包炎</w:t>
            </w:r>
          </w:p>
        </w:tc>
      </w:tr>
      <w:tr>
        <w:tblPrEx>
          <w:tblCellMar>
            <w:top w:w="0" w:type="dxa"/>
            <w:left w:w="108" w:type="dxa"/>
            <w:bottom w:w="0" w:type="dxa"/>
            <w:right w:w="108" w:type="dxa"/>
          </w:tblCellMar>
        </w:tblPrEx>
        <w:trPr>
          <w:trHeight w:val="2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 w:val="24"/>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N18.501</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肾终末期疾病</w:t>
            </w:r>
          </w:p>
        </w:tc>
      </w:tr>
      <w:tr>
        <w:tblPrEx>
          <w:tblCellMar>
            <w:top w:w="0" w:type="dxa"/>
            <w:left w:w="108" w:type="dxa"/>
            <w:bottom w:w="0" w:type="dxa"/>
            <w:right w:w="108" w:type="dxa"/>
          </w:tblCellMar>
        </w:tblPrEx>
        <w:trPr>
          <w:trHeight w:val="317"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 w:val="24"/>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N18.505+I68.8X</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尿毒症性脑血管病</w:t>
            </w:r>
          </w:p>
        </w:tc>
      </w:tr>
      <w:tr>
        <w:tblPrEx>
          <w:tblCellMar>
            <w:top w:w="0" w:type="dxa"/>
            <w:left w:w="108" w:type="dxa"/>
            <w:bottom w:w="0" w:type="dxa"/>
            <w:right w:w="108" w:type="dxa"/>
          </w:tblCellMar>
        </w:tblPrEx>
        <w:trPr>
          <w:trHeight w:val="155"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 w:val="24"/>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N18.503+G63.8X</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尿毒症性神经病变</w:t>
            </w:r>
          </w:p>
        </w:tc>
      </w:tr>
      <w:tr>
        <w:tblPrEx>
          <w:tblCellMar>
            <w:top w:w="0" w:type="dxa"/>
            <w:left w:w="108" w:type="dxa"/>
            <w:bottom w:w="0" w:type="dxa"/>
            <w:right w:w="108" w:type="dxa"/>
          </w:tblCellMar>
        </w:tblPrEx>
        <w:trPr>
          <w:trHeight w:val="91"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 w:val="24"/>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N18.902</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慢性肾衰竭</w:t>
            </w:r>
          </w:p>
        </w:tc>
      </w:tr>
      <w:tr>
        <w:tblPrEx>
          <w:tblCellMar>
            <w:top w:w="0" w:type="dxa"/>
            <w:left w:w="108" w:type="dxa"/>
            <w:bottom w:w="0" w:type="dxa"/>
            <w:right w:w="108" w:type="dxa"/>
          </w:tblCellMar>
        </w:tblPrEx>
        <w:trPr>
          <w:trHeight w:val="91"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 w:val="24"/>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N19.X01</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尿毒症</w:t>
            </w:r>
          </w:p>
        </w:tc>
      </w:tr>
      <w:tr>
        <w:tblPrEx>
          <w:tblCellMar>
            <w:top w:w="0" w:type="dxa"/>
            <w:left w:w="108" w:type="dxa"/>
            <w:bottom w:w="0" w:type="dxa"/>
            <w:right w:w="108" w:type="dxa"/>
          </w:tblCellMar>
        </w:tblPrEx>
        <w:trPr>
          <w:trHeight w:val="57"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 w:val="24"/>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P96.000X002</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新生儿尿毒症</w:t>
            </w:r>
          </w:p>
        </w:tc>
      </w:tr>
      <w:tr>
        <w:tblPrEx>
          <w:tblCellMar>
            <w:top w:w="0" w:type="dxa"/>
            <w:left w:w="108" w:type="dxa"/>
            <w:bottom w:w="0" w:type="dxa"/>
            <w:right w:w="108" w:type="dxa"/>
          </w:tblCellMar>
        </w:tblPrEx>
        <w:trPr>
          <w:trHeight w:val="57"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 w:val="24"/>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R39.200</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肾外性尿毒症</w:t>
            </w:r>
          </w:p>
        </w:tc>
      </w:tr>
      <w:tr>
        <w:tblPrEx>
          <w:tblCellMar>
            <w:top w:w="0" w:type="dxa"/>
            <w:left w:w="108" w:type="dxa"/>
            <w:bottom w:w="0" w:type="dxa"/>
            <w:right w:w="108" w:type="dxa"/>
          </w:tblCellMar>
        </w:tblPrEx>
        <w:trPr>
          <w:trHeight w:val="57"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 w:val="24"/>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R39.200X001</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肾前性尿毒症</w:t>
            </w:r>
          </w:p>
        </w:tc>
      </w:tr>
      <w:tr>
        <w:tblPrEx>
          <w:tblCellMar>
            <w:top w:w="0" w:type="dxa"/>
            <w:left w:w="108" w:type="dxa"/>
            <w:bottom w:w="0" w:type="dxa"/>
            <w:right w:w="108" w:type="dxa"/>
          </w:tblCellMar>
        </w:tblPrEx>
        <w:trPr>
          <w:trHeight w:val="57"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 w:val="24"/>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N18.500</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慢性肾脏病5期</w:t>
            </w:r>
          </w:p>
        </w:tc>
      </w:tr>
      <w:tr>
        <w:tblPrEx>
          <w:tblCellMar>
            <w:top w:w="0" w:type="dxa"/>
            <w:left w:w="108" w:type="dxa"/>
            <w:bottom w:w="0" w:type="dxa"/>
            <w:right w:w="108" w:type="dxa"/>
          </w:tblCellMar>
        </w:tblPrEx>
        <w:trPr>
          <w:trHeight w:val="57"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 w:val="24"/>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N18.500x001+D63.8*</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慢性肾脏病5期相关性贫血</w:t>
            </w:r>
          </w:p>
        </w:tc>
      </w:tr>
      <w:tr>
        <w:tblPrEx>
          <w:tblCellMar>
            <w:top w:w="0" w:type="dxa"/>
            <w:left w:w="108" w:type="dxa"/>
            <w:bottom w:w="0" w:type="dxa"/>
            <w:right w:w="108" w:type="dxa"/>
          </w:tblCellMar>
        </w:tblPrEx>
        <w:trPr>
          <w:trHeight w:val="1972"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46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 w:val="24"/>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一、满足以下任意一条并已进行一次血液透析治疗</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（一）患者肾小球滤过率＜15ml/（min·1.73㎡），且出现下列临床表现之一者：</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1、不能缓解的乏力、恶心、呕吐、瘙痒等尿毒症症状或营养不良；</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2、难以纠正的高钾血症；</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3、难以控制的进展性代谢性酸中毒；</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4、难以控制的水钠潴留和高血压，合并充血性心力衰竭或急性肺水肿；</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5、尿毒症性心包炎；</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6、尿毒症性脑病和进展性神经病变。</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（二）糖尿病肾病或者慢性心力衰竭合并慢性肾脏病3-5期患者，出现严重容量负荷过重、严重心力衰竭，结合患者临床表现决定。</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二、满足以上任意一条并已进行一次腹膜透析治疗。</w:t>
            </w:r>
          </w:p>
        </w:tc>
      </w:tr>
      <w:tr>
        <w:tblPrEx>
          <w:tblCellMar>
            <w:top w:w="0" w:type="dxa"/>
            <w:left w:w="108" w:type="dxa"/>
            <w:bottom w:w="0" w:type="dxa"/>
            <w:right w:w="108" w:type="dxa"/>
          </w:tblCellMar>
        </w:tblPrEx>
        <w:trPr>
          <w:trHeight w:val="90" w:hRule="atLeast"/>
        </w:trPr>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 w:val="24"/>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医保目录药品分类代码</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抗凝药</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XB01AB</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肝素类</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XB01AX</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其他抗血栓形成药</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鱼精蛋白</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XV03AB</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解毒药</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降压药</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XC03</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利尿剂</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XC07A</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β-受体阻滞剂</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XC08</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钙通道阻滞剂</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XC09</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作用于肾素-血管紧张素系统的药物</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XC02C</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外周作用的抗肾上腺素能药</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XG04C</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良性前列腺肥大用药（特拉唑嗪口服常释剂型）</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纠正贫血类药物</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XB03</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抗贫血药</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降磷药物、继发性甲状旁腺功能亢进治疗药物：拟钙剂，活性维生素D及类似物、治疗高钾的药物</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XV03AE</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高血钾和高磷血症治疗药</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XA11</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维生素类</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XA12</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矿物质补充剂</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XG04B</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泌尿系统药</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XH05</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钙稳态药</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营养治疗：酮酸类制剂</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XV02</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其他营养剂</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左旋肉碱补充剂</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XG04B</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泌尿系统药</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低血压对症治疗药物</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XN04BA</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多巴和其衍生物</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尿毒症瘙痒</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XD02</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润肤剂和保护剂类</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XR06</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全身用抗组胺药</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XV03AX</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其他治疗药物</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血管通路的溶栓和抗凝药物</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XB01AD</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酶类</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腹膜透析液</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XB05D</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腹膜透析液</w:t>
            </w:r>
          </w:p>
        </w:tc>
      </w:tr>
      <w:tr>
        <w:tblPrEx>
          <w:tblCellMar>
            <w:top w:w="0" w:type="dxa"/>
            <w:left w:w="108" w:type="dxa"/>
            <w:bottom w:w="0" w:type="dxa"/>
            <w:right w:w="108" w:type="dxa"/>
          </w:tblCellMar>
        </w:tblPrEx>
        <w:trPr>
          <w:trHeight w:val="121" w:hRule="atLeast"/>
        </w:trPr>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 w:val="24"/>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医保目录医疗服务项目编码</w:t>
            </w:r>
          </w:p>
        </w:tc>
        <w:tc>
          <w:tcPr>
            <w:tcW w:w="20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血液透析</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311000006</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血液透析</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hint="eastAsia" w:ascii="Times New Roman" w:hAnsi="Times New Roman" w:eastAsia="方正仿宋_GBK" w:cs="方正仿宋_GBK"/>
                <w:color w:val="000000" w:themeColor="text1"/>
                <w:szCs w:val="21"/>
                <w:lang w:val="en-US" w:eastAsia="zh-CN"/>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311000012.1</w:t>
            </w:r>
            <w:r>
              <w:rPr>
                <w:rFonts w:hint="eastAsia" w:ascii="Times New Roman" w:hAnsi="Times New Roman" w:eastAsia="方正仿宋_GBK" w:cs="方正仿宋_GBK"/>
                <w:color w:val="000000" w:themeColor="text1"/>
                <w:kern w:val="0"/>
                <w:szCs w:val="21"/>
                <w:lang w:val="en-US" w:eastAsia="zh-CN" w:bidi="ar"/>
                <w14:textFill>
                  <w14:solidFill>
                    <w14:schemeClr w14:val="tx1"/>
                  </w14:solidFill>
                </w14:textFill>
              </w:rPr>
              <w:t>0</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血透监测（血温）</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hint="eastAsia" w:ascii="Times New Roman" w:hAnsi="Times New Roman" w:eastAsia="方正仿宋_GBK" w:cs="方正仿宋_GBK"/>
                <w:color w:val="000000" w:themeColor="text1"/>
                <w:szCs w:val="21"/>
                <w:lang w:val="en-US" w:eastAsia="zh-CN"/>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311000012.2</w:t>
            </w:r>
            <w:r>
              <w:rPr>
                <w:rFonts w:hint="eastAsia" w:ascii="Times New Roman" w:hAnsi="Times New Roman" w:eastAsia="方正仿宋_GBK" w:cs="方正仿宋_GBK"/>
                <w:color w:val="000000" w:themeColor="text1"/>
                <w:kern w:val="0"/>
                <w:szCs w:val="21"/>
                <w:lang w:val="en-US" w:eastAsia="zh-CN" w:bidi="ar"/>
                <w14:textFill>
                  <w14:solidFill>
                    <w14:schemeClr w14:val="tx1"/>
                  </w14:solidFill>
                </w14:textFill>
              </w:rPr>
              <w:t>0</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血透监测（血压）</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hint="eastAsia" w:ascii="Times New Roman" w:hAnsi="Times New Roman" w:eastAsia="方正仿宋_GBK" w:cs="方正仿宋_GBK"/>
                <w:color w:val="000000" w:themeColor="text1"/>
                <w:szCs w:val="21"/>
                <w:lang w:val="en-US" w:eastAsia="zh-CN"/>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311000012.3</w:t>
            </w:r>
            <w:r>
              <w:rPr>
                <w:rFonts w:hint="eastAsia" w:ascii="Times New Roman" w:hAnsi="Times New Roman" w:eastAsia="方正仿宋_GBK" w:cs="方正仿宋_GBK"/>
                <w:color w:val="000000" w:themeColor="text1"/>
                <w:kern w:val="0"/>
                <w:szCs w:val="21"/>
                <w:lang w:val="en-US" w:eastAsia="zh-CN" w:bidi="ar"/>
                <w14:textFill>
                  <w14:solidFill>
                    <w14:schemeClr w14:val="tx1"/>
                  </w14:solidFill>
                </w14:textFill>
              </w:rPr>
              <w:t>0</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血透监测（血容量）</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hint="eastAsia" w:ascii="Times New Roman" w:hAnsi="Times New Roman" w:eastAsia="方正仿宋_GBK" w:cs="方正仿宋_GBK"/>
                <w:color w:val="000000" w:themeColor="text1"/>
                <w:szCs w:val="21"/>
                <w:lang w:val="en-US" w:eastAsia="zh-CN"/>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311000012.4</w:t>
            </w:r>
            <w:r>
              <w:rPr>
                <w:rFonts w:hint="eastAsia" w:ascii="Times New Roman" w:hAnsi="Times New Roman" w:eastAsia="方正仿宋_GBK" w:cs="方正仿宋_GBK"/>
                <w:color w:val="000000" w:themeColor="text1"/>
                <w:kern w:val="0"/>
                <w:szCs w:val="21"/>
                <w:lang w:val="en-US" w:eastAsia="zh-CN" w:bidi="ar"/>
                <w14:textFill>
                  <w14:solidFill>
                    <w14:schemeClr w14:val="tx1"/>
                  </w14:solidFill>
                </w14:textFill>
              </w:rPr>
              <w:t>0</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血透监测（在线尿素监测）</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血液灌流（医保基金支付不超过1次/月）</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311000010</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血液灌流</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血液滤过</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311000007</w:t>
            </w:r>
          </w:p>
        </w:tc>
        <w:tc>
          <w:tcPr>
            <w:tcW w:w="20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血液滤过</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hint="eastAsia" w:ascii="Times New Roman" w:hAnsi="Times New Roman" w:eastAsia="方正仿宋_GBK" w:cs="方正仿宋_GBK"/>
                <w:color w:val="000000" w:themeColor="text1"/>
                <w:szCs w:val="21"/>
                <w:lang w:val="en-US" w:eastAsia="zh-CN"/>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311000012.1</w:t>
            </w:r>
            <w:r>
              <w:rPr>
                <w:rFonts w:hint="eastAsia" w:ascii="Times New Roman" w:hAnsi="Times New Roman" w:eastAsia="方正仿宋_GBK" w:cs="方正仿宋_GBK"/>
                <w:color w:val="000000" w:themeColor="text1"/>
                <w:kern w:val="0"/>
                <w:szCs w:val="21"/>
                <w:lang w:val="en-US" w:eastAsia="zh-CN" w:bidi="ar"/>
                <w14:textFill>
                  <w14:solidFill>
                    <w14:schemeClr w14:val="tx1"/>
                  </w14:solidFill>
                </w14:textFill>
              </w:rPr>
              <w:t>0</w:t>
            </w:r>
          </w:p>
        </w:tc>
        <w:tc>
          <w:tcPr>
            <w:tcW w:w="20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血透监测（血温）</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hint="eastAsia" w:ascii="Times New Roman" w:hAnsi="Times New Roman" w:eastAsia="方正仿宋_GBK" w:cs="方正仿宋_GBK"/>
                <w:color w:val="000000" w:themeColor="text1"/>
                <w:szCs w:val="21"/>
                <w:lang w:val="en-US" w:eastAsia="zh-CN"/>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311000012.2</w:t>
            </w:r>
            <w:r>
              <w:rPr>
                <w:rFonts w:hint="eastAsia" w:ascii="Times New Roman" w:hAnsi="Times New Roman" w:eastAsia="方正仿宋_GBK" w:cs="方正仿宋_GBK"/>
                <w:color w:val="000000" w:themeColor="text1"/>
                <w:kern w:val="0"/>
                <w:szCs w:val="21"/>
                <w:lang w:val="en-US" w:eastAsia="zh-CN" w:bidi="ar"/>
                <w14:textFill>
                  <w14:solidFill>
                    <w14:schemeClr w14:val="tx1"/>
                  </w14:solidFill>
                </w14:textFill>
              </w:rPr>
              <w:t>0</w:t>
            </w:r>
          </w:p>
        </w:tc>
        <w:tc>
          <w:tcPr>
            <w:tcW w:w="20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血透监测（血压）</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hint="eastAsia" w:ascii="Times New Roman" w:hAnsi="Times New Roman" w:eastAsia="方正仿宋_GBK" w:cs="方正仿宋_GBK"/>
                <w:color w:val="000000" w:themeColor="text1"/>
                <w:szCs w:val="21"/>
                <w:lang w:val="en-US" w:eastAsia="zh-CN"/>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311000012.3</w:t>
            </w:r>
            <w:r>
              <w:rPr>
                <w:rFonts w:hint="eastAsia" w:ascii="Times New Roman" w:hAnsi="Times New Roman" w:eastAsia="方正仿宋_GBK" w:cs="方正仿宋_GBK"/>
                <w:color w:val="000000" w:themeColor="text1"/>
                <w:kern w:val="0"/>
                <w:szCs w:val="21"/>
                <w:lang w:val="en-US" w:eastAsia="zh-CN" w:bidi="ar"/>
                <w14:textFill>
                  <w14:solidFill>
                    <w14:schemeClr w14:val="tx1"/>
                  </w14:solidFill>
                </w14:textFill>
              </w:rPr>
              <w:t>0</w:t>
            </w:r>
          </w:p>
        </w:tc>
        <w:tc>
          <w:tcPr>
            <w:tcW w:w="20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血透监测（血容量）</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hint="eastAsia" w:ascii="Times New Roman" w:hAnsi="Times New Roman" w:eastAsia="方正仿宋_GBK" w:cs="方正仿宋_GBK"/>
                <w:color w:val="000000" w:themeColor="text1"/>
                <w:szCs w:val="21"/>
                <w:lang w:val="en-US" w:eastAsia="zh-CN"/>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311000012.4</w:t>
            </w:r>
            <w:r>
              <w:rPr>
                <w:rFonts w:hint="eastAsia" w:ascii="Times New Roman" w:hAnsi="Times New Roman" w:eastAsia="方正仿宋_GBK" w:cs="方正仿宋_GBK"/>
                <w:color w:val="000000" w:themeColor="text1"/>
                <w:kern w:val="0"/>
                <w:szCs w:val="21"/>
                <w:lang w:val="en-US" w:eastAsia="zh-CN" w:bidi="ar"/>
                <w14:textFill>
                  <w14:solidFill>
                    <w14:schemeClr w14:val="tx1"/>
                  </w14:solidFill>
                </w14:textFill>
              </w:rPr>
              <w:t>0</w:t>
            </w:r>
          </w:p>
        </w:tc>
        <w:tc>
          <w:tcPr>
            <w:tcW w:w="20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血透监测（在线尿素监测）</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血液透析滤过</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311000008</w:t>
            </w:r>
          </w:p>
        </w:tc>
        <w:tc>
          <w:tcPr>
            <w:tcW w:w="20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血液透析滤过</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hint="eastAsia" w:ascii="Times New Roman" w:hAnsi="Times New Roman" w:eastAsia="方正仿宋_GBK" w:cs="方正仿宋_GBK"/>
                <w:color w:val="000000" w:themeColor="text1"/>
                <w:szCs w:val="21"/>
                <w:lang w:val="en-US" w:eastAsia="zh-CN"/>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311000012.1</w:t>
            </w:r>
            <w:r>
              <w:rPr>
                <w:rFonts w:hint="eastAsia" w:ascii="Times New Roman" w:hAnsi="Times New Roman" w:eastAsia="方正仿宋_GBK" w:cs="方正仿宋_GBK"/>
                <w:color w:val="000000" w:themeColor="text1"/>
                <w:kern w:val="0"/>
                <w:szCs w:val="21"/>
                <w:lang w:val="en-US" w:eastAsia="zh-CN" w:bidi="ar"/>
                <w14:textFill>
                  <w14:solidFill>
                    <w14:schemeClr w14:val="tx1"/>
                  </w14:solidFill>
                </w14:textFill>
              </w:rPr>
              <w:t>0</w:t>
            </w:r>
          </w:p>
        </w:tc>
        <w:tc>
          <w:tcPr>
            <w:tcW w:w="20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血透监测（血温）</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hint="eastAsia" w:ascii="Times New Roman" w:hAnsi="Times New Roman" w:eastAsia="方正仿宋_GBK" w:cs="方正仿宋_GBK"/>
                <w:color w:val="000000" w:themeColor="text1"/>
                <w:szCs w:val="21"/>
                <w:lang w:val="en-US" w:eastAsia="zh-CN"/>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311000012.2</w:t>
            </w:r>
            <w:r>
              <w:rPr>
                <w:rFonts w:hint="eastAsia" w:ascii="Times New Roman" w:hAnsi="Times New Roman" w:eastAsia="方正仿宋_GBK" w:cs="方正仿宋_GBK"/>
                <w:color w:val="000000" w:themeColor="text1"/>
                <w:kern w:val="0"/>
                <w:szCs w:val="21"/>
                <w:lang w:val="en-US" w:eastAsia="zh-CN" w:bidi="ar"/>
                <w14:textFill>
                  <w14:solidFill>
                    <w14:schemeClr w14:val="tx1"/>
                  </w14:solidFill>
                </w14:textFill>
              </w:rPr>
              <w:t>0</w:t>
            </w:r>
          </w:p>
        </w:tc>
        <w:tc>
          <w:tcPr>
            <w:tcW w:w="20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血透监测（血压）</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hint="eastAsia" w:ascii="Times New Roman" w:hAnsi="Times New Roman" w:eastAsia="方正仿宋_GBK" w:cs="方正仿宋_GBK"/>
                <w:color w:val="000000" w:themeColor="text1"/>
                <w:szCs w:val="21"/>
                <w:lang w:val="en-US" w:eastAsia="zh-CN"/>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311000012.3</w:t>
            </w:r>
            <w:r>
              <w:rPr>
                <w:rFonts w:hint="eastAsia" w:ascii="Times New Roman" w:hAnsi="Times New Roman" w:eastAsia="方正仿宋_GBK" w:cs="方正仿宋_GBK"/>
                <w:color w:val="000000" w:themeColor="text1"/>
                <w:kern w:val="0"/>
                <w:szCs w:val="21"/>
                <w:lang w:val="en-US" w:eastAsia="zh-CN" w:bidi="ar"/>
                <w14:textFill>
                  <w14:solidFill>
                    <w14:schemeClr w14:val="tx1"/>
                  </w14:solidFill>
                </w14:textFill>
              </w:rPr>
              <w:t>0</w:t>
            </w:r>
          </w:p>
        </w:tc>
        <w:tc>
          <w:tcPr>
            <w:tcW w:w="20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血透监测（血容量）</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hint="eastAsia" w:ascii="Times New Roman" w:hAnsi="Times New Roman" w:eastAsia="方正仿宋_GBK" w:cs="方正仿宋_GBK"/>
                <w:color w:val="000000" w:themeColor="text1"/>
                <w:szCs w:val="21"/>
                <w:lang w:val="en-US" w:eastAsia="zh-CN"/>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311000012.4</w:t>
            </w:r>
            <w:r>
              <w:rPr>
                <w:rFonts w:hint="eastAsia" w:ascii="Times New Roman" w:hAnsi="Times New Roman" w:eastAsia="方正仿宋_GBK" w:cs="方正仿宋_GBK"/>
                <w:color w:val="000000" w:themeColor="text1"/>
                <w:kern w:val="0"/>
                <w:szCs w:val="21"/>
                <w:lang w:val="en-US" w:eastAsia="zh-CN" w:bidi="ar"/>
                <w14:textFill>
                  <w14:solidFill>
                    <w14:schemeClr w14:val="tx1"/>
                  </w14:solidFill>
                </w14:textFill>
              </w:rPr>
              <w:t>0</w:t>
            </w:r>
          </w:p>
        </w:tc>
        <w:tc>
          <w:tcPr>
            <w:tcW w:w="20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血透监测（在线尿素监测）</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换药</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ABF/1206</w:t>
            </w:r>
          </w:p>
        </w:tc>
        <w:tc>
          <w:tcPr>
            <w:tcW w:w="20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换药</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腹膜透析拔管术</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311000001.01</w:t>
            </w:r>
          </w:p>
        </w:tc>
        <w:tc>
          <w:tcPr>
            <w:tcW w:w="20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腹膜透析置管术(拔管术收取)</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腹膜透析换管</w:t>
            </w:r>
          </w:p>
        </w:tc>
        <w:tc>
          <w:tcPr>
            <w:tcW w:w="1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311000004</w:t>
            </w:r>
          </w:p>
        </w:tc>
        <w:tc>
          <w:tcPr>
            <w:tcW w:w="20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腹膜透析换管</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腹膜透析导管</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hint="eastAsia" w:ascii="Times New Roman" w:hAnsi="Times New Roman" w:eastAsia="方正仿宋_GBK" w:cs="方正仿宋_GBK"/>
                <w:color w:val="000000" w:themeColor="text1"/>
                <w:szCs w:val="21"/>
                <w:lang w:eastAsia="zh-CN"/>
                <w14:textFill>
                  <w14:solidFill>
                    <w14:schemeClr w14:val="tx1"/>
                  </w14:solidFill>
                </w14:textFill>
              </w:rPr>
            </w:pPr>
            <w:r>
              <w:rPr>
                <w:rFonts w:hint="eastAsia" w:ascii="Times New Roman" w:hAnsi="Times New Roman" w:eastAsia="方正仿宋_GBK" w:cs="方正仿宋_GBK"/>
                <w:color w:val="000000" w:themeColor="text1"/>
                <w:kern w:val="0"/>
                <w:szCs w:val="21"/>
                <w:lang w:eastAsia="zh-CN" w:bidi="ar"/>
                <w14:textFill>
                  <w14:solidFill>
                    <w14:schemeClr w14:val="tx1"/>
                  </w14:solidFill>
                </w14:textFill>
              </w:rPr>
              <w:t>——</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腹膜透析导管</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腹膜透析外接短管</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eastAsia="zh-CN" w:bidi="ar"/>
                <w14:textFill>
                  <w14:solidFill>
                    <w14:schemeClr w14:val="tx1"/>
                  </w14:solidFill>
                </w14:textFill>
              </w:rPr>
              <w:t>——</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腹膜透析外接短管</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腹膜平衡试验</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311000005</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腹膜平衡试验</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结肠透析</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311000013</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结肠透析</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血常规</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250101015</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血细胞分析</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肝功能</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250305001</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血清总胆红素测定</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250305002</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血清直接胆红素测定</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250305003</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血清间接胆红素测定</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250305007</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血清丙氨酸氨基转移酶测定</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250305008</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血清天门冬氨酸氨基转移酶测定</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250305009</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血清γ-谷氨酰基转移酶测定</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250305011</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血清碱性磷酸酶测定</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250301001</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血清总蛋白测定</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250301002</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血清白蛋白测定</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250301006</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血清前白蛋白测定</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肾功能</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250307001</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尿素测定</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250307002</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肌酐测定</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250307005</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血清尿酸测定</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电解质</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250304001</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钾测定</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250304002</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钠测定</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250304003</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氯测定</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250304004</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钙测定</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250304005</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无机磷测定</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250304006</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镁测定</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传染四项</w:t>
            </w: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乙肝病毒标志物</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250403004</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乙型肝炎表面抗原测定(HBsAg)</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250403005</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乙型肝炎表面抗体测定(AntiHBs)</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250403006</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乙型肝炎e抗原测定(HBeAg)</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250403007</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乙型肝炎e抗体测定(AntiHBe)</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250403008</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乙型肝炎核心抗原测定(HBcAg)</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250403009</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乙型肝炎核心抗体测定(AntiHBc)</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丙肝</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250403013</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丙型肝炎RNA测定</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250403014</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丙型肝炎抗体测定(Anti-HCV)</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艾滋</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250403019b</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HIV-P24抗原测定</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梅毒</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250403053</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梅毒螺旋体特异抗体测定</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铁生化（医保基金支付不超过4次/年）</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250301008</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血清铁蛋白测定</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250301007</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血清转铁蛋白测定</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250304008</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血清总铁结合力测定</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250304007</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铁测定</w:t>
            </w:r>
          </w:p>
        </w:tc>
      </w:tr>
      <w:tr>
        <w:tblPrEx>
          <w:tblCellMar>
            <w:top w:w="0" w:type="dxa"/>
            <w:left w:w="108" w:type="dxa"/>
            <w:bottom w:w="0" w:type="dxa"/>
            <w:right w:w="108" w:type="dxa"/>
          </w:tblCellMar>
        </w:tblPrEx>
        <w:trPr>
          <w:trHeight w:val="121"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C反应蛋白（医保基金支付不超过2次/年）</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250401025</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C—反应蛋白测定(CRP)</w:t>
            </w:r>
            <w:r>
              <w:rPr>
                <w:rFonts w:ascii="Times New Roman" w:hAnsi="Times New Roman" w:eastAsia="方正仿宋_GBK" w:cs="方正仿宋_GBK"/>
                <w:color w:val="000000" w:themeColor="text1"/>
                <w:kern w:val="0"/>
                <w:szCs w:val="21"/>
                <w:lang w:bidi="ar"/>
                <w14:textFill>
                  <w14:solidFill>
                    <w14:schemeClr w14:val="tx1"/>
                  </w14:solidFill>
                </w14:textFill>
              </w:rPr>
              <w:t xml:space="preserve"> </w:t>
            </w:r>
          </w:p>
        </w:tc>
      </w:tr>
      <w:tr>
        <w:tblPrEx>
          <w:tblCellMar>
            <w:top w:w="0" w:type="dxa"/>
            <w:left w:w="108" w:type="dxa"/>
            <w:bottom w:w="0" w:type="dxa"/>
            <w:right w:w="108" w:type="dxa"/>
          </w:tblCellMar>
        </w:tblPrEx>
        <w:trPr>
          <w:trHeight w:val="121"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β2微球蛋白（医保基金支付不超过2次/年）</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250307009</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β2微球蛋白测定</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随机尿尿素测定</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250307001</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尿素测定</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尿肌酐测定</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250307002</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尿肌酐测定</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腹膜透析出液尿素测定</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250307001</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尿素测定</w:t>
            </w:r>
          </w:p>
        </w:tc>
      </w:tr>
      <w:tr>
        <w:tblPrEx>
          <w:tblCellMar>
            <w:top w:w="0" w:type="dxa"/>
            <w:left w:w="108" w:type="dxa"/>
            <w:bottom w:w="0" w:type="dxa"/>
            <w:right w:w="108" w:type="dxa"/>
          </w:tblCellMar>
        </w:tblPrEx>
        <w:trPr>
          <w:trHeight w:val="658"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腹膜透析出液肌酐测定</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250307002</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尿肌酐测定</w:t>
            </w:r>
          </w:p>
        </w:tc>
      </w:tr>
      <w:tr>
        <w:tblPrEx>
          <w:tblCellMar>
            <w:top w:w="0" w:type="dxa"/>
            <w:left w:w="108" w:type="dxa"/>
            <w:bottom w:w="0" w:type="dxa"/>
            <w:right w:w="108" w:type="dxa"/>
          </w:tblCellMar>
        </w:tblPrEx>
        <w:trPr>
          <w:trHeight w:val="121"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甲状旁腺激素（医保基金支付不超过4次/年）</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250310009</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甲状旁腺激素测定</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葡萄糖（医保基金支付不超过4次/年，限腹透）</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250302001</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葡萄糖测定</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310205008</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 xml:space="preserve"> 电脑血糖监测 </w:t>
            </w:r>
          </w:p>
        </w:tc>
      </w:tr>
      <w:tr>
        <w:tblPrEx>
          <w:tblCellMar>
            <w:top w:w="0" w:type="dxa"/>
            <w:left w:w="108" w:type="dxa"/>
            <w:bottom w:w="0" w:type="dxa"/>
            <w:right w:w="108" w:type="dxa"/>
          </w:tblCellMar>
        </w:tblPrEx>
        <w:trPr>
          <w:trHeight w:val="121"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骨密度检查（医保基金支付不超过1次/年）</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230200055</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骨密度测定</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动静脉内瘘血管超声随访</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220302006</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四肢血管彩色多普勒超声</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心脏超声（限心力衰竭）</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220600004</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心脏彩色多普勒超声</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220600004.01</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心脏彩色多普勒超声(同时做左心功能测定加收)</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甲状旁腺超声</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220301002.04</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浅表器官彩色多普勒超声检查（甲状腺及颈部淋巴结）</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胸腹部（CR、DR）</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210102015</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数字化X线摄影(DR)</w:t>
            </w:r>
          </w:p>
        </w:tc>
      </w:tr>
      <w:tr>
        <w:tblPrEx>
          <w:tblCellMar>
            <w:top w:w="0" w:type="dxa"/>
            <w:left w:w="108" w:type="dxa"/>
            <w:bottom w:w="0" w:type="dxa"/>
            <w:right w:w="108" w:type="dxa"/>
          </w:tblCellMar>
        </w:tblPrEx>
        <w:trPr>
          <w:trHeight w:val="90" w:hRule="atLeast"/>
        </w:trPr>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92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210102016</w:t>
            </w:r>
          </w:p>
        </w:tc>
        <w:tc>
          <w:tcPr>
            <w:tcW w:w="20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计算机X线摄影(ComputedRadiography,CR)</w:t>
            </w:r>
          </w:p>
        </w:tc>
      </w:tr>
    </w:tbl>
    <w:p>
      <w:pPr>
        <w:spacing w:line="340" w:lineRule="exac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pPr>
        <w:tabs>
          <w:tab w:val="left" w:pos="596"/>
        </w:tabs>
        <w:spacing w:line="340" w:lineRule="exact"/>
        <w:rPr>
          <w:rFonts w:ascii="Times New Roman" w:hAnsi="Times New Roman" w:eastAsia="黑体"/>
          <w:color w:val="000000" w:themeColor="text1"/>
          <w:sz w:val="30"/>
          <w:szCs w:val="30"/>
          <w14:textFill>
            <w14:solidFill>
              <w14:schemeClr w14:val="tx1"/>
            </w14:solidFill>
          </w14:textFill>
        </w:rPr>
      </w:pPr>
      <w:r>
        <w:rPr>
          <w:rFonts w:hint="eastAsia" w:ascii="Times New Roman" w:hAnsi="Times New Roman" w:eastAsia="黑体"/>
          <w:color w:val="000000" w:themeColor="text1"/>
          <w:sz w:val="30"/>
          <w:szCs w:val="30"/>
          <w14:textFill>
            <w14:solidFill>
              <w14:schemeClr w14:val="tx1"/>
            </w14:solidFill>
          </w14:textFill>
        </w:rPr>
        <w:t>2</w:t>
      </w:r>
      <w:r>
        <w:rPr>
          <w:rFonts w:ascii="Times New Roman" w:hAnsi="Times New Roman" w:eastAsia="黑体"/>
          <w:color w:val="000000" w:themeColor="text1"/>
          <w:sz w:val="30"/>
          <w:szCs w:val="30"/>
          <w14:textFill>
            <w14:solidFill>
              <w14:schemeClr w14:val="tx1"/>
            </w14:solidFill>
          </w14:textFill>
        </w:rPr>
        <w:t>.器官（包括组织、细胞）移植术后抗排异治疗</w:t>
      </w:r>
    </w:p>
    <w:tbl>
      <w:tblPr>
        <w:tblStyle w:val="4"/>
        <w:tblW w:w="8751" w:type="dxa"/>
        <w:tblInd w:w="93" w:type="dxa"/>
        <w:tblLayout w:type="fixed"/>
        <w:tblCellMar>
          <w:top w:w="0" w:type="dxa"/>
          <w:left w:w="108" w:type="dxa"/>
          <w:bottom w:w="0" w:type="dxa"/>
          <w:right w:w="108" w:type="dxa"/>
        </w:tblCellMar>
      </w:tblPr>
      <w:tblGrid>
        <w:gridCol w:w="741"/>
        <w:gridCol w:w="2522"/>
        <w:gridCol w:w="2235"/>
        <w:gridCol w:w="3253"/>
      </w:tblGrid>
      <w:tr>
        <w:tblPrEx>
          <w:tblCellMar>
            <w:top w:w="0" w:type="dxa"/>
            <w:left w:w="108" w:type="dxa"/>
            <w:bottom w:w="0" w:type="dxa"/>
            <w:right w:w="108" w:type="dxa"/>
          </w:tblCellMar>
        </w:tblPrEx>
        <w:trPr>
          <w:trHeight w:val="579"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肾移植术后抗排异治疗</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Z94.002</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异体肾移植状态</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Z94.000</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肾移植状态</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T86.100x002</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肾移植排斥</w:t>
            </w:r>
          </w:p>
        </w:tc>
      </w:tr>
      <w:tr>
        <w:tblPrEx>
          <w:tblCellMar>
            <w:top w:w="0" w:type="dxa"/>
            <w:left w:w="108" w:type="dxa"/>
            <w:bottom w:w="0" w:type="dxa"/>
            <w:right w:w="108" w:type="dxa"/>
          </w:tblCellMar>
        </w:tblPrEx>
        <w:trPr>
          <w:trHeight w:val="91"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8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完成肾移植术后且仍存留体内需要抗排异治疗，预防发生严重的排异反应。</w:t>
            </w:r>
          </w:p>
        </w:tc>
      </w:tr>
      <w:tr>
        <w:tblPrEx>
          <w:tblCellMar>
            <w:top w:w="0" w:type="dxa"/>
            <w:left w:w="108" w:type="dxa"/>
            <w:bottom w:w="0" w:type="dxa"/>
            <w:right w:w="108" w:type="dxa"/>
          </w:tblCellMar>
        </w:tblPrEx>
        <w:trPr>
          <w:trHeight w:val="91"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5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医保目录药品名称</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免疫抑制药物</w:t>
            </w:r>
          </w:p>
        </w:tc>
        <w:tc>
          <w:tcPr>
            <w:tcW w:w="5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环孢素、他克莫司、吗替麦考酚酯、麦考酚钠、西罗莫司、来氟米特、咪唑立宾、硫唑嘌呤等</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kern w:val="0"/>
                <w:szCs w:val="21"/>
                <w:lang w:bidi="ar"/>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w:t>
            </w:r>
          </w:p>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代码</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细胞毒性药物</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XL01AA</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氮芥类似物</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激素类药物</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XH02</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全身用皮质激素类</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移植后降压、降脂</w:t>
            </w:r>
          </w:p>
        </w:tc>
        <w:tc>
          <w:tcPr>
            <w:tcW w:w="5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hint="eastAsia" w:ascii="Times New Roman" w:hAnsi="Times New Roman" w:eastAsia="方正仿宋_GBK" w:cs="方正仿宋_GBK"/>
                <w:color w:val="000000" w:themeColor="text1"/>
                <w:szCs w:val="21"/>
                <w:lang w:eastAsia="zh-CN"/>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参照高血压特病医疗保障指南</w:t>
            </w:r>
            <w:r>
              <w:rPr>
                <w:rFonts w:hint="eastAsia" w:ascii="Times New Roman" w:hAnsi="Times New Roman" w:eastAsia="方正仿宋_GBK" w:cs="方正仿宋_GBK"/>
                <w:color w:val="000000" w:themeColor="text1"/>
                <w:kern w:val="0"/>
                <w:szCs w:val="21"/>
                <w:lang w:eastAsia="zh-CN" w:bidi="ar"/>
                <w14:textFill>
                  <w14:solidFill>
                    <w14:schemeClr w14:val="tx1"/>
                  </w14:solidFill>
                </w14:textFill>
              </w:rPr>
              <w:t>药品类别</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移植后降糖</w:t>
            </w:r>
          </w:p>
        </w:tc>
        <w:tc>
          <w:tcPr>
            <w:tcW w:w="5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hint="eastAsia" w:ascii="Times New Roman" w:hAnsi="Times New Roman" w:eastAsia="方正仿宋_GBK" w:cs="方正仿宋_GBK"/>
                <w:color w:val="000000" w:themeColor="text1"/>
                <w:szCs w:val="21"/>
                <w:lang w:eastAsia="zh-CN"/>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参照糖尿病特病医疗保障指南</w:t>
            </w:r>
            <w:r>
              <w:rPr>
                <w:rFonts w:hint="eastAsia" w:ascii="Times New Roman" w:hAnsi="Times New Roman" w:eastAsia="方正仿宋_GBK" w:cs="方正仿宋_GBK"/>
                <w:color w:val="000000" w:themeColor="text1"/>
                <w:kern w:val="0"/>
                <w:szCs w:val="21"/>
                <w:lang w:eastAsia="zh-CN" w:bidi="ar"/>
                <w14:textFill>
                  <w14:solidFill>
                    <w14:schemeClr w14:val="tx1"/>
                  </w14:solidFill>
                </w14:textFill>
              </w:rPr>
              <w:t>药品类别</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移植后高尿酸血症</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XM04</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抗痛风药</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XA02A</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抗酸药</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移植后白细胞减少、血小板减少、肾性贫血治疗</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XB02B</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维生素K和其他止血药</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XB03B</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维生素B12和叶酸</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XB03X</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其他抗贫血制剂</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XL03AA</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集落刺激因子</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抗病毒药物</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XJ05A</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直接作用的抗病毒药</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移植后骨质疏松</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XA11</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维生素类</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辅助治疗</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XC03</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利尿剂</w:t>
            </w:r>
          </w:p>
        </w:tc>
      </w:tr>
      <w:tr>
        <w:tblPrEx>
          <w:tblCellMar>
            <w:top w:w="0" w:type="dxa"/>
            <w:left w:w="108" w:type="dxa"/>
            <w:bottom w:w="0" w:type="dxa"/>
            <w:right w:w="108" w:type="dxa"/>
          </w:tblCellMar>
        </w:tblPrEx>
        <w:trPr>
          <w:trHeight w:val="91"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kern w:val="0"/>
                <w:szCs w:val="21"/>
                <w:lang w:bidi="ar"/>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w:t>
            </w:r>
          </w:p>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项目编码</w:t>
            </w:r>
          </w:p>
        </w:tc>
        <w:tc>
          <w:tcPr>
            <w:tcW w:w="3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血常规</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250101015</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血细胞分析</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尿常规</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250102035</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尿液分析</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250102</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尿液一般检查</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250102001</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尿常规检查</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肝功能</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250305009</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血清γ-谷氨酰基转移酶测定</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250301002</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血清白蛋白测定</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250305007</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血清丙氨酸氨基转移酶测定</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250305008</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血清天门冬氨酸氨基转移酶测定</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250305011</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血清碱性磷酸酶测定</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250301006</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血清前白蛋白测定</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250305001</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血清总胆红素测定</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250305002</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血清直接胆红素测定</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250305005</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血清总胆汁酸测定</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250301001</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血清总蛋白测定</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肾功能</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250307001</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尿素测定</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250307002</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肌酐测定</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250307005</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血清尿酸测定</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电解质</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250304001</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钾测定</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250304002</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钠测定</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250304004</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钙测定</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250304005</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无机磷测定</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250304003</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氯测定</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250304010</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血清碳酸氢盐(HCO3)测定</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血糖</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250302001</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葡萄糖测定</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BK/JC/EB/CMV核酸检测</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250403065</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各类病原体DNA测定</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血药浓度测定</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250309005</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血清药物浓度测定</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甲状旁腺测定</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250310009</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甲状旁腺激素测定</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T淋巴细胞亚群相关检测</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A250401036</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淋巴细胞CD4/CD8绝对数检测</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250401031</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血细胞簇分化抗原(CD)系列检测</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移植肾彩超检查</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220302007</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双肾及肾血管彩色多普勒超声</w:t>
            </w:r>
          </w:p>
        </w:tc>
      </w:tr>
    </w:tbl>
    <w:p>
      <w:pPr>
        <w:spacing w:line="340" w:lineRule="exac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tbl>
      <w:tblPr>
        <w:tblStyle w:val="4"/>
        <w:tblW w:w="8691" w:type="dxa"/>
        <w:tblInd w:w="93" w:type="dxa"/>
        <w:tblLayout w:type="fixed"/>
        <w:tblCellMar>
          <w:top w:w="0" w:type="dxa"/>
          <w:left w:w="108" w:type="dxa"/>
          <w:bottom w:w="0" w:type="dxa"/>
          <w:right w:w="108" w:type="dxa"/>
        </w:tblCellMar>
      </w:tblPr>
      <w:tblGrid>
        <w:gridCol w:w="711"/>
        <w:gridCol w:w="2206"/>
        <w:gridCol w:w="1891"/>
        <w:gridCol w:w="3883"/>
      </w:tblGrid>
      <w:tr>
        <w:tblPrEx>
          <w:tblCellMar>
            <w:top w:w="0" w:type="dxa"/>
            <w:left w:w="108" w:type="dxa"/>
            <w:bottom w:w="0" w:type="dxa"/>
            <w:right w:w="108" w:type="dxa"/>
          </w:tblCellMar>
        </w:tblPrEx>
        <w:trPr>
          <w:trHeight w:val="91"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心脏移植术后抗排异治疗</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Z94.100</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心脏移植状态</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T86.200x002</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心脏移植排斥</w:t>
            </w:r>
          </w:p>
        </w:tc>
      </w:tr>
      <w:tr>
        <w:tblPrEx>
          <w:tblCellMar>
            <w:top w:w="0" w:type="dxa"/>
            <w:left w:w="108" w:type="dxa"/>
            <w:bottom w:w="0" w:type="dxa"/>
            <w:right w:w="108" w:type="dxa"/>
          </w:tblCellMar>
        </w:tblPrEx>
        <w:trPr>
          <w:trHeight w:val="91"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7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完成心脏移植术后且仍存留体内需要抗排异治疗，预防发生严重的排异反应。</w:t>
            </w:r>
          </w:p>
        </w:tc>
      </w:tr>
      <w:tr>
        <w:tblPrEx>
          <w:tblCellMar>
            <w:top w:w="0" w:type="dxa"/>
            <w:left w:w="108" w:type="dxa"/>
            <w:bottom w:w="0" w:type="dxa"/>
            <w:right w:w="108" w:type="dxa"/>
          </w:tblCellMar>
        </w:tblPrEx>
        <w:trPr>
          <w:trHeight w:val="91"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5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医保目录药品名称</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抗排异药物</w:t>
            </w:r>
          </w:p>
        </w:tc>
        <w:tc>
          <w:tcPr>
            <w:tcW w:w="5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环孢素、他克莫司、西罗莫司、吗替麦考酚酯等</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kern w:val="0"/>
                <w:szCs w:val="21"/>
                <w:lang w:bidi="ar"/>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w:t>
            </w:r>
          </w:p>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分类代码</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抗心率失常药物</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XC01A</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强心苷</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XC01B</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Ⅰ类和Ⅲ类的抗心律失常药</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XC07</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β-受体阻滞剂</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利尿药物</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XC03</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利尿剂</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移植后降脂</w:t>
            </w:r>
          </w:p>
        </w:tc>
        <w:tc>
          <w:tcPr>
            <w:tcW w:w="5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hint="eastAsia" w:ascii="Times New Roman" w:hAnsi="Times New Roman" w:eastAsia="方正仿宋_GBK" w:cs="方正仿宋_GBK"/>
                <w:color w:val="000000" w:themeColor="text1"/>
                <w:szCs w:val="21"/>
                <w:lang w:eastAsia="zh-CN"/>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参照高血压特病医疗保障指南</w:t>
            </w:r>
            <w:r>
              <w:rPr>
                <w:rFonts w:hint="eastAsia" w:ascii="Times New Roman" w:hAnsi="Times New Roman" w:eastAsia="方正仿宋_GBK" w:cs="方正仿宋_GBK"/>
                <w:color w:val="000000" w:themeColor="text1"/>
                <w:kern w:val="0"/>
                <w:szCs w:val="21"/>
                <w:lang w:eastAsia="zh-CN" w:bidi="ar"/>
                <w14:textFill>
                  <w14:solidFill>
                    <w14:schemeClr w14:val="tx1"/>
                  </w14:solidFill>
                </w14:textFill>
              </w:rPr>
              <w:t>药品类别</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抗心衰</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XA10BK</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钠葡萄糖协同转运蛋白2(SGLT-2)抑制剂</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XC09D</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血管紧张素Ⅱ拮抗剂的复方制剂</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XC09A</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血管紧张素转换酶抑制剂的单方药</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XC09B</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血管紧张素转换酶抑制剂的复方制剂</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抗菌药物</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XJ01</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全身用抗菌药</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抗真菌药物</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XJ02</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全身用抗真菌药</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抗病毒药物</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XJ05A</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直接作用的抗病毒药</w:t>
            </w:r>
          </w:p>
        </w:tc>
      </w:tr>
      <w:tr>
        <w:tblPrEx>
          <w:tblCellMar>
            <w:top w:w="0" w:type="dxa"/>
            <w:left w:w="108" w:type="dxa"/>
            <w:bottom w:w="0" w:type="dxa"/>
            <w:right w:w="108" w:type="dxa"/>
          </w:tblCellMar>
        </w:tblPrEx>
        <w:trPr>
          <w:trHeight w:val="91"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kern w:val="0"/>
                <w:szCs w:val="21"/>
                <w:lang w:bidi="ar"/>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w:t>
            </w:r>
          </w:p>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服务项目编码</w:t>
            </w:r>
          </w:p>
        </w:tc>
        <w:tc>
          <w:tcPr>
            <w:tcW w:w="3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血常规</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250101015</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血细胞分析</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尿常规</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250102035</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尿液分析</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250102</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尿液一般检查</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250102001</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尿常规检查</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肝功能</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250301015</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α1抗胰蛋白酶测定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250404019</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酸性糖蛋白测定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250305023</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腺苷脱氨酶测定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250305016</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血清5′核苷酸酶测定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250305017</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血清α-L-岩藻糖苷酶测定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250305009</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血清γ-谷氨酰基转移酶测定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250301002</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血清白蛋白测定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250305007</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血清丙氨酸氨基转移酶测定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250305008</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血清天门冬氨酸氨基转移酶测定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250305011</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血清碱性磷酸酶测定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250301006</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血清前白蛋白测定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250305001</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血清总胆红素测定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250305002</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血清直接胆红素测定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250305005</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血清总胆汁酸测定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250301001</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血清总蛋白测定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肾功能</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250307001</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尿素测定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250307002</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肌酐测定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250307005</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血清尿酸测定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血脂</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250303004</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血清高密度脂蛋白胆固醇测定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250303002</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血清甘油三酯测定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250303001</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血清总胆固醇测定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250303005</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血清低密度脂蛋白胆固醇测定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电解质</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250304002</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钠测定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250304003</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氯测定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250304004</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钙测定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250304010</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血清碳酸氢盐(HCO3)测定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250304001</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钾测定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降钙素原检测</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250310054</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降钙素原检测</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C反应蛋白</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250401025</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C—反应蛋白测定(CRP)</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BK/JC/EB/CMV核酸检测</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250403065</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各类病原体DNA测定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血药浓度测定</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250309005</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血清药物浓度测定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真菌G试验</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250501040</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真菌D-葡聚糖检测</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BNP、NT-pro BNP</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250306012</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B型钠尿肽(BNP)</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250306013</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B型钠尿肽前体(PRO-BNP)测定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常规、动态心电图</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310701001</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常规心电图检查</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310701003</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动态心电图</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心脏彩超</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220600004</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心脏彩色多普勒超声</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胸片</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210102015</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数字化X线摄影(DR)</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冠状动脉CT血管造影、钙化积分</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EBCKU002</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冠状动脉CT三维成像</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EBCKU001</w:t>
            </w:r>
          </w:p>
        </w:tc>
        <w:tc>
          <w:tcPr>
            <w:tcW w:w="3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冠状动脉钙化积分</w:t>
            </w:r>
          </w:p>
        </w:tc>
      </w:tr>
    </w:tbl>
    <w:p>
      <w:pPr>
        <w:spacing w:line="340" w:lineRule="exac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tbl>
      <w:tblPr>
        <w:tblStyle w:val="4"/>
        <w:tblW w:w="8691" w:type="dxa"/>
        <w:tblInd w:w="93" w:type="dxa"/>
        <w:tblLayout w:type="fixed"/>
        <w:tblCellMar>
          <w:top w:w="0" w:type="dxa"/>
          <w:left w:w="108" w:type="dxa"/>
          <w:bottom w:w="0" w:type="dxa"/>
          <w:right w:w="108" w:type="dxa"/>
        </w:tblCellMar>
      </w:tblPr>
      <w:tblGrid>
        <w:gridCol w:w="756"/>
        <w:gridCol w:w="2296"/>
        <w:gridCol w:w="1875"/>
        <w:gridCol w:w="3764"/>
      </w:tblGrid>
      <w:tr>
        <w:tblPrEx>
          <w:tblCellMar>
            <w:top w:w="0" w:type="dxa"/>
            <w:left w:w="108" w:type="dxa"/>
            <w:bottom w:w="0" w:type="dxa"/>
            <w:right w:w="108" w:type="dxa"/>
          </w:tblCellMar>
        </w:tblPrEx>
        <w:trPr>
          <w:trHeight w:val="91"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造血干细胞、骨髓、</w:t>
            </w:r>
          </w:p>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脐带血移植术后抗排异治疗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Z94.800x012</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造血干细胞移植状态</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Z94.802</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骨髓移植状态</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T86.000</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骨髓移植排斥</w:t>
            </w:r>
          </w:p>
        </w:tc>
      </w:tr>
      <w:tr>
        <w:tblPrEx>
          <w:tblCellMar>
            <w:top w:w="0" w:type="dxa"/>
            <w:left w:w="108" w:type="dxa"/>
            <w:bottom w:w="0" w:type="dxa"/>
            <w:right w:w="108" w:type="dxa"/>
          </w:tblCellMar>
        </w:tblPrEx>
        <w:trPr>
          <w:trHeight w:val="91"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7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完成造血干细胞、骨髓或脐带血移植术后且仍存留体内需要抗排异治疗，预防发生严重的排异反应。</w:t>
            </w:r>
          </w:p>
        </w:tc>
      </w:tr>
      <w:tr>
        <w:tblPrEx>
          <w:tblCellMar>
            <w:top w:w="0" w:type="dxa"/>
            <w:left w:w="108" w:type="dxa"/>
            <w:bottom w:w="0" w:type="dxa"/>
            <w:right w:w="108" w:type="dxa"/>
          </w:tblCellMar>
        </w:tblPrEx>
        <w:trPr>
          <w:trHeight w:val="91"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5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医保目录药品名称</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免疫抑制及免疫调节药物</w:t>
            </w:r>
          </w:p>
        </w:tc>
        <w:tc>
          <w:tcPr>
            <w:tcW w:w="5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吗替麦考酚酯、西罗莫司、盐酸芬戈莫德胶囊、硫唑嘌呤、环磷酰胺、环孢素、他克莫司、芦可替尼、伊布替尼胶囊、伊马替尼、贝舒地尔、抗代谢药、干扰素类、白介素类、全身用皮质激素类等</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kern w:val="0"/>
                <w:szCs w:val="21"/>
                <w:lang w:bidi="ar"/>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w:t>
            </w:r>
          </w:p>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分类代码</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抗菌药物</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XJ01</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全身用抗菌药</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抗真菌药物</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XJ02</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全身用抗真菌药</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抗病毒药物</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XJ05A</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直接作用的抗病毒药</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药物不良反应的对症支持治疗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XA02A</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抗酸药</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XA02BC</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质子泵抑制剂</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XA02BX</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其他治疗消化性溃疡病和胃食道反流病的药物</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XA11</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维生素类</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XA05</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胆和肝治疗药</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XL03AA</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集落刺激因子</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XM04</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抗痛风药</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XV03AC</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铁螯合剂</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降压、降脂</w:t>
            </w:r>
          </w:p>
        </w:tc>
        <w:tc>
          <w:tcPr>
            <w:tcW w:w="5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hint="eastAsia" w:ascii="Times New Roman" w:hAnsi="Times New Roman" w:eastAsia="方正仿宋_GBK" w:cs="方正仿宋_GBK"/>
                <w:color w:val="000000" w:themeColor="text1"/>
                <w:szCs w:val="21"/>
                <w:lang w:eastAsia="zh-CN"/>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参照高血压特病医疗保障指南</w:t>
            </w:r>
            <w:r>
              <w:rPr>
                <w:rFonts w:hint="eastAsia" w:ascii="Times New Roman" w:hAnsi="Times New Roman" w:eastAsia="方正仿宋_GBK" w:cs="方正仿宋_GBK"/>
                <w:color w:val="000000" w:themeColor="text1"/>
                <w:kern w:val="0"/>
                <w:szCs w:val="21"/>
                <w:lang w:eastAsia="zh-CN" w:bidi="ar"/>
                <w14:textFill>
                  <w14:solidFill>
                    <w14:schemeClr w14:val="tx1"/>
                  </w14:solidFill>
                </w14:textFill>
              </w:rPr>
              <w:t>药品类别</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降糖</w:t>
            </w:r>
          </w:p>
        </w:tc>
        <w:tc>
          <w:tcPr>
            <w:tcW w:w="5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hint="eastAsia" w:ascii="Times New Roman" w:hAnsi="Times New Roman" w:eastAsia="方正仿宋_GBK" w:cs="方正仿宋_GBK"/>
                <w:color w:val="000000" w:themeColor="text1"/>
                <w:szCs w:val="21"/>
                <w:lang w:eastAsia="zh-CN"/>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参照糖尿病特病医疗保障指南</w:t>
            </w:r>
            <w:r>
              <w:rPr>
                <w:rFonts w:hint="eastAsia" w:ascii="Times New Roman" w:hAnsi="Times New Roman" w:eastAsia="方正仿宋_GBK" w:cs="方正仿宋_GBK"/>
                <w:color w:val="000000" w:themeColor="text1"/>
                <w:kern w:val="0"/>
                <w:szCs w:val="21"/>
                <w:lang w:eastAsia="zh-CN" w:bidi="ar"/>
                <w14:textFill>
                  <w14:solidFill>
                    <w14:schemeClr w14:val="tx1"/>
                  </w14:solidFill>
                </w14:textFill>
              </w:rPr>
              <w:t>药品类别</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肺（GVHD）时的治疗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XR03DC</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白三烯受体拮抗剂</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XJ01FA</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大环内酯类</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XL04AX</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其他免疫抑制剂</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XR01AD</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皮质激素类</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XR03</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用于阻塞性气道疾病的药物</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肝脏（GVHD）时的治疗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XA05</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胆和肝治疗药</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眼（GVHD）时的治疗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XS01K</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手术辅助用药</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XS01X</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其他眼科用药</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皮肤（GVHD）时的治疗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XH02</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全身用皮质激素类</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XD07</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皮科用皮质激素类</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XD11</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其他皮科制剂</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XR06</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全身用抗组胺药</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移植后免疫性溶血/免疫性血小板减少</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XB02B</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维生素K和其他止血药</w:t>
            </w:r>
          </w:p>
        </w:tc>
      </w:tr>
      <w:tr>
        <w:tblPrEx>
          <w:tblCellMar>
            <w:top w:w="0" w:type="dxa"/>
            <w:left w:w="108" w:type="dxa"/>
            <w:bottom w:w="0" w:type="dxa"/>
            <w:right w:w="108" w:type="dxa"/>
          </w:tblCellMar>
        </w:tblPrEx>
        <w:trPr>
          <w:trHeight w:val="91"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kern w:val="0"/>
                <w:szCs w:val="21"/>
                <w:lang w:bidi="ar"/>
                <w14:textFill>
                  <w14:solidFill>
                    <w14:schemeClr w14:val="tx1"/>
                  </w14:solidFill>
                </w14:textFill>
              </w:rPr>
            </w:pPr>
          </w:p>
          <w:p>
            <w:pPr>
              <w:widowControl/>
              <w:spacing w:line="340" w:lineRule="exact"/>
              <w:jc w:val="center"/>
              <w:textAlignment w:val="center"/>
              <w:rPr>
                <w:rFonts w:ascii="Times New Roman" w:hAnsi="Times New Roman" w:eastAsia="方正黑体_GBK" w:cs="方正黑体_GBK"/>
                <w:color w:val="000000" w:themeColor="text1"/>
                <w:kern w:val="0"/>
                <w:szCs w:val="21"/>
                <w:lang w:bidi="ar"/>
                <w14:textFill>
                  <w14:solidFill>
                    <w14:schemeClr w14:val="tx1"/>
                  </w14:solidFill>
                </w14:textFill>
              </w:rPr>
            </w:pPr>
          </w:p>
          <w:p>
            <w:pPr>
              <w:widowControl/>
              <w:spacing w:line="340" w:lineRule="exact"/>
              <w:jc w:val="center"/>
              <w:textAlignment w:val="center"/>
              <w:rPr>
                <w:rFonts w:ascii="Times New Roman" w:hAnsi="Times New Roman" w:eastAsia="方正黑体_GBK" w:cs="方正黑体_GBK"/>
                <w:color w:val="000000" w:themeColor="text1"/>
                <w:kern w:val="0"/>
                <w:szCs w:val="21"/>
                <w:lang w:bidi="ar"/>
                <w14:textFill>
                  <w14:solidFill>
                    <w14:schemeClr w14:val="tx1"/>
                  </w14:solidFill>
                </w14:textFill>
              </w:rPr>
            </w:pPr>
          </w:p>
          <w:p>
            <w:pPr>
              <w:widowControl/>
              <w:spacing w:line="340" w:lineRule="exact"/>
              <w:jc w:val="center"/>
              <w:textAlignment w:val="center"/>
              <w:rPr>
                <w:rFonts w:ascii="Times New Roman" w:hAnsi="Times New Roman" w:eastAsia="方正黑体_GBK" w:cs="方正黑体_GBK"/>
                <w:color w:val="000000" w:themeColor="text1"/>
                <w:kern w:val="0"/>
                <w:szCs w:val="21"/>
                <w:lang w:bidi="ar"/>
                <w14:textFill>
                  <w14:solidFill>
                    <w14:schemeClr w14:val="tx1"/>
                  </w14:solidFill>
                </w14:textFill>
              </w:rPr>
            </w:pPr>
          </w:p>
          <w:p>
            <w:pPr>
              <w:widowControl/>
              <w:spacing w:line="340" w:lineRule="exact"/>
              <w:jc w:val="center"/>
              <w:textAlignment w:val="center"/>
              <w:rPr>
                <w:rFonts w:ascii="Times New Roman" w:hAnsi="Times New Roman" w:eastAsia="方正黑体_GBK" w:cs="方正黑体_GBK"/>
                <w:color w:val="000000" w:themeColor="text1"/>
                <w:kern w:val="0"/>
                <w:szCs w:val="21"/>
                <w:lang w:bidi="ar"/>
                <w14:textFill>
                  <w14:solidFill>
                    <w14:schemeClr w14:val="tx1"/>
                  </w14:solidFill>
                </w14:textFill>
              </w:rPr>
            </w:pPr>
          </w:p>
          <w:p>
            <w:pPr>
              <w:widowControl/>
              <w:spacing w:line="340" w:lineRule="exact"/>
              <w:jc w:val="center"/>
              <w:textAlignment w:val="center"/>
              <w:rPr>
                <w:rFonts w:hint="eastAsia" w:ascii="Times New Roman" w:hAnsi="Times New Roman" w:eastAsia="方正黑体_GBK" w:cs="方正黑体_GBK"/>
                <w:color w:val="000000" w:themeColor="text1"/>
                <w:sz w:val="24"/>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医保目录医疗服务项目编码</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血常规</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250101015</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血细胞分析</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尿常规</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250102035</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尿液分析</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250102</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尿液一般检查</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250102001</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尿常规检查</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肝功能</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250305023</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腺苷脱氨酶测定</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250305009</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血清γ-谷氨酰基转移酶测定</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250301002</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血清白蛋白测定</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250305007</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血清丙氨酸氨基转移酶测定</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250305008</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血清天门冬氨酸氨基转移酶测定</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250305011</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血清碱性磷酸酶测定</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250202003</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血清结合珠蛋白测定(HP)</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250301006</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血清前白蛋白测定</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250305001</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血清总胆红素测定</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250305002</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血清直接胆红素测定</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250305005</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血清总胆汁酸测定</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250301001</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血清总蛋白测定</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肾功能</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250307001</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尿素测定</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250307002</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肌酐测定</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250307005</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血清尿酸测定</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C反应蛋白</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250401025</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C—反应蛋白测定(CRP)</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电解质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250304002</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钠测定</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250304003</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氯测定</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250304004</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钙测定</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250304010</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血清碳酸氢盐(HCO3)测定</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250304001</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钾测定</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BK/JC/EB/CMV核酸检测</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250403065</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各类病原体DNA测定</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T淋巴细胞亚群相关检测</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A250401036</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淋巴细胞CD4/CD8绝对数检测</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250401031</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血细胞簇分化抗原(CD)系列检测</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血药浓度测定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250309005</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血清药物浓度测定</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网织红细胞</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250101005</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网织红细胞计数(Ret)</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乙肝DNA检测</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250403003</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乙型肝炎DNA测定</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EB病毒抗体测定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250403025</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EB病毒抗体测定</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250403025.10</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EB病毒抗体测定(IgG)</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250403025.20</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EB病毒抗体测定(IgM)</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肺炎支原体培养+鉴定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250501034</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支原体培养及药敏</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乙肝定量检测</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250403004</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乙型肝炎表面抗原测定(HBsAg)</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250403005</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乙型肝炎表面抗体测定(AntiHBs)</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250403006</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乙型肝炎e抗原测定(HBeAg)</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250403007</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乙型肝炎e抗体测定(AntiHBe)</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250403008</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乙型肝炎核心抗原测定(HBcAg)</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250403009</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乙型肝炎核心抗体测定(AntiHBc)</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250403010</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乙型肝炎核心IgM抗体测定(Anti-HBcIgM)</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铁蛋白测定</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250301008</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血清铁蛋白测定</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甲流检测</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CGLB1000</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甲型流感病毒抗原检测</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胸片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210102015</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数字化X线摄影(DR)</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胸部CT平扫或增强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210300001</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X线计算机体层(CT)平扫</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210300002</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仿宋" w:cs="仿宋"/>
                <w:color w:val="000000" w:themeColor="text1"/>
                <w:szCs w:val="21"/>
                <w14:textFill>
                  <w14:solidFill>
                    <w14:schemeClr w14:val="tx1"/>
                  </w14:solidFill>
                </w14:textFill>
              </w:rPr>
            </w:pPr>
            <w:r>
              <w:rPr>
                <w:rFonts w:hint="eastAsia" w:ascii="Times New Roman" w:hAnsi="Times New Roman" w:eastAsia="仿宋" w:cs="仿宋"/>
                <w:color w:val="000000" w:themeColor="text1"/>
                <w:kern w:val="0"/>
                <w:szCs w:val="21"/>
                <w:lang w:bidi="ar"/>
                <w14:textFill>
                  <w14:solidFill>
                    <w14:schemeClr w14:val="tx1"/>
                  </w14:solidFill>
                </w14:textFill>
              </w:rPr>
              <w:t>X线计算机体层(CT)增强扫描</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EBAJT001</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胸部X线计算机体层(CT)平扫</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EBBJT001</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胸部X线计算机体层(CT)增强扫描</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腹部超声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220201002.20</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B超常规检查(腹部)</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220301001b</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彩色多普勒超声常规检查(腹部)</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肺功能检测</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310601005</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残气容积测定</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310601002</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肺弥散功能检查</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310601001</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肺通气功能检查</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310601008</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流速容量曲线(V—V曲线)</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310601006</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强迫振荡肺功能检查</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310601010</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支气管激发试验</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310601012</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支气管舒张试验</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骨髓穿刺及细胞形态检查</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250201001</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骨髓涂片细胞学检验</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250201001.10</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骨髓涂片细胞学检验(外周血涂片疑难细胞学检验)</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270800006</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显微摄影术</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250101007</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异常红细胞形态检查</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250201002</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骨髓有核细胞计数</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250201003</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骨髓巨核细胞计数</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310800001</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骨髓穿刺术</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250201007</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骨髓特殊染色及酶组织化学染色检查</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250101012</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异常白细胞形态检查</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骨髓活检病理检查</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270300004</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骨髓组织活检检查与诊断</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270800006</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显微摄影术</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310800002</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骨髓活检术</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270800001</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病理体视学检查与图象分析</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270500001</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特殊染色及酶组织化学染色诊断</w:t>
            </w:r>
          </w:p>
        </w:tc>
      </w:tr>
    </w:tbl>
    <w:p>
      <w:pPr>
        <w:spacing w:line="340" w:lineRule="exac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tbl>
      <w:tblPr>
        <w:tblStyle w:val="4"/>
        <w:tblW w:w="8858" w:type="dxa"/>
        <w:tblInd w:w="93" w:type="dxa"/>
        <w:tblLayout w:type="fixed"/>
        <w:tblCellMar>
          <w:top w:w="0" w:type="dxa"/>
          <w:left w:w="108" w:type="dxa"/>
          <w:bottom w:w="0" w:type="dxa"/>
          <w:right w:w="108" w:type="dxa"/>
        </w:tblCellMar>
      </w:tblPr>
      <w:tblGrid>
        <w:gridCol w:w="816"/>
        <w:gridCol w:w="2387"/>
        <w:gridCol w:w="2115"/>
        <w:gridCol w:w="3540"/>
      </w:tblGrid>
      <w:tr>
        <w:tblPrEx>
          <w:tblCellMar>
            <w:top w:w="0" w:type="dxa"/>
            <w:left w:w="108" w:type="dxa"/>
            <w:bottom w:w="0" w:type="dxa"/>
            <w:right w:w="108" w:type="dxa"/>
          </w:tblCellMar>
        </w:tblPrEx>
        <w:trPr>
          <w:trHeight w:val="572" w:hRule="atLeast"/>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小肠移植术后抗排异治疗</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Z94.801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肠移植状态</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T86.800x808</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肠移植排斥</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T86.804</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移植胰排斥反应</w:t>
            </w:r>
          </w:p>
        </w:tc>
      </w:tr>
      <w:tr>
        <w:tblPrEx>
          <w:tblCellMar>
            <w:top w:w="0" w:type="dxa"/>
            <w:left w:w="108" w:type="dxa"/>
            <w:bottom w:w="0" w:type="dxa"/>
            <w:right w:w="108" w:type="dxa"/>
          </w:tblCellMar>
        </w:tblPrEx>
        <w:trPr>
          <w:trHeight w:val="91"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80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完成小肠移植术后且仍存留体内需要抗排异治疗，预防发生严重的排异反应。</w:t>
            </w:r>
          </w:p>
        </w:tc>
      </w:tr>
      <w:tr>
        <w:tblPrEx>
          <w:tblCellMar>
            <w:top w:w="0" w:type="dxa"/>
            <w:left w:w="108" w:type="dxa"/>
            <w:bottom w:w="0" w:type="dxa"/>
            <w:right w:w="108" w:type="dxa"/>
          </w:tblCellMar>
        </w:tblPrEx>
        <w:trPr>
          <w:trHeight w:val="91" w:hRule="atLeast"/>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5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医保目录药品名称</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免疫抑制药物</w:t>
            </w:r>
          </w:p>
        </w:tc>
        <w:tc>
          <w:tcPr>
            <w:tcW w:w="5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环孢素、他克莫司、西罗莫司、吗替麦考酚酯、甲泼尼龙、泼尼松等</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kern w:val="0"/>
                <w:szCs w:val="21"/>
                <w:lang w:bidi="ar"/>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w:t>
            </w:r>
          </w:p>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代码</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移植后导致白细胞减少</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XB03B</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维生素B12和叶酸</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XL03AA</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集落刺激因子</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移植后肝损伤</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XA05</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胆和肝治疗药</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抗血栓形成药</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促进肠道功能药物</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XA03A</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治疗功能性肠道疾病的药物</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XA07F</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止泻微生物</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抗菌药物</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XJ01</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全身用抗菌药</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抗真菌药物</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XJ02</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全身用抗真菌药</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抗病毒药物</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XJ05A</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直接作用的抗病毒药</w:t>
            </w:r>
          </w:p>
        </w:tc>
      </w:tr>
      <w:tr>
        <w:tblPrEx>
          <w:tblCellMar>
            <w:top w:w="0" w:type="dxa"/>
            <w:left w:w="108" w:type="dxa"/>
            <w:bottom w:w="0" w:type="dxa"/>
            <w:right w:w="108" w:type="dxa"/>
          </w:tblCellMar>
        </w:tblPrEx>
        <w:trPr>
          <w:trHeight w:val="91" w:hRule="atLeast"/>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kern w:val="0"/>
                <w:szCs w:val="21"/>
                <w:lang w:bidi="ar"/>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w:t>
            </w:r>
          </w:p>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项目编码</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血常规</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250101015</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血细胞分析</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尿常规</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250102035</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尿液分析</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250102</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尿液一般检查</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250102001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尿常规检查</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肝功能</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250301015</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α1抗胰蛋白酶测定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250404019</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酸性糖蛋白测定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250305023</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腺苷脱氨酶测定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250305016</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血清5′核苷酸酶测定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250305017</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血清α-L-岩藻糖苷酶测定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250305009</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血清γ-谷氨酰基转移酶测定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250301002</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血清白蛋白测定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250305007</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血清丙氨酸氨基转移酶测定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250305008</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血清天门冬氨酸氨基转移酶测定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血清碱性磷酸酶测定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250301006</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血清前白蛋白测定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250305001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血清总胆红素测定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250305002</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血清直接胆红素测定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250305005</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血清总胆汁酸测定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血清总蛋白测定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肾功能</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尿素测定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250307002</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肌酐测定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250307005</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血清尿酸测定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tcBorders>
              <w:top w:val="single" w:color="000000" w:sz="4" w:space="0"/>
              <w:left w:val="single" w:color="000000" w:sz="4" w:space="0"/>
              <w:bottom w:val="nil"/>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C反应蛋白</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250401025</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C—反应蛋白测定(CRP)</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tcBorders>
              <w:top w:val="single" w:color="000000" w:sz="4" w:space="0"/>
              <w:left w:val="single" w:color="000000" w:sz="4" w:space="0"/>
              <w:bottom w:val="nil"/>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D-二聚体测定</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250203066</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血浆D-二聚体测定(D-Dimer)</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tcBorders>
              <w:top w:val="single" w:color="000000" w:sz="4" w:space="0"/>
              <w:left w:val="single" w:color="000000" w:sz="4" w:space="0"/>
              <w:bottom w:val="nil"/>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血糖</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250302001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葡萄糖测定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尿肌酐/尿蛋白测定</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250102006</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尿蛋白定量</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250307002</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肌酐测定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250307006</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尿微量白蛋白测定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大便常规</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250103002</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隐血试验</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250103001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粪便常规</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凝血功能</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250203025</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活化部分凝血活酶时间测定APTT</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250203020</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血浆凝血酶原时间测定(PT)</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250203030</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血浆纤维蛋白原测定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250203035</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凝血酶时间测定(TT)</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BK/JC/EB/CMV核酸检测</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250403065</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各类病原体DNA测定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血药浓度测定</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250309005</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血清药物浓度测定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电解质</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250304002</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钠测定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250304004</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钙测定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250304003</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氯测定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250304010</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血清碳酸氢盐(HCO3)测定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钾测定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EB病毒抗体测定</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250403025</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EB病毒抗体测定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250403025.10</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EB病毒抗体测定(IgG)</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250403025.20</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EB病毒抗体测定(IgM)</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250403025.30</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EB病毒抗体测定(IgA)</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250403025.40</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EB病毒抗体测定(EBV-CA)</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250403025.50</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EB病毒抗体测定(EBV-EA)</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250403025.60</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EB病毒抗体测定(EBVIgG)</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250403025.70</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EB病毒抗体测定(EBVIgM)</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250403025.80</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EB病毒抗体测定(EBV-EAIgG)</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250403025.90</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EB病毒抗体测定(EBNA-G)</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免疫球蛋白</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250401023</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免疫球蛋白定量测定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250401023.10</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免疫球蛋白定量测定(IgA)</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250401023.20</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免疫球蛋白定量测定(IgG)</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250401023.30</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免疫球蛋白定量测定(IgM)</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250401023.40</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免疫球蛋白定量测定(IgD)</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250401023.50</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免疫球蛋白定量测定(IgE)</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补体测定</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250401019</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总补体测定(CH50)</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250401020</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单项补体测定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T淋巴细胞亚群相关检测</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A250401036</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淋巴细胞CD4/CD8绝对数检测</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250401031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血细胞簇分化抗原(CD)系列检测</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细胞因子测定</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250401014</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各种白介素测定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250404013</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肿瘤坏死因子测定(TNF)</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心电图（常规、动态）</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310701001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常规心电图检查</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310701003</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动态心电图</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腹部、门静脉系彩超</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220301001b</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彩色多普勒超声常规检查(腹部)</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220302004</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门静脉系彩色多普勒超声</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restart"/>
            <w:tcBorders>
              <w:top w:val="nil"/>
              <w:left w:val="single" w:color="000000" w:sz="4" w:space="0"/>
              <w:bottom w:val="nil"/>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全腹部CT平扫或增强</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210300001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X线计算机体层(CT)平扫</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continue"/>
            <w:tcBorders>
              <w:top w:val="nil"/>
              <w:left w:val="single" w:color="000000" w:sz="4" w:space="0"/>
              <w:bottom w:val="nil"/>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210300002</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X线计算机体层(CT)增强扫描</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continue"/>
            <w:tcBorders>
              <w:top w:val="nil"/>
              <w:left w:val="single" w:color="000000" w:sz="4" w:space="0"/>
              <w:bottom w:val="nil"/>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EBAQT001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上腹部X线计算机体层(CT)平扫</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continue"/>
            <w:tcBorders>
              <w:top w:val="nil"/>
              <w:left w:val="single" w:color="000000" w:sz="4" w:space="0"/>
              <w:bottom w:val="nil"/>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EBBQT001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上腹部X线计算机体层(CT)增强扫描</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continue"/>
            <w:tcBorders>
              <w:top w:val="nil"/>
              <w:left w:val="single" w:color="000000" w:sz="4" w:space="0"/>
              <w:bottom w:val="nil"/>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kern w:val="2"/>
                <w:sz w:val="21"/>
                <w:szCs w:val="21"/>
                <w:lang w:val="en-US" w:eastAsia="zh-CN" w:bidi="ar-SA"/>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EBAQT002</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hint="eastAsia" w:ascii="Times New Roman" w:hAnsi="Times New Roman" w:eastAsia="仿宋" w:cs="仿宋"/>
                <w:color w:val="000000" w:themeColor="text1"/>
                <w:kern w:val="2"/>
                <w:sz w:val="21"/>
                <w:szCs w:val="21"/>
                <w:lang w:val="en-US" w:eastAsia="zh-CN" w:bidi="ar-SA"/>
                <w14:textFill>
                  <w14:solidFill>
                    <w14:schemeClr w14:val="tx1"/>
                  </w14:solidFill>
                </w14:textFill>
              </w:rPr>
            </w:pPr>
            <w:r>
              <w:rPr>
                <w:rFonts w:hint="eastAsia" w:ascii="Times New Roman" w:hAnsi="Times New Roman" w:eastAsia="仿宋" w:cs="仿宋"/>
                <w:color w:val="000000" w:themeColor="text1"/>
                <w:kern w:val="0"/>
                <w:szCs w:val="21"/>
                <w:lang w:bidi="ar"/>
                <w14:textFill>
                  <w14:solidFill>
                    <w14:schemeClr w14:val="tx1"/>
                  </w14:solidFill>
                </w14:textFill>
              </w:rPr>
              <w:t>下腹部X线计算机体层(CT)平扫</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continue"/>
            <w:tcBorders>
              <w:top w:val="nil"/>
              <w:left w:val="single" w:color="000000" w:sz="4" w:space="0"/>
              <w:bottom w:val="nil"/>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hint="eastAsia" w:ascii="Times New Roman" w:hAnsi="Times New Roman" w:eastAsia="方正仿宋_GBK" w:cs="方正仿宋_GBK"/>
                <w:color w:val="000000" w:themeColor="text1"/>
                <w:szCs w:val="21"/>
                <w:lang w:eastAsia="zh-CN"/>
                <w14:textFill>
                  <w14:solidFill>
                    <w14:schemeClr w14:val="tx1"/>
                  </w14:solidFill>
                </w14:textFill>
              </w:rPr>
            </w:pPr>
            <w:r>
              <w:rPr>
                <w:rFonts w:hint="eastAsia" w:ascii="Times New Roman" w:hAnsi="Times New Roman" w:eastAsia="方正仿宋_GBK" w:cs="方正仿宋_GBK"/>
                <w:color w:val="000000" w:themeColor="text1"/>
                <w:szCs w:val="21"/>
                <w14:textFill>
                  <w14:solidFill>
                    <w14:schemeClr w14:val="tx1"/>
                  </w14:solidFill>
                </w14:textFill>
              </w:rPr>
              <w:t>EBBQT00</w:t>
            </w:r>
            <w:r>
              <w:rPr>
                <w:rFonts w:hint="eastAsia" w:ascii="Times New Roman" w:hAnsi="Times New Roman" w:eastAsia="方正仿宋_GBK" w:cs="方正仿宋_GBK"/>
                <w:color w:val="000000" w:themeColor="text1"/>
                <w:szCs w:val="21"/>
                <w:lang w:val="en-US" w:eastAsia="zh-CN"/>
                <w14:textFill>
                  <w14:solidFill>
                    <w14:schemeClr w14:val="tx1"/>
                  </w14:solidFill>
                </w14:textFill>
              </w:rPr>
              <w:t>2</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仿宋" w:cs="仿宋"/>
                <w:color w:val="000000" w:themeColor="text1"/>
                <w:szCs w:val="21"/>
                <w14:textFill>
                  <w14:solidFill>
                    <w14:schemeClr w14:val="tx1"/>
                  </w14:solidFill>
                </w14:textFill>
              </w:rPr>
            </w:pPr>
            <w:r>
              <w:rPr>
                <w:rFonts w:hint="eastAsia" w:ascii="Times New Roman" w:hAnsi="Times New Roman" w:eastAsia="仿宋" w:cs="仿宋"/>
                <w:color w:val="000000" w:themeColor="text1"/>
                <w:szCs w:val="21"/>
                <w14:textFill>
                  <w14:solidFill>
                    <w14:schemeClr w14:val="tx1"/>
                  </w14:solidFill>
                </w14:textFill>
              </w:rPr>
              <w:t>下腹部X线计算机体层(CT)增强扫描</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心电图（常规、动态）</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310701001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常规心电图检查</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310701003</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动态心电图</w:t>
            </w:r>
          </w:p>
        </w:tc>
      </w:tr>
    </w:tbl>
    <w:p>
      <w:pPr>
        <w:spacing w:line="340" w:lineRule="exac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tbl>
      <w:tblPr>
        <w:tblStyle w:val="4"/>
        <w:tblW w:w="8691" w:type="dxa"/>
        <w:tblInd w:w="93" w:type="dxa"/>
        <w:tblLayout w:type="fixed"/>
        <w:tblCellMar>
          <w:top w:w="0" w:type="dxa"/>
          <w:left w:w="108" w:type="dxa"/>
          <w:bottom w:w="0" w:type="dxa"/>
          <w:right w:w="108" w:type="dxa"/>
        </w:tblCellMar>
      </w:tblPr>
      <w:tblGrid>
        <w:gridCol w:w="666"/>
        <w:gridCol w:w="2926"/>
        <w:gridCol w:w="1830"/>
        <w:gridCol w:w="3269"/>
      </w:tblGrid>
      <w:tr>
        <w:tblPrEx>
          <w:tblCellMar>
            <w:top w:w="0" w:type="dxa"/>
            <w:left w:w="108" w:type="dxa"/>
            <w:bottom w:w="0" w:type="dxa"/>
            <w:right w:w="108" w:type="dxa"/>
          </w:tblCellMar>
        </w:tblPrEx>
        <w:trPr>
          <w:trHeight w:val="610"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肺移植术后抗排异治疗</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Z94.200</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肺移植状态</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Z94.300</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心和肺移植状态</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T86.800x011</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肺移植失败</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T86.803</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移植肺排斥反应</w:t>
            </w:r>
          </w:p>
        </w:tc>
      </w:tr>
      <w:tr>
        <w:tblPrEx>
          <w:tblCellMar>
            <w:top w:w="0" w:type="dxa"/>
            <w:left w:w="108" w:type="dxa"/>
            <w:bottom w:w="0" w:type="dxa"/>
            <w:right w:w="108" w:type="dxa"/>
          </w:tblCellMar>
        </w:tblPrEx>
        <w:trPr>
          <w:trHeight w:val="91"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8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完成肺移植术后且仍存留体内需要抗排异治疗，预防发生严重的排异反应。</w:t>
            </w:r>
          </w:p>
        </w:tc>
      </w:tr>
      <w:tr>
        <w:tblPrEx>
          <w:tblCellMar>
            <w:top w:w="0" w:type="dxa"/>
            <w:left w:w="108" w:type="dxa"/>
            <w:bottom w:w="0" w:type="dxa"/>
            <w:right w:w="108" w:type="dxa"/>
          </w:tblCellMar>
        </w:tblPrEx>
        <w:trPr>
          <w:trHeight w:val="91"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5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医保目录药品名称</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免疫抑制药物</w:t>
            </w:r>
          </w:p>
        </w:tc>
        <w:tc>
          <w:tcPr>
            <w:tcW w:w="5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环孢素、他克莫司、西罗莫司、吗替麦考酚酯、硫唑嘌呤、甲泼尼龙、环磷酰胺、利妥昔单抗等</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kern w:val="0"/>
                <w:szCs w:val="21"/>
                <w:lang w:bidi="ar"/>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w:t>
            </w:r>
          </w:p>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分类代码</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抗菌药物</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XJ01</w:t>
            </w:r>
          </w:p>
        </w:tc>
        <w:tc>
          <w:tcPr>
            <w:tcW w:w="3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全身用抗菌药</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抗真菌药物</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XJ02</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全身用抗真菌药</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抗病毒药物</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XJ05A</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直接作用的抗病毒药</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移植后降压、降脂</w:t>
            </w:r>
          </w:p>
        </w:tc>
        <w:tc>
          <w:tcPr>
            <w:tcW w:w="5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hint="eastAsia" w:ascii="Times New Roman" w:hAnsi="Times New Roman" w:eastAsia="方正仿宋_GBK" w:cs="方正仿宋_GBK"/>
                <w:color w:val="000000" w:themeColor="text1"/>
                <w:szCs w:val="21"/>
                <w:lang w:eastAsia="zh-CN"/>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参照高血压特病医疗保障指南</w:t>
            </w:r>
            <w:r>
              <w:rPr>
                <w:rFonts w:hint="eastAsia" w:ascii="Times New Roman" w:hAnsi="Times New Roman" w:eastAsia="方正仿宋_GBK" w:cs="方正仿宋_GBK"/>
                <w:color w:val="000000" w:themeColor="text1"/>
                <w:kern w:val="0"/>
                <w:szCs w:val="21"/>
                <w:lang w:eastAsia="zh-CN" w:bidi="ar"/>
                <w14:textFill>
                  <w14:solidFill>
                    <w14:schemeClr w14:val="tx1"/>
                  </w14:solidFill>
                </w14:textFill>
              </w:rPr>
              <w:t>药品类别</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移植后降糖</w:t>
            </w:r>
          </w:p>
        </w:tc>
        <w:tc>
          <w:tcPr>
            <w:tcW w:w="5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hint="eastAsia" w:ascii="Times New Roman" w:hAnsi="Times New Roman" w:eastAsia="方正仿宋_GBK" w:cs="方正仿宋_GBK"/>
                <w:color w:val="000000" w:themeColor="text1"/>
                <w:szCs w:val="21"/>
                <w:lang w:eastAsia="zh-CN"/>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参照糖尿病特病医疗保障指南</w:t>
            </w:r>
            <w:r>
              <w:rPr>
                <w:rFonts w:hint="eastAsia" w:ascii="Times New Roman" w:hAnsi="Times New Roman" w:eastAsia="方正仿宋_GBK" w:cs="方正仿宋_GBK"/>
                <w:color w:val="000000" w:themeColor="text1"/>
                <w:kern w:val="0"/>
                <w:szCs w:val="21"/>
                <w:lang w:eastAsia="zh-CN" w:bidi="ar"/>
                <w14:textFill>
                  <w14:solidFill>
                    <w14:schemeClr w14:val="tx1"/>
                  </w14:solidFill>
                </w14:textFill>
              </w:rPr>
              <w:t>药品类别</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移植后高尿酸血症</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XM04</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抗痛风药</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XA02A</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抗酸药</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移植后药物性肝损伤</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XA05</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胆和肝治疗药</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XA11</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维生素类</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移植后抗凝防栓</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XB01</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抗血栓形成药</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移植后红细胞增多症</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XR03DA</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黄嘌呤类</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移植后白细胞减少、血小板减少、肾性贫血</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XL03AA</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集落刺激因子</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XL03AX</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其他免疫增强剂</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XA11</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维生素类</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XB02B</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维生素K和其他止血药</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XB03B</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维生素B12和叶酸</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XB03X</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其他抗贫血制剂</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移植后骨质疏松</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XA11</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维生素类</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XH05</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钙稳态药</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利尿剂</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XC03</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利尿剂</w:t>
            </w:r>
          </w:p>
        </w:tc>
      </w:tr>
      <w:tr>
        <w:tblPrEx>
          <w:tblCellMar>
            <w:top w:w="0" w:type="dxa"/>
            <w:left w:w="108" w:type="dxa"/>
            <w:bottom w:w="0" w:type="dxa"/>
            <w:right w:w="108" w:type="dxa"/>
          </w:tblCellMar>
        </w:tblPrEx>
        <w:trPr>
          <w:trHeight w:val="91"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医保目录医疗服务项目编码</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血常规</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250101015</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血细胞分析</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尿常规</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250102035</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尿液分析</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250102</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尿液一般检查</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250102001</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尿常规检查</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肝功能</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250301015</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α1抗胰蛋白酶测定</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250404019</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酸性糖蛋白测定</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250305023</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腺苷脱氨酶测定</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250305016</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血清5′核苷酸酶测定</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250305017</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血清α-L-岩藻糖苷酶测定</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250305009</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血清γ-谷氨酰基转移酶测定</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250301002</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血清白蛋白测定</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250305007</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血清丙氨酸氨基转移酶测定</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250305008</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血清天门冬氨酸氨基转移酶测定</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250305011</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血清碱性磷酸酶测定</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250301006</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血清前白蛋白测定</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250305001</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血清总胆红素测定</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250305002</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血清直接胆红素测定</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250305005</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血清总胆汁酸测定</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250301001</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血清总蛋白测定</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肾功能</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250307001</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尿素测定</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250307002</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肌酐测定</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250307005</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血清尿酸测定</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C反应蛋白</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250401025</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C—反应蛋白测定(CRP)</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BK/JC/EB/CMV核酸检测</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250403065</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各类病原体DNA测定</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血药浓度测定</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250309005</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血清药物浓度测定</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电解质</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250304002</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钠测定</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250304004</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钙测定</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250304003</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氯测定</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250304010</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血清碳酸氢盐(HCO3)测定</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250304001</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钾测定</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T淋巴细胞亚群直接计数检测(CD3/CD4/CD8)</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A250401036</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淋巴细胞CD4/CD8绝对数检测</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250401031</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血细胞簇分化抗原(CD)系列检测</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降钙素原检测</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250310054</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降钙素原检测</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真菌G试验检测</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250501040</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真菌D-葡聚糖检测</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BNP、NT-pro BNP</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250306012</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B型钠尿肽(BNP)</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250306013</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B型钠尿肽前体(PRO-BNP)测定</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凝血功能</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250203025</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活化部分凝血活酶时间测定APTT</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250203020</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血浆凝血酶原时间测定(PT)</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250203030</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血浆纤维蛋白原测定</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250203035</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凝血酶时间测定(TT)</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大便常规</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250103001</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粪便常规</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胸片</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210102015</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数字化X线摄影(DR)</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210102016</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计算机X线摄影(CR)</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心脏、腹部超声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220201002.20</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仿宋" w:cs="仿宋"/>
                <w:color w:val="000000" w:themeColor="text1"/>
                <w:szCs w:val="21"/>
                <w14:textFill>
                  <w14:solidFill>
                    <w14:schemeClr w14:val="tx1"/>
                  </w14:solidFill>
                </w14:textFill>
              </w:rPr>
            </w:pPr>
            <w:r>
              <w:rPr>
                <w:rFonts w:hint="eastAsia" w:ascii="Times New Roman" w:hAnsi="Times New Roman" w:eastAsia="仿宋" w:cs="仿宋"/>
                <w:color w:val="000000" w:themeColor="text1"/>
                <w:kern w:val="0"/>
                <w:szCs w:val="21"/>
                <w:lang w:bidi="ar"/>
                <w14:textFill>
                  <w14:solidFill>
                    <w14:schemeClr w14:val="tx1"/>
                  </w14:solidFill>
                </w14:textFill>
              </w:rPr>
              <w:t>B超常规检查(腹部)</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220301001b</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彩色多普勒超声常规检查(腹部)</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220600004</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心脏彩色多普勒超声</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心电图（常规、动态）</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310701001</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常规心电图检查</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310701003</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动态心电图</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肺功能检测</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310601005</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残气容积测定</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310601002</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肺弥散功能检查</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310601001</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肺通气功能检查</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310601008</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流速容量曲线(V—V曲线)</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310601006</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强迫振荡肺功能检查</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310601010</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支气管激发试验</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310601012</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支气管舒张试验</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纤维支气管镜检查</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310605002</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纤维支气管镜检查</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270200004</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脱落细胞学检查与诊断</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270800006</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显微摄影术</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胸部CT、磁共振平扫或增强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210300001</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X线计算机体层(CT)平扫</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210300002</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X线计算机体层(CT)增强扫描</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EBAJT001</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胸部X线计算机体层(CT)平扫</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EBBJT001</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胸部X线计算机体层(CT)增强扫描</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210200001</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磁共振平扫</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210200002</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磁共振增强扫描</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ECAJT001</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胸部磁共振成像</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ECBJT001</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胸部磁共振增强成像</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冠状动脉CT血管造影</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EBCKU002</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冠状动脉CT三维成像</w:t>
            </w:r>
          </w:p>
        </w:tc>
      </w:tr>
      <w:tr>
        <w:tblPrEx>
          <w:tblCellMar>
            <w:top w:w="0" w:type="dxa"/>
            <w:left w:w="108" w:type="dxa"/>
            <w:bottom w:w="0" w:type="dxa"/>
            <w:right w:w="108" w:type="dxa"/>
          </w:tblCellMar>
        </w:tblPrEx>
        <w:trPr>
          <w:trHeight w:val="91"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EBCKU001</w:t>
            </w:r>
          </w:p>
        </w:tc>
        <w:tc>
          <w:tcPr>
            <w:tcW w:w="3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冠状动脉钙化积分</w:t>
            </w:r>
          </w:p>
        </w:tc>
      </w:tr>
    </w:tbl>
    <w:p>
      <w:pPr>
        <w:spacing w:line="340" w:lineRule="exac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tbl>
      <w:tblPr>
        <w:tblStyle w:val="4"/>
        <w:tblW w:w="8691" w:type="dxa"/>
        <w:tblInd w:w="93" w:type="dxa"/>
        <w:tblLayout w:type="autofit"/>
        <w:tblCellMar>
          <w:top w:w="0" w:type="dxa"/>
          <w:left w:w="108" w:type="dxa"/>
          <w:bottom w:w="0" w:type="dxa"/>
          <w:right w:w="108" w:type="dxa"/>
        </w:tblCellMar>
      </w:tblPr>
      <w:tblGrid>
        <w:gridCol w:w="787"/>
        <w:gridCol w:w="1936"/>
        <w:gridCol w:w="1979"/>
        <w:gridCol w:w="3989"/>
      </w:tblGrid>
      <w:tr>
        <w:tblPrEx>
          <w:tblCellMar>
            <w:top w:w="0" w:type="dxa"/>
            <w:left w:w="108" w:type="dxa"/>
            <w:bottom w:w="0" w:type="dxa"/>
            <w:right w:w="108" w:type="dxa"/>
          </w:tblCellMar>
        </w:tblPrEx>
        <w:trPr>
          <w:trHeight w:val="680" w:hRule="atLeast"/>
        </w:trPr>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肝移植术后抗排异治疗</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T86.400x014</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肝移植后下腔静脉血栓形成</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T86.400x015</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肝移植后下腔静脉狭窄</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T86.400x016</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肝移植后肝静脉回流障碍</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T86.400x017</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肝移植后肝功能不全</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T86.400x018</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肝移植后门静脉闭塞</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Z94.400</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肝移植状态</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T86.400x009</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肝移植后肝动脉血栓形成</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T86.400x010</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肝移植后肝动脉狭窄</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T86.400x011</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肝移植后肝动脉假性动脉瘤</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T86.400x012</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肝移植后门静脉血栓形成</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T86.400x013</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肝移植后门静脉狭窄</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T86.400x003</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肝移植排斥</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T86.400x004</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肝移植物急性抗宿主病</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T86.400x005</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肝移植物慢性抗宿主病</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T86.400x006</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肝移植急性排斥</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T86.400x007</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肝移植慢性排斥</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E89.800x002</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肝移植术后糖尿病</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E89.800x003</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肝移植术后高脂血症</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T82.813</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肝移植后肝动脉假性动脉瘤破裂</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T86.400x005</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肝移植物慢性抗宿主病</w:t>
            </w:r>
          </w:p>
        </w:tc>
      </w:tr>
      <w:tr>
        <w:tblPrEx>
          <w:tblCellMar>
            <w:top w:w="0" w:type="dxa"/>
            <w:left w:w="108" w:type="dxa"/>
            <w:bottom w:w="0" w:type="dxa"/>
            <w:right w:w="108" w:type="dxa"/>
          </w:tblCellMar>
        </w:tblPrEx>
        <w:trPr>
          <w:trHeight w:val="91"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79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完成肝移植术后且仍存留体内需要抗排异治疗，预防发生严重的排异反应。</w:t>
            </w:r>
          </w:p>
        </w:tc>
      </w:tr>
      <w:tr>
        <w:tblPrEx>
          <w:tblCellMar>
            <w:top w:w="0" w:type="dxa"/>
            <w:left w:w="108" w:type="dxa"/>
            <w:bottom w:w="0" w:type="dxa"/>
            <w:right w:w="108" w:type="dxa"/>
          </w:tblCellMar>
        </w:tblPrEx>
        <w:trPr>
          <w:trHeight w:val="91" w:hRule="atLeast"/>
        </w:trPr>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5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医保目录药品名称</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抗排异药物</w:t>
            </w:r>
          </w:p>
        </w:tc>
        <w:tc>
          <w:tcPr>
            <w:tcW w:w="5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环孢素、他克莫司、吗替麦考酚酯、泼尼松、甲泼尼龙等</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医保目录药品分类代码</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抗真菌药物</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XJ02</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全身用抗真菌药</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抗病毒药物</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XJ05A</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直接作用的抗病毒药</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其他辅助用药</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XB01</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抗血栓形成药</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XA05</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胆和肝治疗药</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XA07F</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止泻微生物</w:t>
            </w:r>
          </w:p>
        </w:tc>
      </w:tr>
      <w:tr>
        <w:tblPrEx>
          <w:tblCellMar>
            <w:top w:w="0" w:type="dxa"/>
            <w:left w:w="108" w:type="dxa"/>
            <w:bottom w:w="0" w:type="dxa"/>
            <w:right w:w="108" w:type="dxa"/>
          </w:tblCellMar>
        </w:tblPrEx>
        <w:trPr>
          <w:trHeight w:val="91" w:hRule="atLeast"/>
        </w:trPr>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医保目录医疗服务项目编码</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血常规</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250101015</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血细胞分析</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尿常规</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250102035</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尿液分析</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肝功能</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250305017</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血清α-L-岩藻糖苷酶测定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250305009</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血清γ-谷氨酰基转移酶测定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250301002</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血清白蛋白测定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250305007</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血清丙氨酸氨基转移酶测定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250305008</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血清天门冬氨酸氨基转移酶测定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250305011</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血清碱性磷酸酶测定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250301006</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血清前白蛋白测定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250305001</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血清总胆红素测定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250305002</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血清直接胆红素测定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250305005</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血清总胆汁酸测定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250301001</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血清总蛋白测定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肾功能</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250307001</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尿素测定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250307002</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肌酐测定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250307005</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血清尿酸测定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凝血功能</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250203025</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活化部分凝血活酶时间测定APTT</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250203020</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血浆凝血酶原时间测定(PT)</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250203030</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血浆纤维蛋白原测定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250203035</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凝血酶时间测定(TT)</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血脂</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250303004</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血清高密度脂蛋白胆固醇测定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250303002</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血清甘油三酯测定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250303001</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血清总胆固醇测定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250303005</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血清低密度脂蛋白胆固醇测定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血糖</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250302001</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葡萄糖测定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C反应蛋白</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250401025</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C—反应蛋白测定(CRP)</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D-二聚体测定+纤维蛋白(原)降解产物(FDP)</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250203066</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血浆D-二聚体测定(D-Dimer)</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250203065</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纤维蛋白(原)降解产物测定(FDP)</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BK/JC/EB/CMV核酸检测</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250403065</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各类病原体DNA测定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血药浓度测定</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250309005</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血清药物浓度测定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电解质</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250304002</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钠测定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250304004</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钙测定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250304003</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氯测定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250304010</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血清碳酸氢盐(HCO3)测定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250304001</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钾测定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EB病毒抗体测定</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250403025</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EB病毒抗体测定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250403025.10</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EB病毒抗体测定(IgG)</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250403025.20</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EB病毒抗体测定(IgM)</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250403025.30</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EB病毒抗体测定(IgA)</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250403025.40</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EB病毒抗体测定(EBV-CA)</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250403025.50</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EB病毒抗体测定(EBV-EA)</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250403025.60</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EB病毒抗体测定(EBVIgG)</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250403025.70</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EB病毒抗体测定(EBVIgM)</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250403025.80</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EB病毒抗体测定(EBV-EAIgG)</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250403025.90</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EB病毒抗体测定(EBNA-G)</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T淋巴细胞亚群相关检测</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A250401036</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淋巴细胞CD4/CD8绝对数检测</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250401031</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血细胞簇分化抗原(CD)系列检测</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乙肝DNA检测</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250403003</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乙型肝炎DNA测定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甲丙丁戊肝炎指标</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250403013</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丙型肝炎RNA测定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250403014</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丙型肝炎抗体测定(Anti-HCV)</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CGLY1000</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丙型肝炎核心抗原测定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250403015</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丁型肝炎抗体测定(Anti-HDV)</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250403016</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丁型肝炎抗原测定(HDVAg)</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250403017</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戊型肝炎抗体测定(Anti-HEV)</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250403018</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庚型肝炎IgG抗体测定(Anti-HGVIgG)</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250403001</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甲型肝炎抗体测定(Anti-HAV)</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250403002</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甲型肝炎抗原测定(HAVAg)</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乙肝指标（定量）</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250403004</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乙型肝炎表面抗原测定(HBsAg)</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250403005</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乙型肝炎表面抗体测定(AntiHBs)</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250403006</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乙型肝炎e抗原测定(HBeAg)</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250403007</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乙型肝炎e抗体测定(AntiHBe)</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250403008</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乙型肝炎核心抗原测定(HBcAg)</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250403009</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乙型肝炎核心抗体测定(AntiHBc)</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250403010</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乙型肝炎核心IgM抗体测定(Anti-HBcIgM)</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腹部、门静脉系超声</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220201002.20</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B超常规检查(腹部)</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220301001b</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彩色多普勒超声常规检查(腹部)</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220302005</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腹部大血管彩色多普勒超声</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220302004</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门静脉系彩色多普勒超声</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上腹部、胸部CT平扫或增强</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210300001</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X线计算机体层(CT)平扫</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210300002</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X线计算机体层(CT)增强扫描</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EBAQT001</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上腹部X线计算机体层(CT)平扫</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EBBQT001</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上腹部X线计算机体层(CT)增强扫描</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EBAJT001</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胸部X线计算机体层(CT)平扫</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EBBJT001</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胸部X线计算机体层(CT)增强扫描</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上腹部磁共振增强</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210200002</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磁共振增强扫描</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ECBQT001</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上腹部磁共振增强成像</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磁共振胰胆管成像(MRCP)</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210200006.10</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磁共振水成像(胰胆管成像)</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ECAQP001</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胰胆管系统磁共振水成像(MRCP)</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肝穿刺</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310905003</w:t>
            </w:r>
          </w:p>
        </w:tc>
        <w:tc>
          <w:tcPr>
            <w:tcW w:w="3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肝穿刺术</w:t>
            </w:r>
          </w:p>
        </w:tc>
      </w:tr>
    </w:tbl>
    <w:p>
      <w:pPr>
        <w:spacing w:line="340" w:lineRule="exac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tbl>
      <w:tblPr>
        <w:tblStyle w:val="4"/>
        <w:tblW w:w="8691" w:type="dxa"/>
        <w:tblInd w:w="93" w:type="dxa"/>
        <w:tblLayout w:type="fixed"/>
        <w:tblCellMar>
          <w:top w:w="0" w:type="dxa"/>
          <w:left w:w="108" w:type="dxa"/>
          <w:bottom w:w="0" w:type="dxa"/>
          <w:right w:w="108" w:type="dxa"/>
        </w:tblCellMar>
      </w:tblPr>
      <w:tblGrid>
        <w:gridCol w:w="696"/>
        <w:gridCol w:w="2312"/>
        <w:gridCol w:w="2054"/>
        <w:gridCol w:w="3629"/>
      </w:tblGrid>
      <w:tr>
        <w:tblPrEx>
          <w:tblCellMar>
            <w:top w:w="0" w:type="dxa"/>
            <w:left w:w="108" w:type="dxa"/>
            <w:bottom w:w="0" w:type="dxa"/>
            <w:right w:w="108" w:type="dxa"/>
          </w:tblCellMar>
        </w:tblPrEx>
        <w:trPr>
          <w:trHeight w:val="380"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胰腺、胰岛移植术后抗排异治疗</w:t>
            </w: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Z94.803</w:t>
            </w:r>
          </w:p>
        </w:tc>
        <w:tc>
          <w:tcPr>
            <w:tcW w:w="3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胰腺移植状态</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T86.800x021</w:t>
            </w:r>
          </w:p>
        </w:tc>
        <w:tc>
          <w:tcPr>
            <w:tcW w:w="3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胰移植失败</w:t>
            </w:r>
          </w:p>
        </w:tc>
      </w:tr>
      <w:tr>
        <w:tblPrEx>
          <w:tblCellMar>
            <w:top w:w="0" w:type="dxa"/>
            <w:left w:w="108" w:type="dxa"/>
            <w:bottom w:w="0" w:type="dxa"/>
            <w:right w:w="108" w:type="dxa"/>
          </w:tblCellMar>
        </w:tblPrEx>
        <w:trPr>
          <w:trHeight w:val="483"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79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完成胰腺或胰岛移植术后且仍存留体内需要抗排异治疗，预防发生严重的排异反应。</w:t>
            </w:r>
          </w:p>
        </w:tc>
      </w:tr>
      <w:tr>
        <w:tblPrEx>
          <w:tblCellMar>
            <w:top w:w="0" w:type="dxa"/>
            <w:left w:w="108" w:type="dxa"/>
            <w:bottom w:w="0" w:type="dxa"/>
            <w:right w:w="108" w:type="dxa"/>
          </w:tblCellMar>
        </w:tblPrEx>
        <w:trPr>
          <w:trHeight w:val="422"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5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医保目录药品名称</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免疫抑制药物</w:t>
            </w:r>
          </w:p>
        </w:tc>
        <w:tc>
          <w:tcPr>
            <w:tcW w:w="5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环孢素、他克莫司、吗替麦考酚酯、麦考酚钠、西罗莫司、来氟米特、咪唑立宾、硫唑嘌呤、硼替佐米、甲泼尼龙等</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医保目录药品分类代码</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细胞毒性药物</w:t>
            </w: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XL01AA</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氮芥类似物</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激素类药物</w:t>
            </w: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XH02</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全身用皮质激素类</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移植后降压、降脂</w:t>
            </w:r>
          </w:p>
        </w:tc>
        <w:tc>
          <w:tcPr>
            <w:tcW w:w="5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hint="eastAsia" w:ascii="Times New Roman" w:hAnsi="Times New Roman" w:eastAsia="方正仿宋_GBK" w:cs="方正仿宋_GBK"/>
                <w:color w:val="000000" w:themeColor="text1"/>
                <w:szCs w:val="21"/>
                <w:lang w:eastAsia="zh-CN"/>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参照高血压特病医疗保障指南</w:t>
            </w:r>
            <w:r>
              <w:rPr>
                <w:rFonts w:hint="eastAsia" w:ascii="Times New Roman" w:hAnsi="Times New Roman" w:eastAsia="方正仿宋_GBK" w:cs="方正仿宋_GBK"/>
                <w:color w:val="000000" w:themeColor="text1"/>
                <w:kern w:val="0"/>
                <w:szCs w:val="21"/>
                <w:lang w:eastAsia="zh-CN" w:bidi="ar"/>
                <w14:textFill>
                  <w14:solidFill>
                    <w14:schemeClr w14:val="tx1"/>
                  </w14:solidFill>
                </w14:textFill>
              </w:rPr>
              <w:t>药品类别</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移植后降糖</w:t>
            </w:r>
          </w:p>
        </w:tc>
        <w:tc>
          <w:tcPr>
            <w:tcW w:w="5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hint="eastAsia" w:ascii="Times New Roman" w:hAnsi="Times New Roman" w:eastAsia="方正仿宋_GBK" w:cs="方正仿宋_GBK"/>
                <w:color w:val="000000" w:themeColor="text1"/>
                <w:szCs w:val="21"/>
                <w:lang w:eastAsia="zh-CN"/>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参照糖尿病特病医疗保障指南</w:t>
            </w:r>
            <w:r>
              <w:rPr>
                <w:rFonts w:hint="eastAsia" w:ascii="Times New Roman" w:hAnsi="Times New Roman" w:eastAsia="方正仿宋_GBK" w:cs="方正仿宋_GBK"/>
                <w:color w:val="000000" w:themeColor="text1"/>
                <w:kern w:val="0"/>
                <w:szCs w:val="21"/>
                <w:lang w:eastAsia="zh-CN" w:bidi="ar"/>
                <w14:textFill>
                  <w14:solidFill>
                    <w14:schemeClr w14:val="tx1"/>
                  </w14:solidFill>
                </w14:textFill>
              </w:rPr>
              <w:t>药品类别</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移植后高尿酸血症</w:t>
            </w: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XM04</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抗痛风药</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XA02A</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抗酸药</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移植后白细胞减少、血小板减少、肾性贫血治疗</w:t>
            </w: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XL03AA</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集落刺激因子</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XB02B</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维生素K和其他止血药</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XB03B</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维生素B12和叶酸</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XB03X</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其他抗贫血制剂</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抗病毒药物</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XJ05A</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直接作用的抗病毒药</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胰岛移植后骨质疏松</w:t>
            </w: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XA11</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维生素类</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辅助治疗</w:t>
            </w: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XC03</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利尿剂</w:t>
            </w:r>
          </w:p>
        </w:tc>
      </w:tr>
      <w:tr>
        <w:tblPrEx>
          <w:tblCellMar>
            <w:top w:w="0" w:type="dxa"/>
            <w:left w:w="108" w:type="dxa"/>
            <w:bottom w:w="0" w:type="dxa"/>
            <w:right w:w="108" w:type="dxa"/>
          </w:tblCellMar>
        </w:tblPrEx>
        <w:trPr>
          <w:trHeight w:val="91"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 w:val="24"/>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医保目录医疗服务项目编码</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血常规</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250101015</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血细胞分析</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尿常规</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250102035</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尿液分析</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250102</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尿液一般检查</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250102001</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尿常规检查</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肝功能</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250301015</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α1抗胰蛋白酶测定</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250404019</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酸性糖蛋白测定</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250305023</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腺苷脱氨酶测定</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250305016</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血清5′核苷酸酶测定</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250305017</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血清α-L-岩藻糖苷酶测定</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250305009</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血清γ-谷氨酰基转移酶测定</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250301002</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血清白蛋白测定</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250305007</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血清丙氨酸氨基转移酶测定</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250305008</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血清天门冬氨酸氨基转移酶测定</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250305011</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血清碱性磷酸酶测定</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250301006</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血清前白蛋白测定</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250305001</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血清总胆红素测定</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250305002</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血清直接胆红素测定</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250305005</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血清总胆汁酸测定</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250301001</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血清总蛋白测定</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肾功能</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250307001</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尿素测定</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250307002</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肌酐测定</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250307005</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血清尿酸测定</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胰淀粉酶测定</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250308004</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淀粉酶测定</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250308006</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血清脂肪酶测定</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血药浓度测定</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250309005</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血清药物浓度测定</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电解质</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250304002</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钠测定</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250304004</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钙测定</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250304005</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无机磷测定</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250304003</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氯测定</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250304010</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血清碳酸氢盐(HCO3)测定</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250304001</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钾测定</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血脂</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250303004</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血清高密度脂蛋白胆固醇测定</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250303002</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血清甘油三酯测定</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250303001</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血清总胆固醇测定</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250303005</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血清低密度脂蛋白胆固醇测定</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血糖</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250302001</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葡萄糖测定</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常规心电图</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310701001</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常规心电图检查</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上腹部CT平扫或增强</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210300001</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X线计算机体层(CT)平扫</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210300002</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X线计算机体层(CT)增强扫描</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EBAQT001</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上腹部X线计算机体层(CT)平扫</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EBBQT001</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上腹部X线计算机体层(CT)增强扫描</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骨密度测定（限胰岛移植术后）</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230200055</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骨密度测定</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腹部、门静脉系超声</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220201002.20</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B超常规检查(腹部)</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220301001b</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彩色多普勒超声常规检查(腹部)</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220302005</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腹部大血管彩色多普勒超声</w:t>
            </w:r>
          </w:p>
        </w:tc>
      </w:tr>
      <w:tr>
        <w:tblPrEx>
          <w:tblCellMar>
            <w:top w:w="0" w:type="dxa"/>
            <w:left w:w="108" w:type="dxa"/>
            <w:bottom w:w="0" w:type="dxa"/>
            <w:right w:w="108" w:type="dxa"/>
          </w:tblCellMar>
        </w:tblPrEx>
        <w:trPr>
          <w:trHeight w:val="9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220302004</w:t>
            </w:r>
          </w:p>
        </w:tc>
        <w:tc>
          <w:tcPr>
            <w:tcW w:w="3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门静脉系彩色多普勒超声</w:t>
            </w:r>
          </w:p>
        </w:tc>
      </w:tr>
    </w:tbl>
    <w:p>
      <w:pPr>
        <w:spacing w:line="340" w:lineRule="exac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pPr>
        <w:tabs>
          <w:tab w:val="left" w:pos="596"/>
        </w:tabs>
        <w:spacing w:line="340" w:lineRule="exact"/>
        <w:rPr>
          <w:rFonts w:ascii="Times New Roman" w:hAnsi="Times New Roman" w:eastAsia="黑体"/>
          <w:color w:val="000000" w:themeColor="text1"/>
          <w:sz w:val="30"/>
          <w:szCs w:val="30"/>
          <w14:textFill>
            <w14:solidFill>
              <w14:schemeClr w14:val="tx1"/>
            </w14:solidFill>
          </w14:textFill>
        </w:rPr>
      </w:pPr>
      <w:r>
        <w:rPr>
          <w:rFonts w:hint="eastAsia" w:ascii="Times New Roman" w:hAnsi="Times New Roman" w:eastAsia="黑体"/>
          <w:color w:val="000000" w:themeColor="text1"/>
          <w:sz w:val="30"/>
          <w:szCs w:val="30"/>
          <w14:textFill>
            <w14:solidFill>
              <w14:schemeClr w14:val="tx1"/>
            </w14:solidFill>
          </w14:textFill>
        </w:rPr>
        <w:t>3</w:t>
      </w:r>
      <w:r>
        <w:rPr>
          <w:rFonts w:ascii="Times New Roman" w:hAnsi="Times New Roman" w:eastAsia="黑体"/>
          <w:color w:val="000000" w:themeColor="text1"/>
          <w:sz w:val="30"/>
          <w:szCs w:val="30"/>
          <w14:textFill>
            <w14:solidFill>
              <w14:schemeClr w14:val="tx1"/>
            </w14:solidFill>
          </w14:textFill>
        </w:rPr>
        <w:t>.恶性肿瘤</w:t>
      </w:r>
    </w:p>
    <w:tbl>
      <w:tblPr>
        <w:tblStyle w:val="4"/>
        <w:tblW w:w="8843" w:type="dxa"/>
        <w:tblInd w:w="93" w:type="dxa"/>
        <w:tblLayout w:type="fixed"/>
        <w:tblCellMar>
          <w:top w:w="0" w:type="dxa"/>
          <w:left w:w="108" w:type="dxa"/>
          <w:bottom w:w="0" w:type="dxa"/>
          <w:right w:w="108" w:type="dxa"/>
        </w:tblCellMar>
      </w:tblPr>
      <w:tblGrid>
        <w:gridCol w:w="681"/>
        <w:gridCol w:w="2573"/>
        <w:gridCol w:w="1928"/>
        <w:gridCol w:w="3661"/>
      </w:tblGrid>
      <w:tr>
        <w:tblPrEx>
          <w:tblCellMar>
            <w:top w:w="0" w:type="dxa"/>
            <w:left w:w="108" w:type="dxa"/>
            <w:bottom w:w="0" w:type="dxa"/>
            <w:right w:w="108" w:type="dxa"/>
          </w:tblCellMar>
        </w:tblPrEx>
        <w:trPr>
          <w:trHeight w:val="373"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2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 w:val="24"/>
                <w14:textFill>
                  <w14:solidFill>
                    <w14:schemeClr w14:val="tx1"/>
                  </w14:solidFill>
                </w14:textFill>
              </w:rPr>
            </w:pPr>
            <w:r>
              <w:rPr>
                <w:rFonts w:hint="eastAsia" w:ascii="Times New Roman" w:hAnsi="Times New Roman" w:eastAsia="方正黑体_GBK" w:cs="方正黑体_GBK"/>
                <w:color w:val="000000" w:themeColor="text1"/>
                <w:kern w:val="0"/>
                <w:sz w:val="24"/>
                <w:lang w:bidi="ar"/>
                <w14:textFill>
                  <w14:solidFill>
                    <w14:schemeClr w14:val="tx1"/>
                  </w14:solidFill>
                </w14:textFill>
              </w:rPr>
              <w:t>诊断名称</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恶性肿瘤</w:t>
            </w: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CXX.XXX</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恶性肿瘤</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D03</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黑色素瘤</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D46.900</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骨髓增生异常综合征</w:t>
            </w:r>
          </w:p>
        </w:tc>
      </w:tr>
      <w:tr>
        <w:tblPrEx>
          <w:tblCellMar>
            <w:top w:w="0" w:type="dxa"/>
            <w:left w:w="108" w:type="dxa"/>
            <w:bottom w:w="0" w:type="dxa"/>
            <w:right w:w="108" w:type="dxa"/>
          </w:tblCellMar>
        </w:tblPrEx>
        <w:trPr>
          <w:trHeight w:val="3643"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81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Style w:val="7"/>
                <w:rFonts w:ascii="Times New Roman" w:hAnsi="Times New Roman"/>
                <w:color w:val="000000" w:themeColor="text1"/>
                <w:sz w:val="21"/>
                <w:szCs w:val="21"/>
                <w:lang w:bidi="ar"/>
                <w14:textFill>
                  <w14:solidFill>
                    <w14:schemeClr w14:val="tx1"/>
                  </w14:solidFill>
                </w14:textFill>
              </w:rPr>
            </w:pPr>
            <w:r>
              <w:rPr>
                <w:rStyle w:val="7"/>
                <w:rFonts w:hint="eastAsia" w:ascii="Times New Roman" w:hAnsi="Times New Roman"/>
                <w:color w:val="000000" w:themeColor="text1"/>
                <w:sz w:val="21"/>
                <w:szCs w:val="21"/>
                <w:lang w:bidi="ar"/>
                <w14:textFill>
                  <w14:solidFill>
                    <w14:schemeClr w14:val="tx1"/>
                  </w14:solidFill>
                </w14:textFill>
              </w:rPr>
              <w:t>满足以下任意一条：</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Style w:val="7"/>
                <w:rFonts w:ascii="Times New Roman" w:hAnsi="Times New Roman"/>
                <w:color w:val="000000" w:themeColor="text1"/>
                <w:sz w:val="21"/>
                <w:szCs w:val="21"/>
                <w:lang w:bidi="ar"/>
                <w14:textFill>
                  <w14:solidFill>
                    <w14:schemeClr w14:val="tx1"/>
                  </w14:solidFill>
                </w14:textFill>
              </w:rPr>
              <w:t>一、病理学诊断：穿刺、钳取、切取或切除后的组织病理学诊断，包括血液病的骨髓穿刺病检等。</w:t>
            </w:r>
            <w:r>
              <w:rPr>
                <w:rStyle w:val="7"/>
                <w:rFonts w:ascii="Times New Roman" w:hAnsi="Times New Roman"/>
                <w:color w:val="000000" w:themeColor="text1"/>
                <w:sz w:val="21"/>
                <w:szCs w:val="21"/>
                <w:lang w:bidi="ar"/>
                <w14:textFill>
                  <w14:solidFill>
                    <w14:schemeClr w14:val="tx1"/>
                  </w14:solidFill>
                </w14:textFill>
              </w:rPr>
              <w:br w:type="textWrapping"/>
            </w:r>
            <w:r>
              <w:rPr>
                <w:rStyle w:val="7"/>
                <w:rFonts w:ascii="Times New Roman" w:hAnsi="Times New Roman"/>
                <w:color w:val="000000" w:themeColor="text1"/>
                <w:sz w:val="21"/>
                <w:szCs w:val="21"/>
                <w:lang w:bidi="ar"/>
                <w14:textFill>
                  <w14:solidFill>
                    <w14:schemeClr w14:val="tx1"/>
                  </w14:solidFill>
                </w14:textFill>
              </w:rPr>
              <w:t>二、细胞学诊断：脱落细胞学和（或）穿刺细胞学而作出的细胞病理学诊断，包括血液病的外周血及骨髓涂片、流式细胞学检查。</w:t>
            </w:r>
            <w:r>
              <w:rPr>
                <w:rStyle w:val="7"/>
                <w:rFonts w:ascii="Times New Roman" w:hAnsi="Times New Roman"/>
                <w:color w:val="000000" w:themeColor="text1"/>
                <w:sz w:val="21"/>
                <w:szCs w:val="21"/>
                <w:lang w:bidi="ar"/>
                <w14:textFill>
                  <w14:solidFill>
                    <w14:schemeClr w14:val="tx1"/>
                  </w14:solidFill>
                </w14:textFill>
              </w:rPr>
              <w:br w:type="textWrapping"/>
            </w:r>
            <w:r>
              <w:rPr>
                <w:rStyle w:val="7"/>
                <w:rFonts w:ascii="Times New Roman" w:hAnsi="Times New Roman"/>
                <w:color w:val="000000" w:themeColor="text1"/>
                <w:sz w:val="21"/>
                <w:szCs w:val="21"/>
                <w:lang w:bidi="ar"/>
                <w14:textFill>
                  <w14:solidFill>
                    <w14:schemeClr w14:val="tx1"/>
                  </w14:solidFill>
                </w14:textFill>
              </w:rPr>
              <w:t>三、临床诊断：在因医学原因无法取得病理学或细胞学诊断结果情况下，按照相关临床诊疗指南，结合病史、物理检查、辅助检查且必须具备影像学检查</w:t>
            </w:r>
            <w:r>
              <w:rPr>
                <w:rStyle w:val="8"/>
                <w:rFonts w:ascii="Times New Roman" w:hAnsi="Times New Roman"/>
                <w:color w:val="000000" w:themeColor="text1"/>
                <w:sz w:val="21"/>
                <w:szCs w:val="21"/>
                <w:lang w:bidi="ar"/>
                <w14:textFill>
                  <w14:solidFill>
                    <w14:schemeClr w14:val="tx1"/>
                  </w14:solidFill>
                </w14:textFill>
              </w:rPr>
              <w:t>，经三级医院多学科联合诊疗达成共识意见，并在诊断证明书注明“临床诊断”。</w:t>
            </w:r>
            <w:r>
              <w:rPr>
                <w:rStyle w:val="8"/>
                <w:rFonts w:ascii="Times New Roman" w:hAnsi="Times New Roman"/>
                <w:color w:val="000000" w:themeColor="text1"/>
                <w:sz w:val="21"/>
                <w:szCs w:val="21"/>
                <w:lang w:bidi="ar"/>
                <w14:textFill>
                  <w14:solidFill>
                    <w14:schemeClr w14:val="tx1"/>
                  </w14:solidFill>
                </w14:textFill>
              </w:rPr>
              <w:br w:type="textWrapping"/>
            </w:r>
            <w:r>
              <w:rPr>
                <w:rStyle w:val="8"/>
                <w:rFonts w:ascii="Times New Roman" w:hAnsi="Times New Roman"/>
                <w:color w:val="000000" w:themeColor="text1"/>
                <w:sz w:val="21"/>
                <w:szCs w:val="21"/>
                <w:lang w:bidi="ar"/>
                <w14:textFill>
                  <w14:solidFill>
                    <w14:schemeClr w14:val="tx1"/>
                  </w14:solidFill>
                </w14:textFill>
              </w:rPr>
              <w:br w:type="textWrapping"/>
            </w:r>
            <w:r>
              <w:rPr>
                <w:rStyle w:val="8"/>
                <w:rFonts w:ascii="Times New Roman" w:hAnsi="Times New Roman"/>
                <w:color w:val="000000" w:themeColor="text1"/>
                <w:sz w:val="21"/>
                <w:szCs w:val="21"/>
                <w:lang w:bidi="ar"/>
                <w14:textFill>
                  <w14:solidFill>
                    <w14:schemeClr w14:val="tx1"/>
                  </w14:solidFill>
                </w14:textFill>
              </w:rPr>
              <w:t>注：1.纳入我国儿童恶性肿瘤救治管理病种范围的同步纳入恶性肿瘤特病保障范围；</w:t>
            </w:r>
            <w:r>
              <w:rPr>
                <w:rStyle w:val="8"/>
                <w:rFonts w:ascii="Times New Roman" w:hAnsi="Times New Roman"/>
                <w:color w:val="000000" w:themeColor="text1"/>
                <w:sz w:val="21"/>
                <w:szCs w:val="21"/>
                <w:lang w:bidi="ar"/>
                <w14:textFill>
                  <w14:solidFill>
                    <w14:schemeClr w14:val="tx1"/>
                  </w14:solidFill>
                </w14:textFill>
              </w:rPr>
              <w:br w:type="textWrapping"/>
            </w:r>
            <w:r>
              <w:rPr>
                <w:rStyle w:val="8"/>
                <w:rFonts w:ascii="Times New Roman" w:hAnsi="Times New Roman"/>
                <w:color w:val="000000" w:themeColor="text1"/>
                <w:sz w:val="21"/>
                <w:szCs w:val="21"/>
                <w:lang w:bidi="ar"/>
                <w14:textFill>
                  <w14:solidFill>
                    <w14:schemeClr w14:val="tx1"/>
                  </w14:solidFill>
                </w14:textFill>
              </w:rPr>
              <w:t xml:space="preserve">     2.按照临床诊疗指南无需门诊长期治疗的原位癌不纳入恶性肿瘤特病保障范围。</w:t>
            </w:r>
          </w:p>
        </w:tc>
      </w:tr>
      <w:tr>
        <w:tblPrEx>
          <w:tblCellMar>
            <w:top w:w="0" w:type="dxa"/>
            <w:left w:w="108" w:type="dxa"/>
            <w:bottom w:w="0" w:type="dxa"/>
            <w:right w:w="108" w:type="dxa"/>
          </w:tblCellMar>
        </w:tblPrEx>
        <w:trPr>
          <w:trHeight w:val="91"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医保目录药品分类代码</w:t>
            </w:r>
          </w:p>
        </w:tc>
        <w:tc>
          <w:tcPr>
            <w:tcW w:w="36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抗肿瘤化学、靶向、免疫、内分泌治疗药物</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XL</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抗肿瘤药及免疫调节剂</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恶性肿瘤骨转移治疗药物</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XM05</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治疗骨病的药物</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恶性肿瘤镇痛药物</w:t>
            </w: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XN02</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镇痛药</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恶性肿瘤对症支持治疗药物</w:t>
            </w:r>
          </w:p>
        </w:tc>
        <w:tc>
          <w:tcPr>
            <w:tcW w:w="55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必须的支持治疗和全身或局部反应的对症治疗</w:t>
            </w:r>
          </w:p>
        </w:tc>
      </w:tr>
      <w:tr>
        <w:tblPrEx>
          <w:tblCellMar>
            <w:top w:w="0" w:type="dxa"/>
            <w:left w:w="108" w:type="dxa"/>
            <w:bottom w:w="0" w:type="dxa"/>
            <w:right w:w="108" w:type="dxa"/>
          </w:tblCellMar>
        </w:tblPrEx>
        <w:trPr>
          <w:trHeight w:val="91"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25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9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医保目录医疗服务项目编码</w:t>
            </w:r>
          </w:p>
        </w:tc>
        <w:tc>
          <w:tcPr>
            <w:tcW w:w="3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血常规</w:t>
            </w: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250101015</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血细胞分析</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尿液检查</w:t>
            </w: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250102035</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尿液分析</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肝功能</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250305001</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血清总胆红素测定</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250305002</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血清直接胆红素测定</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250305003</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血清间接胆红素测定</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250305007</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血清丙氨酸氨基转移酶测定</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250305008</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血清天门冬氨酸氨基转移酶测定</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250305009</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血清γ-谷氨酰基转移酶测定</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250305011</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血清碱性磷酸酶测定</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250301001</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血清总蛋白测定</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250301002</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血清白蛋白测定</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肾功能</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 xml:space="preserve">250307001.00 </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尿素测定</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250307002</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肌酐测定</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250307005</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血清尿酸测定</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β2微球蛋白</w:t>
            </w: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250307009</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β2微球蛋白测定</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电解质</w:t>
            </w: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250304001</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钾测定</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250304002</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钠测定</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250304003</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氯测定</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250304004</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钙测定</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乳酸脱氢酶</w:t>
            </w: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250306005</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乳酸脱氢酶测定</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肿瘤标志物（与病变肿瘤相关的标志物，医保基金支付不超过2次/年）</w:t>
            </w: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250404001</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癌胚抗原测定(CEA)</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250404002</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甲胎蛋白测定(AFP)</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250404026</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甲胎蛋白异质体测定</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250310038</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血清人绒毛膜促性腺激素测定(HCG)</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250404005</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总前列腺特异性抗原测定(TPSA)</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250404007</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复合前列腺特异性抗原(CPSA)测定</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both"/>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250404033</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前列腺特异性抗原同源异构体（P2PSA）检测</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250404006</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游离前列腺特异性抗原测定(FPSA)</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250404009</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神经元特异性烯醇化酶测定(NSE)</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250404010</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细胞角蛋白19片段测定(CYFRA21-1)</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250310057</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血清胃泌素释放肽前体(ProGRP)测定</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250404011.30</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糖类抗原测定(CA-50)</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250404011.40</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糖类抗原测定(CA-125)</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250404011.50</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糖类抗原测定(CA15－3)</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250404011.70</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糖类抗原测定(CA19－9)</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250404011.80</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糖类抗原测定(CA24－2)</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250404011.90</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糖类抗原测定(CA72－4)</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250404012</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鳞状细胞癌相关抗原测定(SCC)</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250310025</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尿香草苦杏仁酸(VMA)测定</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骨髓瘤相关检验</w:t>
            </w: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250301005</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免疫固定电泳</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250401023</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免疫球蛋白定量测定</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both"/>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250401027</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轻链KAPPA、LAMBDA定量(K-LC，λ-LC)</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250301004</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血清蛋白电泳</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白血病相关检验</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250201006</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白血病免疫分型</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250401031</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血细胞簇分化抗原(CD)系列检测</w:t>
            </w:r>
          </w:p>
        </w:tc>
      </w:tr>
      <w:tr>
        <w:tblPrEx>
          <w:tblCellMar>
            <w:top w:w="0" w:type="dxa"/>
            <w:left w:w="108" w:type="dxa"/>
            <w:bottom w:w="0" w:type="dxa"/>
            <w:right w:w="108" w:type="dxa"/>
          </w:tblCellMar>
        </w:tblPrEx>
        <w:trPr>
          <w:trHeight w:val="40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 w:val="24"/>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 w:val="24"/>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250700017</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 w:val="24"/>
                <w14:textFill>
                  <w14:solidFill>
                    <w14:schemeClr w14:val="tx1"/>
                  </w14:solidFill>
                </w14:textFill>
              </w:rPr>
            </w:pPr>
            <w:r>
              <w:rPr>
                <w:rFonts w:ascii="Times New Roman" w:hAnsi="Times New Roman" w:eastAsia="方正仿宋_GBK" w:cs="方正仿宋_GBK"/>
                <w:color w:val="000000" w:themeColor="text1"/>
                <w:kern w:val="0"/>
                <w:sz w:val="24"/>
                <w:lang w:bidi="ar"/>
                <w14:textFill>
                  <w14:solidFill>
                    <w14:schemeClr w14:val="tx1"/>
                  </w14:solidFill>
                </w14:textFill>
              </w:rPr>
              <w:t>白血病融合基因分型</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EB病毒（限鼻咽癌、淋巴瘤）</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250403065</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各类病原体DNA测定</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超声检查（限肿瘤部位、肝胆胰脾肾及淋巴结）</w:t>
            </w: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2202</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B超</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2203</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彩色多普勒超声检查</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常规心电图</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310701001</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常规心电图检查</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X线检查（限肿瘤部位）</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210102015</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数字化X线摄影(DR)</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210102016</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计算机X线摄影(CR)</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Style w:val="7"/>
                <w:rFonts w:ascii="Times New Roman" w:hAnsi="Times New Roman"/>
                <w:color w:val="000000" w:themeColor="text1"/>
                <w:sz w:val="21"/>
                <w:szCs w:val="21"/>
                <w:lang w:bidi="ar"/>
                <w14:textFill>
                  <w14:solidFill>
                    <w14:schemeClr w14:val="tx1"/>
                  </w14:solidFill>
                </w14:textFill>
              </w:rPr>
              <w:t>CT</w:t>
            </w:r>
            <w:r>
              <w:rPr>
                <w:rStyle w:val="8"/>
                <w:rFonts w:ascii="Times New Roman" w:hAnsi="Times New Roman"/>
                <w:color w:val="000000" w:themeColor="text1"/>
                <w:sz w:val="21"/>
                <w:szCs w:val="21"/>
                <w:lang w:bidi="ar"/>
                <w14:textFill>
                  <w14:solidFill>
                    <w14:schemeClr w14:val="tx1"/>
                  </w14:solidFill>
                </w14:textFill>
              </w:rPr>
              <w:t>平扫或增强（限肿瘤部位）</w:t>
            </w: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EBA</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平扫</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EBB</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增强扫描</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210300001</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X线计算机体层(CT)平扫</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210300002</w:t>
            </w:r>
          </w:p>
        </w:tc>
        <w:tc>
          <w:tcPr>
            <w:tcW w:w="3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X线计算机体层(CT)增强扫描</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磁共振平扫或增强（限肿瘤部位）</w:t>
            </w: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ECA</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磁共振成像</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ECB</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磁共振增强成像</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210200001</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磁共振平扫</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210200002</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磁共振增强扫描</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ECT检查（限转移性骨肿瘤和骨恶性肿瘤）</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2303</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单光子发射计算机断层显象(SPECT)</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听力检查（限儿童化疗后听力损伤）</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310401002</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纯音听阈测定</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310401015</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耳声发射检查</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内镜检查（普通或无痛，限肿瘤部位）</w:t>
            </w: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310605002</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纤维支气管镜检查</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310403006</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纤维鼻咽镜检查</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310403009</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纤维喉镜检查</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310902005</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纤维胃十二指肠镜检查</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310903005</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纤维结肠镜检查</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310904001</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直肠镜检查</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311201004</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阴道镜检查</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311000034</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膀胱镜尿道镜检查</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310901003</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硬性食管镜检查</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310901004</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纤维食管镜检查</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骨髓穿刺及细胞形态检查</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250201001</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骨髓涂片细胞学检验</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250201001.10</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骨髓涂片细胞学检验(外周血涂片疑难细胞学检验)</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270800006</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显微摄影术</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250101007</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异常红细胞形态检查</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250201002</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骨髓有核细胞计数</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250201003</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骨髓巨核细胞计数</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310800001</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骨髓穿刺术</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250201007</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骨髓特殊染色及酶组织化学染色检查</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250101012</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异常白细胞形态检查</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骨髓活检病理检查</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270300004</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骨髓组织活检检查与诊断</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270800006</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显微摄影术</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310800002</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骨髓活检术</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270800001</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病理体视学检查与图象分析</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270500001</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特殊染色及酶组织化学染色诊断</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胸、腹腔穿刺</w:t>
            </w: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330703017.40</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胸腔闭式引流术(胸腔穿刺置管术)</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330703017.50</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胸腔闭式引流术(腹腔穿刺置管术)</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310604005</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胸腔穿刺术</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310905001</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腹腔穿刺术</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化疗：鞘内注射给药</w:t>
            </w: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311300010</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鞘内注射</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311300010.10</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鞘内注射(鞘内封闭)</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化疗</w:t>
            </w: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ABCJ0001</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抗肿瘤化疗药物/肠外营养液集中配置</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120400013</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抗肿瘤化学药物配置</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化疗：深静脉置管、PICC、静脉输液港的置管与维护</w:t>
            </w: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ABDA0001</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经外周静脉置入中心静脉导管术</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120400011</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中心静脉穿刺置管术</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120400011.10</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深静脉穿刺置管术</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ABDA0001.10</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深静脉穿刺置管术</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highlight w:val="none"/>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highlight w:val="none"/>
                <w14:textFill>
                  <w14:solidFill>
                    <w14:schemeClr w14:val="tx1"/>
                  </w14:solidFill>
                </w14:textFill>
              </w:rPr>
            </w:pPr>
            <w:r>
              <w:rPr>
                <w:rFonts w:ascii="Times New Roman" w:hAnsi="Times New Roman" w:eastAsia="方正仿宋_GBK" w:cs="方正仿宋_GBK"/>
                <w:color w:val="000000" w:themeColor="text1"/>
                <w:kern w:val="0"/>
                <w:szCs w:val="21"/>
                <w:highlight w:val="none"/>
                <w:lang w:bidi="ar"/>
                <w14:textFill>
                  <w14:solidFill>
                    <w14:schemeClr w14:val="tx1"/>
                  </w14:solidFill>
                </w14:textFill>
              </w:rPr>
              <w:t>120100013</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highlight w:val="none"/>
                <w14:textFill>
                  <w14:solidFill>
                    <w14:schemeClr w14:val="tx1"/>
                  </w14:solidFill>
                </w14:textFill>
              </w:rPr>
            </w:pPr>
            <w:r>
              <w:rPr>
                <w:rFonts w:ascii="Times New Roman" w:hAnsi="Times New Roman" w:eastAsia="方正仿宋_GBK" w:cs="方正仿宋_GBK"/>
                <w:color w:val="000000" w:themeColor="text1"/>
                <w:kern w:val="0"/>
                <w:szCs w:val="21"/>
                <w:highlight w:val="none"/>
                <w:lang w:bidi="ar"/>
                <w14:textFill>
                  <w14:solidFill>
                    <w14:schemeClr w14:val="tx1"/>
                  </w14:solidFill>
                </w14:textFill>
              </w:rPr>
              <w:t>动静脉置管护理</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highlight w:val="none"/>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highlight w:val="none"/>
                <w14:textFill>
                  <w14:solidFill>
                    <w14:schemeClr w14:val="tx1"/>
                  </w14:solidFill>
                </w14:textFill>
              </w:rPr>
            </w:pPr>
            <w:r>
              <w:rPr>
                <w:rFonts w:ascii="Times New Roman" w:hAnsi="Times New Roman" w:eastAsia="方正仿宋_GBK" w:cs="方正仿宋_GBK"/>
                <w:color w:val="000000" w:themeColor="text1"/>
                <w:kern w:val="0"/>
                <w:szCs w:val="21"/>
                <w:highlight w:val="none"/>
                <w:lang w:bidi="ar"/>
                <w14:textFill>
                  <w14:solidFill>
                    <w14:schemeClr w14:val="tx1"/>
                  </w14:solidFill>
                </w14:textFill>
              </w:rPr>
              <w:t>ACBG0002</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highlight w:val="none"/>
                <w14:textFill>
                  <w14:solidFill>
                    <w14:schemeClr w14:val="tx1"/>
                  </w14:solidFill>
                </w14:textFill>
              </w:rPr>
            </w:pPr>
            <w:r>
              <w:rPr>
                <w:rFonts w:ascii="Times New Roman" w:hAnsi="Times New Roman" w:eastAsia="方正仿宋_GBK" w:cs="方正仿宋_GBK"/>
                <w:color w:val="000000" w:themeColor="text1"/>
                <w:kern w:val="0"/>
                <w:szCs w:val="21"/>
                <w:highlight w:val="none"/>
                <w:lang w:bidi="ar"/>
                <w14:textFill>
                  <w14:solidFill>
                    <w14:schemeClr w14:val="tx1"/>
                  </w14:solidFill>
                </w14:textFill>
              </w:rPr>
              <w:t>静脉置管护理</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1206</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换药</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ABF</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换药</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放射治疗</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24</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放射治疗</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放射治疗：核素治疗</w:t>
            </w: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2306</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核素内照射治疗</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LBZZX004</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核素组织间粒子置入治疗</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镇痛治疗：止痛泵(PCA)</w:t>
            </w: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330100018</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镇痛泵体内置入术</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330100018.10</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镇痛泵体内置入术(化疗泵体内置入术)</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镇痛治疗：神经阻滞术</w:t>
            </w: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310100027</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神经阻滞治疗</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镇痛治疗：硬膜外麻醉</w:t>
            </w: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330100010</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硬膜外连续镇痛</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肿瘤部位或手术局部治疗</w:t>
            </w: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1206</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换药</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ABF</w:t>
            </w:r>
          </w:p>
        </w:tc>
        <w:tc>
          <w:tcPr>
            <w:tcW w:w="366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换药</w:t>
            </w:r>
          </w:p>
        </w:tc>
      </w:tr>
      <w:tr>
        <w:tblPrEx>
          <w:tblCellMar>
            <w:top w:w="0" w:type="dxa"/>
            <w:left w:w="108" w:type="dxa"/>
            <w:bottom w:w="0" w:type="dxa"/>
            <w:right w:w="108" w:type="dxa"/>
          </w:tblCellMar>
        </w:tblPrEx>
        <w:trPr>
          <w:trHeight w:val="91"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55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造口袋、造口底盘，年度累计基金支付限额为3600元</w:t>
            </w:r>
          </w:p>
        </w:tc>
      </w:tr>
    </w:tbl>
    <w:p>
      <w:pPr>
        <w:spacing w:line="340" w:lineRule="exac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pPr>
        <w:tabs>
          <w:tab w:val="left" w:pos="596"/>
        </w:tabs>
        <w:spacing w:line="340" w:lineRule="exact"/>
        <w:rPr>
          <w:rFonts w:ascii="Times New Roman" w:hAnsi="Times New Roman" w:eastAsia="黑体"/>
          <w:color w:val="000000" w:themeColor="text1"/>
          <w:sz w:val="30"/>
          <w:szCs w:val="30"/>
          <w14:textFill>
            <w14:solidFill>
              <w14:schemeClr w14:val="tx1"/>
            </w14:solidFill>
          </w14:textFill>
        </w:rPr>
      </w:pPr>
      <w:r>
        <w:rPr>
          <w:rFonts w:hint="eastAsia" w:ascii="Times New Roman" w:hAnsi="Times New Roman" w:eastAsia="黑体"/>
          <w:color w:val="000000" w:themeColor="text1"/>
          <w:sz w:val="30"/>
          <w:szCs w:val="30"/>
          <w14:textFill>
            <w14:solidFill>
              <w14:schemeClr w14:val="tx1"/>
            </w14:solidFill>
          </w14:textFill>
        </w:rPr>
        <w:t>4</w:t>
      </w:r>
      <w:r>
        <w:rPr>
          <w:rFonts w:ascii="Times New Roman" w:hAnsi="Times New Roman" w:eastAsia="黑体"/>
          <w:color w:val="000000" w:themeColor="text1"/>
          <w:sz w:val="30"/>
          <w:szCs w:val="30"/>
          <w14:textFill>
            <w14:solidFill>
              <w14:schemeClr w14:val="tx1"/>
            </w14:solidFill>
          </w14:textFill>
        </w:rPr>
        <w:t>.血友病</w:t>
      </w:r>
    </w:p>
    <w:tbl>
      <w:tblPr>
        <w:tblStyle w:val="4"/>
        <w:tblW w:w="8858" w:type="dxa"/>
        <w:tblInd w:w="93" w:type="dxa"/>
        <w:tblLayout w:type="fixed"/>
        <w:tblCellMar>
          <w:top w:w="0" w:type="dxa"/>
          <w:left w:w="108" w:type="dxa"/>
          <w:bottom w:w="0" w:type="dxa"/>
          <w:right w:w="108" w:type="dxa"/>
        </w:tblCellMar>
      </w:tblPr>
      <w:tblGrid>
        <w:gridCol w:w="801"/>
        <w:gridCol w:w="1097"/>
        <w:gridCol w:w="2145"/>
        <w:gridCol w:w="2066"/>
        <w:gridCol w:w="2749"/>
      </w:tblGrid>
      <w:tr>
        <w:tblPrEx>
          <w:tblCellMar>
            <w:top w:w="0" w:type="dxa"/>
            <w:left w:w="108" w:type="dxa"/>
            <w:bottom w:w="0" w:type="dxa"/>
            <w:right w:w="108" w:type="dxa"/>
          </w:tblCellMar>
        </w:tblPrEx>
        <w:trPr>
          <w:trHeight w:val="569" w:hRule="atLeast"/>
        </w:trPr>
        <w:tc>
          <w:tcPr>
            <w:tcW w:w="8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32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血友病</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D66.x01</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血友病A型</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D66.x02</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血友病</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D66.x03+M36.2*</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血友病性关节炎</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D67.x01</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血友病B型</w:t>
            </w:r>
          </w:p>
        </w:tc>
      </w:tr>
      <w:tr>
        <w:tblPrEx>
          <w:tblCellMar>
            <w:top w:w="0" w:type="dxa"/>
            <w:left w:w="108" w:type="dxa"/>
            <w:bottom w:w="0" w:type="dxa"/>
            <w:right w:w="108" w:type="dxa"/>
          </w:tblCellMar>
        </w:tblPrEx>
        <w:trPr>
          <w:trHeight w:val="91"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80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根据病史和确诊试验</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确诊试验：确诊血友病有赖于FVIII活性(FVIII:C)、FIX活性(FIX:C)以及血管性血友病因子抗原(VWF:Ag)的测定。血友病A患者FVIII:C减低或缺乏，VWF:Ag正常，FVIII:C／VWF:Ag明显降低。血友病B患者FIX：C减低或缺乏。</w:t>
            </w:r>
          </w:p>
        </w:tc>
      </w:tr>
      <w:tr>
        <w:tblPrEx>
          <w:tblCellMar>
            <w:top w:w="0" w:type="dxa"/>
            <w:left w:w="108" w:type="dxa"/>
            <w:bottom w:w="0" w:type="dxa"/>
            <w:right w:w="108" w:type="dxa"/>
          </w:tblCellMar>
        </w:tblPrEx>
        <w:trPr>
          <w:trHeight w:val="91" w:hRule="atLeast"/>
        </w:trPr>
        <w:tc>
          <w:tcPr>
            <w:tcW w:w="8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3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2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医保目录药品分类代码</w:t>
            </w:r>
          </w:p>
        </w:tc>
        <w:tc>
          <w:tcPr>
            <w:tcW w:w="27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病因治疗</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血源性或/和基因重组凝血因子Ⅷ或凝血因子Ⅸ</w:t>
            </w:r>
          </w:p>
        </w:tc>
        <w:tc>
          <w:tcPr>
            <w:tcW w:w="2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XB02B</w:t>
            </w:r>
          </w:p>
        </w:tc>
        <w:tc>
          <w:tcPr>
            <w:tcW w:w="2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维生素K和其他止血药</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凝血酶原复合物</w:t>
            </w:r>
          </w:p>
        </w:tc>
        <w:tc>
          <w:tcPr>
            <w:tcW w:w="2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艾美赛珠单抗等非因子制剂</w:t>
            </w:r>
          </w:p>
        </w:tc>
        <w:tc>
          <w:tcPr>
            <w:tcW w:w="2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冷沉淀</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kern w:val="0"/>
                <w:szCs w:val="21"/>
                <w:lang w:bidi="ar"/>
                <w14:textFill>
                  <w14:solidFill>
                    <w14:schemeClr w14:val="tx1"/>
                  </w14:solidFill>
                </w14:textFill>
              </w:rPr>
              <w:t>005101050010000</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冷沉淀凝血因子</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血浆</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kern w:val="0"/>
                <w:szCs w:val="21"/>
                <w:lang w:bidi="ar"/>
                <w14:textFill>
                  <w14:solidFill>
                    <w14:schemeClr w14:val="tx1"/>
                  </w14:solidFill>
                </w14:textFill>
              </w:rPr>
              <w:t>005101040020000</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机采新鲜冰冻血浆</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kern w:val="0"/>
                <w:szCs w:val="21"/>
                <w:lang w:bidi="ar"/>
                <w14:textFill>
                  <w14:solidFill>
                    <w14:schemeClr w14:val="tx1"/>
                  </w14:solidFill>
                </w14:textFill>
              </w:rPr>
              <w:t>005101040030000</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手工分冰冻血浆</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合并抑制物时的治疗药物</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重组人凝血因子VIIa</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XB02B</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维生素K和其他止血药</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糖皮质激素</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XH02</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全身用皮质激素类</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环磷酰胺等免疫抑制剂</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XL01AA</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氮芥类似物</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XL04</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免疫抑制剂</w:t>
            </w:r>
          </w:p>
        </w:tc>
      </w:tr>
      <w:tr>
        <w:tblPrEx>
          <w:tblCellMar>
            <w:top w:w="0" w:type="dxa"/>
            <w:left w:w="108" w:type="dxa"/>
            <w:bottom w:w="0" w:type="dxa"/>
            <w:right w:w="108" w:type="dxa"/>
          </w:tblCellMar>
        </w:tblPrEx>
        <w:trPr>
          <w:trHeight w:val="91" w:hRule="atLeast"/>
        </w:trPr>
        <w:tc>
          <w:tcPr>
            <w:tcW w:w="8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324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2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医保目录医疗服务项目编码</w:t>
            </w:r>
          </w:p>
        </w:tc>
        <w:tc>
          <w:tcPr>
            <w:tcW w:w="27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血常规</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250101015</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血细胞分析</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网织红细胞</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250101005</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网织红细胞计数(Ret)</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尿常规</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250102035</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尿液分析</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2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粪便常规及隐血</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250103001</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粪便常规</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2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250103002</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隐血试验</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2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凝血象</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250203020</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血浆凝血酶原时间测定(PT)</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2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250203035</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凝血酶时间测定(TT)</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2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250203030</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血浆纤维蛋白原测定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2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250203025</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活化部分凝血活酶时间测定(APTT)</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2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APTT纠正试验</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250203022</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凝血酶原时间纠正试验</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2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250203023</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凝血酶原消耗及纠正试验</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2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250203078</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简易凝血活酶纠正试验</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凝血因子活性</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250203031及250203031.XX</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血浆凝血因子活性测定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VWF抗原</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250203008</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血管性假性血友病因子(VWF)抗原测定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血小板聚集功能</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250203011</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血小板聚集功能测定(PAgT)</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2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抑制物浓度检测</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250203032</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血浆因子Ⅷ抑制物定性测定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2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250203033</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血浆因子Ⅷ抑制物定量测定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2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肝功能</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250305001</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血清总胆红素测定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2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250305002</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血清直接胆红素测定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2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250305003</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血清间接胆红素测定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2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250305007</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血清丙氨酸氨基转移酶测定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2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250305008</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血清天门冬氨酸氨基转移酶测定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2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250305009</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血清γ-谷氨酰基转移酶测定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2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250305011</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血清碱性磷酸酶测定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2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250301001</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血清总蛋白测定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2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250301002</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血清白蛋白测定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2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肾功能</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250307001</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尿素测定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2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250307002</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肌酐测定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2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250307005</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血清尿酸测定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心电图</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310701001</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常规心电图检查</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2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腹部、关节及出血部位超声</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2202</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B超</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2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2203</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彩色多普勒超声检查</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2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X线（骨骼、心、肺、关节）</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210102015</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数字化X线摄影(DR)</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2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210102016</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计算机X线摄影(ComputedRadiography,CR)</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输血前相关检验</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 xml:space="preserve">肝炎标志物 </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250403004</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乙型肝炎表面抗原测定(HBsAg)</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250403005</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乙型肝炎表面抗体测定(AntiHBs)</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250403006</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乙型肝炎e抗原测定(HBeAg)</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250403007</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乙型肝炎e抗体测定(AntiHBe)</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250403008</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乙型肝炎核心抗原测定(HBcAg)</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250403009</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乙型肝炎核心抗体测定(AntiHBc)</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A250403086</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丙型肝炎抗原测定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250403014</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丙型肝炎抗体测定(Anti-HCV)</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HIV筛查</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250403019a</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人免疫缺陷病毒抗体测定(Anti-HIV)</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梅毒</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250403053</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梅毒螺旋体特异抗体测定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250403054</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快速血浆反应素试验(RPR)</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250403055</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不加热血清反应素试验</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血型鉴定</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 xml:space="preserve">260000002 </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ABO血型鉴定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260000004</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Rh血型鉴定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260000005</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Rh血型其他抗原鉴定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交叉配血</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 xml:space="preserve">260000012  </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特殊介质交叉配血</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260000013及260000013.XX</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疑难交叉配血</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66" w:type="dxa"/>
            <w:tcBorders>
              <w:top w:val="nil"/>
              <w:left w:val="nil"/>
              <w:bottom w:val="nil"/>
              <w:right w:val="nil"/>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502600005900000</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不规则(意外)抗体检测</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血友病性关节病相关检验检查及治疗</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血清铁蛋白测定</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250301008</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血清铁蛋白测定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CT增强（腹部）</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210300002</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X线计算机体层(CT)增强扫描</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EBBQT001</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上腹部X线计算机体层(CT)增强扫描</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EBBQT002</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下腹部X线计算机体层(CT)增强扫描</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磁共振平扫或增强（关节）</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ECAWG001</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肩关节磁共振成像</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ECAWJ001</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肘关节磁共振成像</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ECAXC001</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骶髂关节磁共振成像</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ECAXD001</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双髋关节磁共振成像</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ECAXJ001</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膝关节磁共振成像</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ECAXZ001</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踝关节磁共振成像</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ECBWF001</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上臂磁共振增强成像</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ECBWG001</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肩关节磁共振增强成像</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ECBWL001</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前臂磁共振增强成像</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ECBXF001</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大腿磁共振增强成像</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ECBXN001</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小腿磁共振增强成像</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ECBXZ001</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踝关节磁共振增强成像</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210200001</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磁共振平扫</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210200002</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磁共振增强扫描</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6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血友病性关节病相关的康复理疗项目</w:t>
            </w:r>
          </w:p>
        </w:tc>
      </w:tr>
    </w:tbl>
    <w:p>
      <w:pPr>
        <w:spacing w:line="340" w:lineRule="exac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pPr>
        <w:tabs>
          <w:tab w:val="left" w:pos="596"/>
        </w:tabs>
        <w:spacing w:line="340" w:lineRule="exact"/>
        <w:rPr>
          <w:rFonts w:ascii="Times New Roman" w:hAnsi="Times New Roman" w:eastAsia="黑体"/>
          <w:color w:val="000000" w:themeColor="text1"/>
          <w:sz w:val="30"/>
          <w:szCs w:val="30"/>
          <w14:textFill>
            <w14:solidFill>
              <w14:schemeClr w14:val="tx1"/>
            </w14:solidFill>
          </w14:textFill>
        </w:rPr>
      </w:pPr>
      <w:r>
        <w:rPr>
          <w:rFonts w:hint="eastAsia" w:ascii="Times New Roman" w:hAnsi="Times New Roman" w:eastAsia="黑体"/>
          <w:color w:val="000000" w:themeColor="text1"/>
          <w:sz w:val="30"/>
          <w:szCs w:val="30"/>
          <w14:textFill>
            <w14:solidFill>
              <w14:schemeClr w14:val="tx1"/>
            </w14:solidFill>
          </w14:textFill>
        </w:rPr>
        <w:t>5</w:t>
      </w:r>
      <w:r>
        <w:rPr>
          <w:rFonts w:ascii="Times New Roman" w:hAnsi="Times New Roman" w:eastAsia="黑体"/>
          <w:color w:val="000000" w:themeColor="text1"/>
          <w:sz w:val="30"/>
          <w:szCs w:val="30"/>
          <w14:textFill>
            <w14:solidFill>
              <w14:schemeClr w14:val="tx1"/>
            </w14:solidFill>
          </w14:textFill>
        </w:rPr>
        <w:t>.再生障碍性贫血</w:t>
      </w:r>
    </w:p>
    <w:tbl>
      <w:tblPr>
        <w:tblStyle w:val="4"/>
        <w:tblW w:w="8691" w:type="dxa"/>
        <w:tblInd w:w="93" w:type="dxa"/>
        <w:tblLayout w:type="fixed"/>
        <w:tblCellMar>
          <w:top w:w="0" w:type="dxa"/>
          <w:left w:w="108" w:type="dxa"/>
          <w:bottom w:w="0" w:type="dxa"/>
          <w:right w:w="108" w:type="dxa"/>
        </w:tblCellMar>
      </w:tblPr>
      <w:tblGrid>
        <w:gridCol w:w="801"/>
        <w:gridCol w:w="797"/>
        <w:gridCol w:w="1365"/>
        <w:gridCol w:w="2430"/>
        <w:gridCol w:w="3298"/>
      </w:tblGrid>
      <w:tr>
        <w:tblPrEx>
          <w:tblCellMar>
            <w:top w:w="0" w:type="dxa"/>
            <w:left w:w="108" w:type="dxa"/>
            <w:bottom w:w="0" w:type="dxa"/>
            <w:right w:w="108" w:type="dxa"/>
          </w:tblCellMar>
        </w:tblPrEx>
        <w:trPr>
          <w:trHeight w:val="453" w:hRule="atLeast"/>
        </w:trPr>
        <w:tc>
          <w:tcPr>
            <w:tcW w:w="8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1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再生障碍性贫血</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D59.501</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阵发性夜间性血红蛋白尿伴再生障碍性贫血</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D60.000x001</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慢性后天性纯红细胞再生障碍性贫血</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D60.900x001</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纯红细胞再生障碍性贫血</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D61.000</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体质性再生障碍性贫血</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D61.001</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先天性纯红细胞再生障碍性贫血</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D61.002</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婴儿纯红细胞再生障碍性贫血</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D61.003</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原发性纯红细胞再生障碍性贫血</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D61.006</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先天性再生障碍性贫血</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D61.100</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药物性再生障碍性贫血</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D61.200</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再生障碍性贫血，其他外因引起的</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D61.200x002</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外因性再生障碍性贫血</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D61.300</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特发性再生障碍性贫血</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D61.800</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再生障碍性贫血，其他特指的</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D61.800x002</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肝炎相关重型再生障碍性贫血</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D61.801</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肝炎后再生障碍性贫血</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D61.802</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继发性再生障碍性贫血</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D61.900</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再生障碍性贫血</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D61.902</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慢性再生障碍性贫血</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D61.905</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重度再生障碍性贫血</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D61.909</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急性再生障碍性贫血</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O99.003</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妊娠合并再生障碍性贫血</w:t>
            </w:r>
          </w:p>
        </w:tc>
      </w:tr>
      <w:tr>
        <w:tblPrEx>
          <w:tblCellMar>
            <w:top w:w="0" w:type="dxa"/>
            <w:left w:w="108" w:type="dxa"/>
            <w:bottom w:w="0" w:type="dxa"/>
            <w:right w:w="108" w:type="dxa"/>
          </w:tblCellMar>
        </w:tblPrEx>
        <w:trPr>
          <w:trHeight w:val="91"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78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符合以下三条：</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一、一系及以上血细胞减少。</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二、骨髓涂片至少1个部位增生减低或重度减低（如增生活跃，须有巨核细胞明显减少）或骨髓活检检查显示造血组织减少，脂肪组织增加等。（如若考虑纯红细胞再生障碍性贫血，需要有红系增生减低）</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三、能除外其它引起血细胞减少的疾病。如阵发性睡眠性血红蛋白尿症、骨髓增生异常综合症中的难治性贫血、急性造血功能停滞、骨髓纤维化、急性白血病、恶性组织细胞病等。</w:t>
            </w:r>
          </w:p>
        </w:tc>
      </w:tr>
      <w:tr>
        <w:tblPrEx>
          <w:tblCellMar>
            <w:top w:w="0" w:type="dxa"/>
            <w:left w:w="108" w:type="dxa"/>
            <w:bottom w:w="0" w:type="dxa"/>
            <w:right w:w="108" w:type="dxa"/>
          </w:tblCellMar>
        </w:tblPrEx>
        <w:trPr>
          <w:trHeight w:val="91" w:hRule="atLeast"/>
        </w:trPr>
        <w:tc>
          <w:tcPr>
            <w:tcW w:w="8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医保目录药品分类代码</w:t>
            </w:r>
          </w:p>
        </w:tc>
        <w:tc>
          <w:tcPr>
            <w:tcW w:w="32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钙神经素抑制剂</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XL04AD</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钙调磷酸酶抑制剂</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雄性激素</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XG03A</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全身用激素类避孕药</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抗胸腺细胞球蛋白</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XL04AA</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选择性免疫抑制剂</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粒细胞集落刺激因子</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XL03AA</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集落刺激因子</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重组人促红素注射液等促造血药物</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XB03B</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维生素B12和叶酸</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TPO-RA类药物</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XB02B</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维生素K和其他止血药</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血液制品</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005101010030000</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悬浮红细胞</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005101010070000</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Rh阴性悬浮红细胞</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005101010010000</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浓缩红细胞</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005101010040000</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洗涤红细胞</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005101010060000</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冰冻解冻去甘油Rh阴性红细胞</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005101010060000</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冰冻解冻去甘油红细胞</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抗感染药品（限二、三代头孢、青霉素及喹诺酮类）</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XJ</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全身用抗感染药</w:t>
            </w:r>
          </w:p>
        </w:tc>
      </w:tr>
      <w:tr>
        <w:tblPrEx>
          <w:tblCellMar>
            <w:top w:w="0" w:type="dxa"/>
            <w:left w:w="108" w:type="dxa"/>
            <w:bottom w:w="0" w:type="dxa"/>
            <w:right w:w="108" w:type="dxa"/>
          </w:tblCellMar>
        </w:tblPrEx>
        <w:trPr>
          <w:trHeight w:val="91" w:hRule="atLeast"/>
        </w:trPr>
        <w:tc>
          <w:tcPr>
            <w:tcW w:w="8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黑体_GBK" w:cs="方正黑体_GBK"/>
                <w:color w:val="000000" w:themeColor="text1"/>
                <w:sz w:val="24"/>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医保目录医疗服务项目编码</w:t>
            </w:r>
          </w:p>
        </w:tc>
        <w:tc>
          <w:tcPr>
            <w:tcW w:w="32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输血前相关检验</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 xml:space="preserve">肝炎标志物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250403004</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乙型肝炎表面抗原测定(HBsAg)</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250403005</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乙型肝炎表面抗体测定(AntiHBs)</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250403006</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乙型肝炎e抗原测定(HBeAg)</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250403007</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乙型肝炎e抗体测定(AntiHBe)</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250403008</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乙型肝炎核心抗原测定(HBcAg)</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250403009</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乙型肝炎核心抗体测定(AntiHBc)</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A250403086</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丙型肝炎抗原测定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250403014</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丙型肝炎抗体测定(Anti-HCV)</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HIV筛查</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250403019a</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人免疫缺陷病毒抗体测定(Anti-HIV)</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梅毒</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250403053</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梅毒螺旋体特异抗体测定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250403054</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快速血浆反应素试验(RPR)</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250403055</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不加热血清反应素试验</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血型鉴定</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 xml:space="preserve">260000002 </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ABO血型鉴定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260000004</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Rh血型鉴定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260000005</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Rh血型其他抗原鉴定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交叉配血</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 xml:space="preserve">260000012  </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特殊介质交叉配血</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260000013及260000013.XX</w:t>
            </w:r>
          </w:p>
        </w:tc>
        <w:tc>
          <w:tcPr>
            <w:tcW w:w="329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疑难交叉配血</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36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502600005900000</w:t>
            </w:r>
          </w:p>
        </w:tc>
        <w:tc>
          <w:tcPr>
            <w:tcW w:w="32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不规则(意外)抗体检测</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血常规</w:t>
            </w:r>
          </w:p>
        </w:tc>
        <w:tc>
          <w:tcPr>
            <w:tcW w:w="243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250101015</w:t>
            </w:r>
          </w:p>
        </w:tc>
        <w:tc>
          <w:tcPr>
            <w:tcW w:w="329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血细胞分析</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网织红细胞</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250101005</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网织红细胞计数(Ret)</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骨髓细胞形态学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310800001</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骨髓穿刺术</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250201007</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骨髓特殊染色及酶组织化学染色检查</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250201001</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骨髓涂片细胞学检验</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骨髓活检</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310800002</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骨髓活检术</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270800006</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显微摄影术</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270500001</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特殊染色及酶组织化学染色诊断</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270300004</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骨髓组织活检检查与诊断</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肝功能</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250305001</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血清总胆红素测定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250305002</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血清直接胆红素测定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250305003</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血清间接胆红素测定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250305007</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血清丙氨酸氨基转移酶测定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250305008</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血清天门冬氨酸氨基转移酶测定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250305009</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血清γ-谷氨酰基转移酶测定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250305011</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血清碱性磷酸酶测定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250301001</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血清总蛋白测定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250301002</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血清白蛋白测定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肾功能</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250307001</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尿素测定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250307002</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肌酐测定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250307005</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血清尿酸测定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血清铁蛋白</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250301008</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血清铁蛋白测定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环孢素血药浓度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250309005</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血清药物浓度测定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CT平扫（限高度怀疑肺部感染时)</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210300001</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X线计算机体层(CT)平扫</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EBAJT001</w:t>
            </w:r>
          </w:p>
        </w:tc>
        <w:tc>
          <w:tcPr>
            <w:tcW w:w="3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胸部X线计算机体层(CT)平扫</w:t>
            </w:r>
          </w:p>
        </w:tc>
      </w:tr>
    </w:tbl>
    <w:p>
      <w:pPr>
        <w:spacing w:line="340" w:lineRule="exac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pPr>
        <w:tabs>
          <w:tab w:val="left" w:pos="596"/>
        </w:tabs>
        <w:spacing w:line="340" w:lineRule="exact"/>
        <w:rPr>
          <w:rFonts w:ascii="Times New Roman" w:hAnsi="Times New Roman" w:eastAsia="黑体"/>
          <w:color w:val="000000" w:themeColor="text1"/>
          <w:sz w:val="30"/>
          <w:szCs w:val="30"/>
          <w14:textFill>
            <w14:solidFill>
              <w14:schemeClr w14:val="tx1"/>
            </w14:solidFill>
          </w14:textFill>
        </w:rPr>
      </w:pPr>
      <w:r>
        <w:rPr>
          <w:rFonts w:hint="eastAsia" w:ascii="Times New Roman" w:hAnsi="Times New Roman" w:eastAsia="黑体"/>
          <w:color w:val="000000" w:themeColor="text1"/>
          <w:sz w:val="30"/>
          <w:szCs w:val="30"/>
          <w14:textFill>
            <w14:solidFill>
              <w14:schemeClr w14:val="tx1"/>
            </w14:solidFill>
          </w14:textFill>
        </w:rPr>
        <w:t>6</w:t>
      </w:r>
      <w:r>
        <w:rPr>
          <w:rFonts w:ascii="Times New Roman" w:hAnsi="Times New Roman" w:eastAsia="黑体"/>
          <w:color w:val="000000" w:themeColor="text1"/>
          <w:sz w:val="30"/>
          <w:szCs w:val="30"/>
          <w14:textFill>
            <w14:solidFill>
              <w14:schemeClr w14:val="tx1"/>
            </w14:solidFill>
          </w14:textFill>
        </w:rPr>
        <w:t>.地中海贫血（中、重型）</w:t>
      </w:r>
    </w:p>
    <w:tbl>
      <w:tblPr>
        <w:tblStyle w:val="4"/>
        <w:tblW w:w="8691" w:type="dxa"/>
        <w:tblInd w:w="93" w:type="dxa"/>
        <w:tblLayout w:type="autofit"/>
        <w:tblCellMar>
          <w:top w:w="0" w:type="dxa"/>
          <w:left w:w="108" w:type="dxa"/>
          <w:bottom w:w="0" w:type="dxa"/>
          <w:right w:w="108" w:type="dxa"/>
        </w:tblCellMar>
      </w:tblPr>
      <w:tblGrid>
        <w:gridCol w:w="741"/>
        <w:gridCol w:w="1255"/>
        <w:gridCol w:w="1656"/>
        <w:gridCol w:w="2070"/>
        <w:gridCol w:w="2969"/>
      </w:tblGrid>
      <w:tr>
        <w:tblPrEx>
          <w:tblCellMar>
            <w:top w:w="0" w:type="dxa"/>
            <w:left w:w="108" w:type="dxa"/>
            <w:bottom w:w="0" w:type="dxa"/>
            <w:right w:w="108" w:type="dxa"/>
          </w:tblCellMar>
        </w:tblPrEx>
        <w:trPr>
          <w:trHeight w:val="455"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29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地中海贫血（中、重型）</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D56.000</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α型地中海贫血</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D56.100</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β型地中海贫血</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D56.100x003</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重型β型地中海贫血</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D56.101</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中间型地中海贫血</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D56.102</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重型地中海贫血</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D56.200</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δ-β型地中海贫血</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D56.300</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地中海贫血特性</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D56.800</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地中海贫血，其他的</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D56.900</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地中海贫血</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D56.901</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混合型地中海贫血</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D56.900</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地中海贫血</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D57.200x001</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双杂合镰状细胞β型地中海贫血</w:t>
            </w:r>
          </w:p>
        </w:tc>
      </w:tr>
      <w:tr>
        <w:tblPrEx>
          <w:tblCellMar>
            <w:top w:w="0" w:type="dxa"/>
            <w:left w:w="108" w:type="dxa"/>
            <w:bottom w:w="0" w:type="dxa"/>
            <w:right w:w="108" w:type="dxa"/>
          </w:tblCellMar>
        </w:tblPrEx>
        <w:trPr>
          <w:trHeight w:val="9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O99.004</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妊娠合并地中海贫血</w:t>
            </w:r>
          </w:p>
        </w:tc>
      </w:tr>
      <w:tr>
        <w:tblPrEx>
          <w:tblCellMar>
            <w:top w:w="0" w:type="dxa"/>
            <w:left w:w="108" w:type="dxa"/>
            <w:bottom w:w="0" w:type="dxa"/>
            <w:right w:w="108" w:type="dxa"/>
          </w:tblCellMar>
        </w:tblPrEx>
        <w:trPr>
          <w:trHeight w:val="91" w:hRule="atLeast"/>
        </w:trPr>
        <w:tc>
          <w:tcPr>
            <w:tcW w:w="741"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79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spacing w:line="34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 w:val="21"/>
                <w:szCs w:val="21"/>
                <w:lang w:val="en-US" w:eastAsia="zh-CN" w:bidi="ar"/>
                <w14:textFill>
                  <w14:solidFill>
                    <w14:schemeClr w14:val="tx1"/>
                  </w14:solidFill>
                </w14:textFill>
              </w:rPr>
              <w:t>一、</w:t>
            </w:r>
            <w:r>
              <w:rPr>
                <w:rFonts w:ascii="Times New Roman" w:hAnsi="Times New Roman" w:eastAsia="方正仿宋_GBK" w:cs="方正仿宋_GBK"/>
                <w:color w:val="000000" w:themeColor="text1"/>
                <w:kern w:val="0"/>
                <w:szCs w:val="21"/>
                <w:lang w:bidi="ar"/>
                <w14:textFill>
                  <w14:solidFill>
                    <w14:schemeClr w14:val="tx1"/>
                  </w14:solidFill>
                </w14:textFill>
              </w:rPr>
              <w:t>重型β地中海贫血诊断标准：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（一）临床表现：典型的临床特征（贫血、黄染、肝脾肿大等）；</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（二）血液学改变：外周血血红蛋白（Hb）&lt;60 g/L，呈小细胞低色素性贫血；</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（三）地贫相关基因检测证实为β地贫基因纯合或复合杂合者。</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二、中间型β地中海贫血诊断标准：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（一）临床表现：较重型稍轻，起病稍晚；</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（二）血液学检查：中度贫血Hb60-90g/L，外周血涂片红细胞形态与重型相似；</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（三）地贫相关基因检测类型可为：β+/β+、β0/β+、β地贫非典型杂合子等。</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hint="eastAsia" w:ascii="Times New Roman" w:hAnsi="Times New Roman" w:eastAsia="方正仿宋_GBK" w:cs="方正仿宋_GBK"/>
                <w:color w:val="000000" w:themeColor="text1"/>
                <w:kern w:val="0"/>
                <w:szCs w:val="21"/>
                <w:lang w:val="en-US" w:eastAsia="zh-CN" w:bidi="ar"/>
                <w14:textFill>
                  <w14:solidFill>
                    <w14:schemeClr w14:val="tx1"/>
                  </w14:solidFill>
                </w14:textFill>
              </w:rPr>
              <w:t>三</w:t>
            </w:r>
            <w:r>
              <w:rPr>
                <w:rFonts w:ascii="Times New Roman" w:hAnsi="Times New Roman" w:eastAsia="方正仿宋_GBK" w:cs="方正仿宋_GBK"/>
                <w:color w:val="000000" w:themeColor="text1"/>
                <w:kern w:val="0"/>
                <w:szCs w:val="21"/>
                <w:lang w:bidi="ar"/>
                <w14:textFill>
                  <w14:solidFill>
                    <w14:schemeClr w14:val="tx1"/>
                  </w14:solidFill>
                </w14:textFill>
              </w:rPr>
              <w:t xml:space="preserve">、中间型α地中海贫血（HbH病）诊断标准：                                                      </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 xml:space="preserve">（一）临床表型：大多在婴儿期以后逐渐出现贫血、疲乏无力、肝脾大、轻度黄疸；年龄较大患者可出现类似重型β地贫的特殊面容。                                                           </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 xml:space="preserve">（二）血液学检查：外周血象和骨髓象的改变类似重型β地贫。                                </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（三）α0和α+地贫的杂合子状态，4个α珠蛋白基因有3个缺失或缺陷。</w:t>
            </w:r>
          </w:p>
          <w:p>
            <w:pPr>
              <w:widowControl/>
              <w:numPr>
                <w:ilvl w:val="0"/>
                <w:numId w:val="0"/>
              </w:numPr>
              <w:spacing w:line="340" w:lineRule="exact"/>
              <w:ind w:left="420" w:hanging="420" w:hangingChars="200"/>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2"/>
                <w:sz w:val="21"/>
                <w:szCs w:val="21"/>
                <w:lang w:val="en-US" w:eastAsia="zh-CN" w:bidi="ar-SA"/>
                <w14:textFill>
                  <w14:solidFill>
                    <w14:schemeClr w14:val="tx1"/>
                  </w14:solidFill>
                </w14:textFill>
              </w:rPr>
              <w:t>四</w:t>
            </w:r>
            <w:r>
              <w:rPr>
                <w:rFonts w:ascii="Times New Roman" w:hAnsi="Times New Roman" w:eastAsia="方正仿宋_GBK" w:cs="方正仿宋_GBK"/>
                <w:color w:val="000000" w:themeColor="text1"/>
                <w:kern w:val="0"/>
                <w:szCs w:val="21"/>
                <w:lang w:bidi="ar"/>
                <w14:textFill>
                  <w14:solidFill>
                    <w14:schemeClr w14:val="tx1"/>
                  </w14:solidFill>
                </w14:textFill>
              </w:rPr>
              <w:t>、铁过载诊断或去铁治疗指征：</w:t>
            </w:r>
          </w:p>
          <w:p>
            <w:pPr>
              <w:widowControl/>
              <w:numPr>
                <w:ilvl w:val="0"/>
                <w:numId w:val="0"/>
              </w:numPr>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血清铁蛋白&gt;800μg/L或肝铁LIC ≥5mg Fe/g干重。</w:t>
            </w:r>
          </w:p>
        </w:tc>
      </w:tr>
      <w:tr>
        <w:tblPrEx>
          <w:tblCellMar>
            <w:top w:w="0" w:type="dxa"/>
            <w:left w:w="108" w:type="dxa"/>
            <w:bottom w:w="0" w:type="dxa"/>
            <w:right w:w="108" w:type="dxa"/>
          </w:tblCellMar>
        </w:tblPrEx>
        <w:trPr>
          <w:trHeight w:val="91" w:hRule="atLeast"/>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2911"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医保目录药品分类代码</w:t>
            </w:r>
          </w:p>
        </w:tc>
        <w:tc>
          <w:tcPr>
            <w:tcW w:w="2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11"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浓缩红细胞</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005101010010000</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浓缩红细胞</w:t>
            </w:r>
          </w:p>
        </w:tc>
      </w:tr>
      <w:tr>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11" w:type="dxa"/>
            <w:gridSpan w:val="2"/>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红细胞悬液</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005101010030000</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悬浮红细胞</w:t>
            </w:r>
          </w:p>
        </w:tc>
      </w:tr>
      <w:tr>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11"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005101010070000</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Rh阴性悬浮红细胞</w:t>
            </w:r>
          </w:p>
        </w:tc>
      </w:tr>
      <w:tr>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11"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洗涤红细胞（必要时）</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005101010040000</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洗涤红细胞</w:t>
            </w:r>
          </w:p>
        </w:tc>
      </w:tr>
      <w:tr>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11" w:type="dxa"/>
            <w:gridSpan w:val="2"/>
            <w:tcBorders>
              <w:top w:val="single" w:color="000000" w:sz="4" w:space="0"/>
              <w:left w:val="single" w:color="auto" w:sz="4" w:space="0"/>
              <w:bottom w:val="nil"/>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去铁胺（DFO），地拉罗司（DFX， ICL670），去铁酮（DFP， L1）</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XV03AC</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铁螯合剂</w:t>
            </w:r>
          </w:p>
        </w:tc>
      </w:tr>
      <w:tr>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11" w:type="dxa"/>
            <w:gridSpan w:val="2"/>
            <w:tcBorders>
              <w:top w:val="single" w:color="000000" w:sz="4" w:space="0"/>
              <w:left w:val="single" w:color="auto" w:sz="4" w:space="0"/>
              <w:bottom w:val="single" w:color="auto"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罗特西普</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XB03X</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其他抗贫血制剂</w:t>
            </w:r>
          </w:p>
        </w:tc>
      </w:tr>
      <w:tr>
        <w:tblPrEx>
          <w:tblCellMar>
            <w:top w:w="0" w:type="dxa"/>
            <w:left w:w="108" w:type="dxa"/>
            <w:bottom w:w="0" w:type="dxa"/>
            <w:right w:w="108" w:type="dxa"/>
          </w:tblCellMar>
        </w:tblPrEx>
        <w:trPr>
          <w:trHeight w:val="91" w:hRule="atLeast"/>
        </w:trPr>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kern w:val="0"/>
                <w:szCs w:val="21"/>
                <w:lang w:bidi="ar"/>
                <w14:textFill>
                  <w14:solidFill>
                    <w14:schemeClr w14:val="tx1"/>
                  </w14:solidFill>
                </w14:textFill>
              </w:rPr>
            </w:pPr>
          </w:p>
          <w:p>
            <w:pPr>
              <w:widowControl/>
              <w:spacing w:line="340" w:lineRule="exact"/>
              <w:jc w:val="center"/>
              <w:textAlignment w:val="center"/>
              <w:rPr>
                <w:rFonts w:ascii="Times New Roman" w:hAnsi="Times New Roman" w:eastAsia="方正黑体_GBK" w:cs="方正黑体_GBK"/>
                <w:color w:val="000000" w:themeColor="text1"/>
                <w:kern w:val="0"/>
                <w:szCs w:val="21"/>
                <w:lang w:bidi="ar"/>
                <w14:textFill>
                  <w14:solidFill>
                    <w14:schemeClr w14:val="tx1"/>
                  </w14:solidFill>
                </w14:textFill>
              </w:rPr>
            </w:pPr>
          </w:p>
          <w:p>
            <w:pPr>
              <w:widowControl/>
              <w:spacing w:line="340" w:lineRule="exact"/>
              <w:jc w:val="center"/>
              <w:textAlignment w:val="center"/>
              <w:rPr>
                <w:rFonts w:ascii="Times New Roman" w:hAnsi="Times New Roman" w:eastAsia="方正黑体_GBK" w:cs="方正黑体_GBK"/>
                <w:color w:val="000000" w:themeColor="text1"/>
                <w:kern w:val="0"/>
                <w:szCs w:val="21"/>
                <w:lang w:bidi="ar"/>
                <w14:textFill>
                  <w14:solidFill>
                    <w14:schemeClr w14:val="tx1"/>
                  </w14:solidFill>
                </w14:textFill>
              </w:rPr>
            </w:pPr>
          </w:p>
          <w:p>
            <w:pPr>
              <w:widowControl/>
              <w:spacing w:line="340" w:lineRule="exact"/>
              <w:jc w:val="center"/>
              <w:textAlignment w:val="center"/>
              <w:rPr>
                <w:rFonts w:ascii="Times New Roman" w:hAnsi="Times New Roman" w:eastAsia="方正黑体_GBK" w:cs="方正黑体_GBK"/>
                <w:color w:val="000000" w:themeColor="text1"/>
                <w:kern w:val="0"/>
                <w:szCs w:val="21"/>
                <w:lang w:bidi="ar"/>
                <w14:textFill>
                  <w14:solidFill>
                    <w14:schemeClr w14:val="tx1"/>
                  </w14:solidFill>
                </w14:textFill>
              </w:rPr>
            </w:pPr>
          </w:p>
          <w:p>
            <w:pPr>
              <w:widowControl/>
              <w:spacing w:line="340" w:lineRule="exact"/>
              <w:jc w:val="center"/>
              <w:textAlignment w:val="center"/>
              <w:rPr>
                <w:rFonts w:ascii="Times New Roman" w:hAnsi="Times New Roman" w:eastAsia="方正黑体_GBK" w:cs="方正黑体_GBK"/>
                <w:color w:val="000000" w:themeColor="text1"/>
                <w:kern w:val="0"/>
                <w:szCs w:val="21"/>
                <w:lang w:bidi="ar"/>
                <w14:textFill>
                  <w14:solidFill>
                    <w14:schemeClr w14:val="tx1"/>
                  </w14:solidFill>
                </w14:textFill>
              </w:rPr>
            </w:pPr>
          </w:p>
          <w:p>
            <w:pPr>
              <w:widowControl/>
              <w:spacing w:line="340" w:lineRule="exact"/>
              <w:jc w:val="center"/>
              <w:textAlignment w:val="center"/>
              <w:rPr>
                <w:rFonts w:ascii="Times New Roman" w:hAnsi="Times New Roman" w:eastAsia="方正黑体_GBK" w:cs="方正黑体_GBK"/>
                <w:color w:val="000000" w:themeColor="text1"/>
                <w:kern w:val="0"/>
                <w:szCs w:val="21"/>
                <w:lang w:bidi="ar"/>
                <w14:textFill>
                  <w14:solidFill>
                    <w14:schemeClr w14:val="tx1"/>
                  </w14:solidFill>
                </w14:textFill>
              </w:rPr>
            </w:pPr>
          </w:p>
          <w:p>
            <w:pPr>
              <w:widowControl/>
              <w:spacing w:line="340" w:lineRule="exact"/>
              <w:jc w:val="center"/>
              <w:textAlignment w:val="center"/>
              <w:rPr>
                <w:rFonts w:ascii="Times New Roman" w:hAnsi="Times New Roman" w:eastAsia="方正黑体_GBK" w:cs="方正黑体_GBK"/>
                <w:color w:val="000000" w:themeColor="text1"/>
                <w:kern w:val="0"/>
                <w:szCs w:val="21"/>
                <w:lang w:bidi="ar"/>
                <w14:textFill>
                  <w14:solidFill>
                    <w14:schemeClr w14:val="tx1"/>
                  </w14:solidFill>
                </w14:textFill>
              </w:rPr>
            </w:pPr>
          </w:p>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2911"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2070"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医保目录医疗服务项目编码</w:t>
            </w:r>
          </w:p>
        </w:tc>
        <w:tc>
          <w:tcPr>
            <w:tcW w:w="29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血常规</w:t>
            </w:r>
          </w:p>
        </w:tc>
        <w:tc>
          <w:tcPr>
            <w:tcW w:w="207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250101015</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血细胞分析</w:t>
            </w:r>
          </w:p>
        </w:tc>
      </w:tr>
      <w:tr>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11"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网织红细胞</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250101005</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网织红细胞计数(Ret)</w:t>
            </w:r>
          </w:p>
        </w:tc>
      </w:tr>
      <w:tr>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肝功能</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250305001</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血清总胆红素测定</w:t>
            </w:r>
          </w:p>
        </w:tc>
      </w:tr>
      <w:tr>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250305002</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血清直接胆红素测定</w:t>
            </w:r>
          </w:p>
        </w:tc>
      </w:tr>
      <w:tr>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250305003</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血清间接胆红素测定</w:t>
            </w:r>
          </w:p>
        </w:tc>
      </w:tr>
      <w:tr>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250305007</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血清丙氨酸氨基转移酶测定</w:t>
            </w:r>
          </w:p>
        </w:tc>
      </w:tr>
      <w:tr>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250305008</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血清天门冬氨酸氨基转移酶测定</w:t>
            </w:r>
          </w:p>
        </w:tc>
      </w:tr>
      <w:tr>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250305009</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血清γ-谷氨酰基转移酶测定</w:t>
            </w:r>
          </w:p>
        </w:tc>
      </w:tr>
      <w:tr>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250305011</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血清碱性磷酸酶测定</w:t>
            </w:r>
          </w:p>
        </w:tc>
      </w:tr>
      <w:tr>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250301001</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血清总蛋白测定</w:t>
            </w:r>
          </w:p>
        </w:tc>
      </w:tr>
      <w:tr>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250301002</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血清白蛋白测定</w:t>
            </w:r>
          </w:p>
        </w:tc>
      </w:tr>
      <w:tr>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肾功能</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 xml:space="preserve">250307001.00 </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尿素测定</w:t>
            </w:r>
          </w:p>
        </w:tc>
      </w:tr>
      <w:tr>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250307002</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肌酐测定</w:t>
            </w:r>
          </w:p>
        </w:tc>
      </w:tr>
      <w:tr>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250307005</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血清尿酸测定</w:t>
            </w:r>
          </w:p>
        </w:tc>
      </w:tr>
      <w:tr>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输血前相关检验</w:t>
            </w: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 xml:space="preserve">肝炎标志物 </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250403004</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乙型肝炎表面抗原测定(HBsAg)</w:t>
            </w:r>
          </w:p>
        </w:tc>
      </w:tr>
      <w:tr>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250403005</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乙型肝炎表面抗体测定(AntiHBs)</w:t>
            </w:r>
          </w:p>
        </w:tc>
      </w:tr>
      <w:tr>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250403006</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乙型肝炎e抗原测定(HBeAg)</w:t>
            </w:r>
          </w:p>
        </w:tc>
      </w:tr>
      <w:tr>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250403007</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乙型肝炎e抗体测定(AntiHBe)</w:t>
            </w:r>
          </w:p>
        </w:tc>
      </w:tr>
      <w:tr>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250403008</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乙型肝炎核心抗原测定(HBcAg)</w:t>
            </w:r>
          </w:p>
        </w:tc>
      </w:tr>
      <w:tr>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250403009</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乙型肝炎核心抗体测定(AntiHBc)</w:t>
            </w:r>
          </w:p>
        </w:tc>
      </w:tr>
      <w:tr>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A250403086</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丙型肝炎抗原测定</w:t>
            </w:r>
          </w:p>
        </w:tc>
      </w:tr>
      <w:tr>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250403014</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丙型肝炎抗体测定(Anti-HCV)</w:t>
            </w:r>
          </w:p>
        </w:tc>
      </w:tr>
      <w:tr>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HIV筛查</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250403019a</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人免疫缺陷病毒抗体测定(Anti-HIV)</w:t>
            </w:r>
          </w:p>
        </w:tc>
      </w:tr>
      <w:tr>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梅毒</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250403053</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梅毒螺旋体特异抗体测定</w:t>
            </w:r>
          </w:p>
        </w:tc>
      </w:tr>
      <w:tr>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250403054</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快速血浆反应素试验(RPR)</w:t>
            </w:r>
          </w:p>
        </w:tc>
      </w:tr>
      <w:tr>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250403055</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不加热血清反应素试验</w:t>
            </w:r>
          </w:p>
        </w:tc>
      </w:tr>
      <w:tr>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血型鉴定</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 xml:space="preserve">260000002 </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ABO血型鉴定</w:t>
            </w:r>
          </w:p>
        </w:tc>
      </w:tr>
      <w:tr>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260000004</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Rh血型鉴定</w:t>
            </w:r>
          </w:p>
        </w:tc>
      </w:tr>
      <w:tr>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260000005</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Rh血型其他抗原鉴定</w:t>
            </w:r>
          </w:p>
        </w:tc>
      </w:tr>
      <w:tr>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交叉配血</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 xml:space="preserve">260000012  </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特殊介质交叉配血</w:t>
            </w:r>
          </w:p>
        </w:tc>
      </w:tr>
      <w:tr>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260000013及260000013.XX</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疑难交叉配血</w:t>
            </w:r>
          </w:p>
        </w:tc>
      </w:tr>
      <w:tr>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0" w:type="auto"/>
            <w:tcBorders>
              <w:top w:val="nil"/>
              <w:left w:val="nil"/>
              <w:bottom w:val="nil"/>
              <w:right w:val="nil"/>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502600005900000</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不规则(意外)抗体检测</w:t>
            </w:r>
          </w:p>
        </w:tc>
      </w:tr>
      <w:tr>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血清铁蛋白定量</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250301008</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血清铁蛋白测定</w:t>
            </w:r>
          </w:p>
        </w:tc>
      </w:tr>
      <w:tr>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心肌酶谱</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250306005</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乳酸脱氢酶测定</w:t>
            </w:r>
          </w:p>
        </w:tc>
      </w:tr>
      <w:tr>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250306002</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血清肌酸激酶－MB同工酶活性测定</w:t>
            </w:r>
          </w:p>
        </w:tc>
      </w:tr>
      <w:tr>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250306010</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血清肌红蛋白测定</w:t>
            </w:r>
          </w:p>
        </w:tc>
      </w:tr>
      <w:tr>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11"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肌钙蛋白</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250306008</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血清肌钙蛋白T测定</w:t>
            </w:r>
          </w:p>
        </w:tc>
      </w:tr>
      <w:tr>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11"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250306009</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血清肌钙蛋白Ⅰ测定</w:t>
            </w:r>
          </w:p>
        </w:tc>
      </w:tr>
      <w:tr>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心电图</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310701001</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常规心电图检查</w:t>
            </w:r>
          </w:p>
        </w:tc>
      </w:tr>
      <w:tr>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腹部、心脏超声</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220201002.20</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B超常规检查(腹部)</w:t>
            </w:r>
          </w:p>
        </w:tc>
      </w:tr>
      <w:tr>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220301001b</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彩色多普勒超声常规检查(腹部)</w:t>
            </w:r>
          </w:p>
        </w:tc>
      </w:tr>
      <w:tr>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220600004</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心脏彩色多普勒超声</w:t>
            </w:r>
          </w:p>
        </w:tc>
      </w:tr>
      <w:tr>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X线（骨骼、心、肺）</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210102015</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数字化X线摄影(DR)</w:t>
            </w:r>
          </w:p>
        </w:tc>
      </w:tr>
      <w:tr>
        <w:tblPrEx>
          <w:tblCellMar>
            <w:top w:w="0" w:type="dxa"/>
            <w:left w:w="108" w:type="dxa"/>
            <w:bottom w:w="0" w:type="dxa"/>
            <w:right w:w="108" w:type="dxa"/>
          </w:tblCellMar>
        </w:tblPrEx>
        <w:trPr>
          <w:trHeight w:val="91" w:hRule="atLeast"/>
        </w:trPr>
        <w:tc>
          <w:tcPr>
            <w:tcW w:w="74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210102016</w:t>
            </w:r>
          </w:p>
        </w:tc>
        <w:tc>
          <w:tcPr>
            <w:tcW w:w="2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计算机X线摄影(ComputedRadiography,CR)</w:t>
            </w:r>
          </w:p>
        </w:tc>
      </w:tr>
    </w:tbl>
    <w:p>
      <w:pPr>
        <w:spacing w:line="340" w:lineRule="exac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pPr>
        <w:tabs>
          <w:tab w:val="left" w:pos="596"/>
        </w:tabs>
        <w:spacing w:line="340" w:lineRule="exact"/>
        <w:rPr>
          <w:rFonts w:ascii="Times New Roman" w:hAnsi="Times New Roman" w:eastAsia="黑体"/>
          <w:color w:val="000000" w:themeColor="text1"/>
          <w:sz w:val="30"/>
          <w:szCs w:val="30"/>
          <w14:textFill>
            <w14:solidFill>
              <w14:schemeClr w14:val="tx1"/>
            </w14:solidFill>
          </w14:textFill>
        </w:rPr>
      </w:pPr>
      <w:r>
        <w:rPr>
          <w:rFonts w:hint="eastAsia" w:ascii="Times New Roman" w:hAnsi="Times New Roman" w:eastAsia="黑体"/>
          <w:color w:val="000000" w:themeColor="text1"/>
          <w:sz w:val="30"/>
          <w:szCs w:val="30"/>
          <w14:textFill>
            <w14:solidFill>
              <w14:schemeClr w14:val="tx1"/>
            </w14:solidFill>
          </w14:textFill>
        </w:rPr>
        <w:t>7</w:t>
      </w:r>
      <w:r>
        <w:rPr>
          <w:rFonts w:ascii="Times New Roman" w:hAnsi="Times New Roman" w:eastAsia="黑体"/>
          <w:color w:val="000000" w:themeColor="text1"/>
          <w:sz w:val="30"/>
          <w:szCs w:val="30"/>
          <w14:textFill>
            <w14:solidFill>
              <w14:schemeClr w14:val="tx1"/>
            </w14:solidFill>
          </w14:textFill>
        </w:rPr>
        <w:t>.扩张型心肌病</w:t>
      </w:r>
    </w:p>
    <w:tbl>
      <w:tblPr>
        <w:tblStyle w:val="4"/>
        <w:tblW w:w="8843" w:type="dxa"/>
        <w:tblInd w:w="93" w:type="dxa"/>
        <w:tblLayout w:type="fixed"/>
        <w:tblCellMar>
          <w:top w:w="0" w:type="dxa"/>
          <w:left w:w="108" w:type="dxa"/>
          <w:bottom w:w="0" w:type="dxa"/>
          <w:right w:w="108" w:type="dxa"/>
        </w:tblCellMar>
      </w:tblPr>
      <w:tblGrid>
        <w:gridCol w:w="709"/>
        <w:gridCol w:w="2854"/>
        <w:gridCol w:w="1665"/>
        <w:gridCol w:w="3615"/>
      </w:tblGrid>
      <w:tr>
        <w:tblPrEx>
          <w:tblCellMar>
            <w:top w:w="0" w:type="dxa"/>
            <w:left w:w="108" w:type="dxa"/>
            <w:bottom w:w="0" w:type="dxa"/>
            <w:right w:w="108" w:type="dxa"/>
          </w:tblCellMar>
        </w:tblPrEx>
        <w:trPr>
          <w:trHeight w:val="566" w:hRule="atLeast"/>
        </w:trPr>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2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扩张型心肌病</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I42.000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扩张型心肌病</w:t>
            </w:r>
          </w:p>
        </w:tc>
      </w:tr>
      <w:tr>
        <w:tblPrEx>
          <w:tblCellMar>
            <w:top w:w="0" w:type="dxa"/>
            <w:left w:w="108" w:type="dxa"/>
            <w:bottom w:w="0" w:type="dxa"/>
            <w:right w:w="108"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81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有活动耐量下降或胸闷、心悸、腹胀、纳差、下肢水肿等临床表现，伴心脏彩超提示左室扩大，左室射血分数降低；或无明显临床症状但心脏彩超提示左室扩大，左室射血分数降低。心脏彩超符合下述表现：</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一、左心室舒张末内径（LVEDD）＞5.0cm（女性）和LVEDD＞5.5cm（男性）（或大于年龄和体表面积预测值的117%，即预测值的2倍SD+5%）；</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二、左室射血分数（LVEF）＜50%；</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三、除外高血压、心脏瓣膜病、先天性心脏病或缺血性心脏病能解释的心脏扩大、射血分数降低。</w:t>
            </w:r>
          </w:p>
        </w:tc>
      </w:tr>
      <w:tr>
        <w:tblPrEx>
          <w:tblCellMar>
            <w:top w:w="0" w:type="dxa"/>
            <w:left w:w="108" w:type="dxa"/>
            <w:bottom w:w="0" w:type="dxa"/>
            <w:right w:w="108" w:type="dxa"/>
          </w:tblCellMar>
        </w:tblPrEx>
        <w:trPr>
          <w:trHeight w:val="91" w:hRule="atLeast"/>
        </w:trPr>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医保目录药品分类代码</w:t>
            </w:r>
          </w:p>
        </w:tc>
        <w:tc>
          <w:tcPr>
            <w:tcW w:w="3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利尿剂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XC03A</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低效利尿药</w:t>
            </w:r>
          </w:p>
        </w:tc>
      </w:tr>
      <w:tr>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XC03C</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高效利尿药</w:t>
            </w:r>
          </w:p>
        </w:tc>
      </w:tr>
      <w:tr>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XC03D</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保钾利尿药</w:t>
            </w:r>
          </w:p>
        </w:tc>
      </w:tr>
      <w:tr>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β受体阻滞剂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XC07</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β-受体阻滞剂</w:t>
            </w:r>
          </w:p>
        </w:tc>
      </w:tr>
      <w:tr>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其他心脏疾病用药</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XC01E</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其他心脏疾病用药</w:t>
            </w:r>
          </w:p>
        </w:tc>
      </w:tr>
      <w:tr>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抗凝治疗药</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XB01AE</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直接凝血酶抑制剂</w:t>
            </w:r>
          </w:p>
        </w:tc>
      </w:tr>
      <w:tr>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XB01AA</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维生素K拮抗剂</w:t>
            </w:r>
          </w:p>
        </w:tc>
      </w:tr>
      <w:tr>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XB01AF</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直接Xa因子抑制剂</w:t>
            </w:r>
          </w:p>
        </w:tc>
      </w:tr>
      <w:tr>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抗血小板聚集药</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XB01AC</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血小板凝聚抑制剂，肝素除外</w:t>
            </w:r>
          </w:p>
        </w:tc>
      </w:tr>
      <w:tr>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抗心律失常药</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XC01B</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Ⅰ类和Ⅲ类的抗心律失常药</w:t>
            </w:r>
          </w:p>
        </w:tc>
      </w:tr>
      <w:tr>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用于心脏疾患的血管扩张药</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XC01D</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用于心脏疾患的血管扩张药</w:t>
            </w:r>
          </w:p>
        </w:tc>
      </w:tr>
      <w:tr>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调节血脂药</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XC10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调节血脂药</w:t>
            </w:r>
          </w:p>
        </w:tc>
      </w:tr>
      <w:tr>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钠葡萄糖协同转运蛋白2(SGLT-2)抑制剂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XA10BK</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钠葡萄糖协同转运蛋白2(SGLT-2)抑制剂</w:t>
            </w:r>
          </w:p>
        </w:tc>
      </w:tr>
      <w:tr>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洋地黄类药物</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XC01A</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强心苷</w:t>
            </w:r>
          </w:p>
        </w:tc>
      </w:tr>
      <w:tr>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作用于肾素-血管紧张素系统的药物</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XC09A</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血管紧张素转换酶抑制剂的单方药</w:t>
            </w:r>
          </w:p>
        </w:tc>
      </w:tr>
      <w:tr>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XC09B</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血管紧张素转换酶抑制剂的复方制剂</w:t>
            </w:r>
          </w:p>
        </w:tc>
      </w:tr>
      <w:tr>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XC09C</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血管紧张素Ⅱ拮抗剂的单方药</w:t>
            </w:r>
          </w:p>
        </w:tc>
      </w:tr>
      <w:tr>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XC09D</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血管紧张素Ⅱ拮抗剂的复方制剂</w:t>
            </w:r>
          </w:p>
        </w:tc>
      </w:tr>
      <w:tr>
        <w:tblPrEx>
          <w:tblCellMar>
            <w:top w:w="0" w:type="dxa"/>
            <w:left w:w="108" w:type="dxa"/>
            <w:bottom w:w="0" w:type="dxa"/>
            <w:right w:w="108" w:type="dxa"/>
          </w:tblCellMar>
        </w:tblPrEx>
        <w:trPr>
          <w:trHeight w:val="91" w:hRule="atLeast"/>
        </w:trPr>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 w:val="24"/>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28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医保目录医疗服务项目编码</w:t>
            </w:r>
          </w:p>
        </w:tc>
        <w:tc>
          <w:tcPr>
            <w:tcW w:w="3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电解质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250304001</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钾测定</w:t>
            </w:r>
          </w:p>
        </w:tc>
      </w:tr>
      <w:tr>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250304002</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钠测定</w:t>
            </w:r>
          </w:p>
        </w:tc>
      </w:tr>
      <w:tr>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250304003</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氯测定</w:t>
            </w:r>
          </w:p>
        </w:tc>
      </w:tr>
      <w:tr>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250304004</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钙测定</w:t>
            </w:r>
          </w:p>
        </w:tc>
      </w:tr>
      <w:tr>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250304010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血清碳酸氢盐(HCO3)测定</w:t>
            </w:r>
          </w:p>
        </w:tc>
      </w:tr>
      <w:tr>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肾功能</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250307002</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肌酐测定</w:t>
            </w:r>
          </w:p>
        </w:tc>
      </w:tr>
      <w:tr>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250307001</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尿素测定</w:t>
            </w:r>
          </w:p>
        </w:tc>
      </w:tr>
      <w:tr>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250307005</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血清尿酸测定</w:t>
            </w:r>
          </w:p>
        </w:tc>
      </w:tr>
      <w:tr>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250303004</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血清高密度脂蛋白胆固醇测定</w:t>
            </w:r>
          </w:p>
        </w:tc>
      </w:tr>
      <w:tr>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250303002</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血清甘油三酯测定</w:t>
            </w:r>
          </w:p>
        </w:tc>
      </w:tr>
      <w:tr>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250303001</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血清总胆固醇测定</w:t>
            </w:r>
          </w:p>
        </w:tc>
      </w:tr>
      <w:tr>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CEHP1000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脂蛋白a(LPa)测定</w:t>
            </w:r>
          </w:p>
        </w:tc>
      </w:tr>
      <w:tr>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250303005</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血清低密度脂蛋白胆固醇测定</w:t>
            </w:r>
          </w:p>
        </w:tc>
      </w:tr>
      <w:tr>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心肌酶谱</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250306001</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血清肌酸激酶测定</w:t>
            </w:r>
          </w:p>
        </w:tc>
      </w:tr>
      <w:tr>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250306005</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乳酸脱氢酶测定</w:t>
            </w:r>
          </w:p>
        </w:tc>
      </w:tr>
      <w:tr>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250306002</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血清肌酸激酶－MB同工酶活性测定</w:t>
            </w:r>
          </w:p>
        </w:tc>
      </w:tr>
      <w:tr>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肌钙蛋白</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250306008</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血清肌钙蛋白T测定</w:t>
            </w:r>
          </w:p>
        </w:tc>
      </w:tr>
      <w:tr>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250306009</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血清肌钙蛋白Ⅰ测定</w:t>
            </w:r>
          </w:p>
        </w:tc>
      </w:tr>
      <w:tr>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250306010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血清肌红蛋白测定</w:t>
            </w:r>
          </w:p>
        </w:tc>
      </w:tr>
      <w:tr>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BNP (NT-pro BNP)</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250306012</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B型钠尿肽(BNP)</w:t>
            </w:r>
          </w:p>
        </w:tc>
      </w:tr>
      <w:tr>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250306013</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B型钠尿肽前体(PRO-BNP)测定</w:t>
            </w:r>
          </w:p>
        </w:tc>
      </w:tr>
      <w:tr>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心脏X线</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210102015</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数字化X线摄影(DR)</w:t>
            </w:r>
          </w:p>
        </w:tc>
      </w:tr>
      <w:tr>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210102016</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计算机X线摄影(ComputedRadiography,CR)</w:t>
            </w:r>
          </w:p>
        </w:tc>
      </w:tr>
      <w:tr>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心电图（常规、动态、频谱）</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310701001</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常规心电图检查</w:t>
            </w:r>
          </w:p>
        </w:tc>
      </w:tr>
      <w:tr>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310701003</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动态心电图</w:t>
            </w:r>
          </w:p>
        </w:tc>
      </w:tr>
      <w:tr>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310701004</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频谱心电图</w:t>
            </w:r>
          </w:p>
        </w:tc>
      </w:tr>
      <w:tr>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310701007</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心电事件记录</w:t>
            </w:r>
          </w:p>
        </w:tc>
      </w:tr>
      <w:tr>
        <w:tblPrEx>
          <w:tblCellMar>
            <w:top w:w="0" w:type="dxa"/>
            <w:left w:w="108" w:type="dxa"/>
            <w:bottom w:w="0" w:type="dxa"/>
            <w:right w:w="108" w:type="dxa"/>
          </w:tblCellMar>
        </w:tblPrEx>
        <w:trPr>
          <w:trHeight w:val="91"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心脏超声</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220600004</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心脏彩色多普勒超声</w:t>
            </w:r>
          </w:p>
        </w:tc>
      </w:tr>
    </w:tbl>
    <w:p>
      <w:pPr>
        <w:spacing w:line="340" w:lineRule="exac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pPr>
        <w:tabs>
          <w:tab w:val="left" w:pos="596"/>
        </w:tabs>
        <w:spacing w:line="340" w:lineRule="exact"/>
        <w:rPr>
          <w:rFonts w:ascii="Times New Roman" w:hAnsi="Times New Roman" w:eastAsia="黑体"/>
          <w:color w:val="000000" w:themeColor="text1"/>
          <w:sz w:val="30"/>
          <w:szCs w:val="30"/>
          <w14:textFill>
            <w14:solidFill>
              <w14:schemeClr w14:val="tx1"/>
            </w14:solidFill>
          </w14:textFill>
        </w:rPr>
      </w:pPr>
      <w:r>
        <w:rPr>
          <w:rFonts w:hint="eastAsia" w:ascii="Times New Roman" w:hAnsi="Times New Roman" w:eastAsia="黑体"/>
          <w:color w:val="000000" w:themeColor="text1"/>
          <w:sz w:val="30"/>
          <w:szCs w:val="30"/>
          <w14:textFill>
            <w14:solidFill>
              <w14:schemeClr w14:val="tx1"/>
            </w14:solidFill>
          </w14:textFill>
        </w:rPr>
        <w:t>8</w:t>
      </w:r>
      <w:r>
        <w:rPr>
          <w:rFonts w:ascii="Times New Roman" w:hAnsi="Times New Roman" w:eastAsia="黑体"/>
          <w:color w:val="000000" w:themeColor="text1"/>
          <w:sz w:val="30"/>
          <w:szCs w:val="30"/>
          <w14:textFill>
            <w14:solidFill>
              <w14:schemeClr w14:val="tx1"/>
            </w14:solidFill>
          </w14:textFill>
        </w:rPr>
        <w:t>.克山病</w:t>
      </w:r>
    </w:p>
    <w:tbl>
      <w:tblPr>
        <w:tblStyle w:val="4"/>
        <w:tblW w:w="8813" w:type="dxa"/>
        <w:tblInd w:w="93" w:type="dxa"/>
        <w:tblLayout w:type="autofit"/>
        <w:tblCellMar>
          <w:top w:w="0" w:type="dxa"/>
          <w:left w:w="108" w:type="dxa"/>
          <w:bottom w:w="0" w:type="dxa"/>
          <w:right w:w="108" w:type="dxa"/>
        </w:tblCellMar>
      </w:tblPr>
      <w:tblGrid>
        <w:gridCol w:w="699"/>
        <w:gridCol w:w="3141"/>
        <w:gridCol w:w="1988"/>
        <w:gridCol w:w="2985"/>
      </w:tblGrid>
      <w:tr>
        <w:tblPrEx>
          <w:tblCellMar>
            <w:top w:w="0" w:type="dxa"/>
            <w:left w:w="108" w:type="dxa"/>
            <w:bottom w:w="0" w:type="dxa"/>
            <w:right w:w="108" w:type="dxa"/>
          </w:tblCellMar>
        </w:tblPrEx>
        <w:trPr>
          <w:trHeight w:val="422"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3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克山病</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E59.x01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克山病</w:t>
            </w:r>
          </w:p>
        </w:tc>
      </w:tr>
      <w:tr>
        <w:tblPrEx>
          <w:tblCellMar>
            <w:top w:w="0" w:type="dxa"/>
            <w:left w:w="108" w:type="dxa"/>
            <w:bottom w:w="0" w:type="dxa"/>
            <w:right w:w="108" w:type="dxa"/>
          </w:tblCellMar>
        </w:tblPrEx>
        <w:trPr>
          <w:trHeight w:val="91"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8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在克山病病区连续生活六个月以上，有活动耐量下降或胸闷、心悸、腹胀、纳差、下肢水肿等临床表现，伴心脏彩超提示左室扩大，左室射血分数降低；或无明显临床症状但心脏彩超提示左室扩大，左室射血分数降低。心脏彩超符合下述表现：</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一、左心室舒张末内径（LVEDD）＞5.0cm（女性）和LVEDD＞5.5cm（男性）（或大于年龄和体表面积预测值的117%，即预测值的2倍SD+5%）；</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二、左室射血分数（LVEF）＜50%；</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三、除外高血压、心脏瓣膜病、先天性心脏病或缺血性心脏病能解释的心脏扩大、射血分数降低。</w:t>
            </w:r>
          </w:p>
        </w:tc>
      </w:tr>
      <w:tr>
        <w:tblPrEx>
          <w:tblCellMar>
            <w:top w:w="0" w:type="dxa"/>
            <w:left w:w="108" w:type="dxa"/>
            <w:bottom w:w="0" w:type="dxa"/>
            <w:right w:w="108" w:type="dxa"/>
          </w:tblCellMar>
        </w:tblPrEx>
        <w:trPr>
          <w:trHeight w:val="91"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医保目录药品分类代码</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利尿剂</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XC03A</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低效利尿药</w:t>
            </w:r>
          </w:p>
        </w:tc>
      </w:tr>
      <w:tr>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XC03C</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高效利尿药</w:t>
            </w:r>
          </w:p>
        </w:tc>
      </w:tr>
      <w:tr>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XC03D</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保钾利尿药</w:t>
            </w:r>
          </w:p>
        </w:tc>
      </w:tr>
      <w:tr>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β受体阻滞剂</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β-受体阻滞剂</w:t>
            </w:r>
          </w:p>
        </w:tc>
      </w:tr>
      <w:tr>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其他心脏疾病用药</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XC01E</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其他心脏疾病用药</w:t>
            </w:r>
          </w:p>
        </w:tc>
      </w:tr>
      <w:tr>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抗凝治疗药</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XB01AE</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直接凝血酶抑制剂</w:t>
            </w:r>
          </w:p>
        </w:tc>
      </w:tr>
      <w:tr>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XB01AA</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维生素K拮抗剂</w:t>
            </w:r>
          </w:p>
        </w:tc>
      </w:tr>
      <w:tr>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XB01AF</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直接Xa因子抑制剂</w:t>
            </w:r>
          </w:p>
        </w:tc>
      </w:tr>
      <w:tr>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抗血小板聚集药</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XB01AC</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血小板凝聚抑制剂，肝素除外</w:t>
            </w:r>
          </w:p>
        </w:tc>
      </w:tr>
      <w:tr>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抗心律失常药</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XC01B</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Ⅰ类和Ⅲ类的抗心律失常药</w:t>
            </w:r>
          </w:p>
        </w:tc>
      </w:tr>
      <w:tr>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用于心脏疾患的血管扩张药</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XC01D</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用于心脏疾患的血管扩张药</w:t>
            </w:r>
          </w:p>
        </w:tc>
      </w:tr>
      <w:tr>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调节血脂药</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XC10AA</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HMG-CoA还原酶抑制剂</w:t>
            </w:r>
          </w:p>
        </w:tc>
      </w:tr>
      <w:tr>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XC10AB</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贝特类</w:t>
            </w:r>
          </w:p>
        </w:tc>
      </w:tr>
      <w:tr>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XC10AX</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其他调节血脂药</w:t>
            </w:r>
          </w:p>
        </w:tc>
      </w:tr>
      <w:tr>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钠葡萄糖协同转运蛋白2(SGLT-2)抑制剂</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XA10BK</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钠葡萄糖协同转运蛋白2(SGLT-2)抑制剂</w:t>
            </w:r>
          </w:p>
        </w:tc>
      </w:tr>
      <w:tr>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洋地黄类药物</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XC01A</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强心苷</w:t>
            </w:r>
          </w:p>
        </w:tc>
      </w:tr>
      <w:tr>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作用于肾素-血管紧张素系统的药物</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XC09A</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血管紧张素转换酶抑制剂的单方药</w:t>
            </w:r>
          </w:p>
        </w:tc>
      </w:tr>
      <w:tr>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XC09B</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血管紧张素转换酶抑制剂的复方制剂</w:t>
            </w:r>
          </w:p>
        </w:tc>
      </w:tr>
      <w:tr>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XC09C</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血管紧张素Ⅱ拮抗剂的单方药</w:t>
            </w:r>
          </w:p>
        </w:tc>
      </w:tr>
      <w:tr>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XC09D</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血管紧张素Ⅱ拮抗剂的复方制剂</w:t>
            </w:r>
          </w:p>
        </w:tc>
      </w:tr>
      <w:tr>
        <w:tblPrEx>
          <w:tblCellMar>
            <w:top w:w="0" w:type="dxa"/>
            <w:left w:w="108" w:type="dxa"/>
            <w:bottom w:w="0" w:type="dxa"/>
            <w:right w:w="108" w:type="dxa"/>
          </w:tblCellMar>
        </w:tblPrEx>
        <w:trPr>
          <w:trHeight w:val="91"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 w:val="24"/>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31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医保目录医疗服务项目编码</w:t>
            </w: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电解质</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钾测定</w:t>
            </w:r>
          </w:p>
        </w:tc>
      </w:tr>
      <w:tr>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钠测定</w:t>
            </w:r>
          </w:p>
        </w:tc>
      </w:tr>
      <w:tr>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氯测定</w:t>
            </w:r>
          </w:p>
        </w:tc>
      </w:tr>
      <w:tr>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钙测定</w:t>
            </w:r>
          </w:p>
        </w:tc>
      </w:tr>
      <w:tr>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250304010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血清碳酸氢盐(HCO3)测定</w:t>
            </w:r>
          </w:p>
        </w:tc>
      </w:tr>
      <w:tr>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肾功能</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肌酐测定</w:t>
            </w:r>
          </w:p>
        </w:tc>
      </w:tr>
      <w:tr>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尿素测定</w:t>
            </w:r>
          </w:p>
        </w:tc>
      </w:tr>
      <w:tr>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血清尿酸测定</w:t>
            </w:r>
          </w:p>
        </w:tc>
      </w:tr>
      <w:tr>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血脂</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血清高密度脂蛋白胆固醇测定</w:t>
            </w:r>
          </w:p>
        </w:tc>
      </w:tr>
      <w:tr>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血清甘油三酯测定</w:t>
            </w:r>
          </w:p>
        </w:tc>
      </w:tr>
      <w:tr>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血清总胆固醇测定</w:t>
            </w:r>
          </w:p>
        </w:tc>
      </w:tr>
      <w:tr>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CEHP1000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脂蛋白a(LPa)测定</w:t>
            </w:r>
          </w:p>
        </w:tc>
      </w:tr>
      <w:tr>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血清低密度脂蛋白胆固醇测定</w:t>
            </w:r>
          </w:p>
        </w:tc>
      </w:tr>
      <w:tr>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心肌酶谱</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250306001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血清肌酸激酶测定</w:t>
            </w:r>
          </w:p>
        </w:tc>
      </w:tr>
      <w:tr>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250306005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乳酸脱氢酶测定</w:t>
            </w:r>
          </w:p>
        </w:tc>
      </w:tr>
      <w:tr>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250306002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血清肌酸激酶－MB同工酶活性测定</w:t>
            </w:r>
          </w:p>
        </w:tc>
      </w:tr>
      <w:tr>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肌钙蛋白</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250306008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血清肌钙蛋白T测定</w:t>
            </w:r>
          </w:p>
        </w:tc>
      </w:tr>
      <w:tr>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250306009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血清肌钙蛋白Ⅰ测定</w:t>
            </w:r>
          </w:p>
        </w:tc>
      </w:tr>
      <w:tr>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250306010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血清肌红蛋白测定</w:t>
            </w:r>
          </w:p>
        </w:tc>
      </w:tr>
      <w:tr>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BNP (NT-pro BNP)</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250306012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B型钠尿肽(BNP)</w:t>
            </w:r>
          </w:p>
        </w:tc>
      </w:tr>
      <w:tr>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250306013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B型钠尿肽前体(PRO-BNP)测定</w:t>
            </w:r>
          </w:p>
        </w:tc>
      </w:tr>
      <w:tr>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心脏X线</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210102015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数字化X线摄影(DR)</w:t>
            </w:r>
          </w:p>
        </w:tc>
      </w:tr>
      <w:tr>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210102016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计算机X线摄影(ComputedRadiography,CR)</w:t>
            </w:r>
          </w:p>
        </w:tc>
      </w:tr>
      <w:tr>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心电图（常规、动态、频谱）</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310701001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常规心电图检查</w:t>
            </w:r>
          </w:p>
        </w:tc>
      </w:tr>
      <w:tr>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310701003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动态心电图</w:t>
            </w:r>
          </w:p>
        </w:tc>
      </w:tr>
      <w:tr>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310701004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频谱心电图</w:t>
            </w:r>
          </w:p>
        </w:tc>
      </w:tr>
      <w:tr>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310701007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心电事件记录</w:t>
            </w:r>
          </w:p>
        </w:tc>
      </w:tr>
      <w:tr>
        <w:tblPrEx>
          <w:tblCellMar>
            <w:top w:w="0" w:type="dxa"/>
            <w:left w:w="108" w:type="dxa"/>
            <w:bottom w:w="0" w:type="dxa"/>
            <w:right w:w="108" w:type="dxa"/>
          </w:tblCellMar>
        </w:tblPrEx>
        <w:trPr>
          <w:trHeight w:val="91"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心脏超声</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220600004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心脏彩色多普勒超声</w:t>
            </w:r>
          </w:p>
        </w:tc>
      </w:tr>
    </w:tbl>
    <w:p>
      <w:pPr>
        <w:spacing w:line="340" w:lineRule="exact"/>
        <w:rPr>
          <w:rFonts w:ascii="Times New Roman" w:hAnsi="Times New Roman"/>
          <w:color w:val="000000" w:themeColor="text1"/>
          <w:sz w:val="30"/>
          <w:szCs w:val="30"/>
          <w14:textFill>
            <w14:solidFill>
              <w14:schemeClr w14:val="tx1"/>
            </w14:solidFill>
          </w14:textFill>
        </w:rPr>
      </w:pPr>
    </w:p>
    <w:p>
      <w:pPr>
        <w:spacing w:line="340" w:lineRule="exact"/>
        <w:rPr>
          <w:rFonts w:ascii="Times New Roman" w:hAnsi="Times New Roman"/>
          <w:color w:val="000000" w:themeColor="text1"/>
          <w:sz w:val="30"/>
          <w:szCs w:val="30"/>
          <w14:textFill>
            <w14:solidFill>
              <w14:schemeClr w14:val="tx1"/>
            </w14:solidFill>
          </w14:textFill>
        </w:rPr>
      </w:pPr>
    </w:p>
    <w:p>
      <w:pPr>
        <w:spacing w:line="340" w:lineRule="exact"/>
        <w:rPr>
          <w:rFonts w:ascii="Times New Roman" w:hAnsi="Times New Roman"/>
          <w:color w:val="000000" w:themeColor="text1"/>
          <w:sz w:val="30"/>
          <w:szCs w:val="30"/>
          <w14:textFill>
            <w14:solidFill>
              <w14:schemeClr w14:val="tx1"/>
            </w14:solidFill>
          </w14:textFill>
        </w:rPr>
      </w:pPr>
    </w:p>
    <w:p>
      <w:pPr>
        <w:tabs>
          <w:tab w:val="left" w:pos="596"/>
        </w:tabs>
        <w:spacing w:line="340" w:lineRule="exact"/>
        <w:rPr>
          <w:rFonts w:ascii="Times New Roman" w:hAnsi="Times New Roman" w:eastAsia="黑体"/>
          <w:color w:val="000000" w:themeColor="text1"/>
          <w:sz w:val="30"/>
          <w:szCs w:val="30"/>
          <w14:textFill>
            <w14:solidFill>
              <w14:schemeClr w14:val="tx1"/>
            </w14:solidFill>
          </w14:textFill>
        </w:rPr>
      </w:pPr>
      <w:r>
        <w:rPr>
          <w:rFonts w:hint="eastAsia" w:ascii="Times New Roman" w:hAnsi="Times New Roman" w:eastAsia="黑体"/>
          <w:color w:val="000000" w:themeColor="text1"/>
          <w:sz w:val="30"/>
          <w:szCs w:val="30"/>
          <w14:textFill>
            <w14:solidFill>
              <w14:schemeClr w14:val="tx1"/>
            </w14:solidFill>
          </w14:textFill>
        </w:rPr>
        <w:t>9</w:t>
      </w:r>
      <w:r>
        <w:rPr>
          <w:rFonts w:ascii="Times New Roman" w:hAnsi="Times New Roman" w:eastAsia="黑体"/>
          <w:color w:val="000000" w:themeColor="text1"/>
          <w:sz w:val="30"/>
          <w:szCs w:val="30"/>
          <w14:textFill>
            <w14:solidFill>
              <w14:schemeClr w14:val="tx1"/>
            </w14:solidFill>
          </w14:textFill>
        </w:rPr>
        <w:t>.阿尔茨海默病</w:t>
      </w:r>
    </w:p>
    <w:tbl>
      <w:tblPr>
        <w:tblStyle w:val="4"/>
        <w:tblW w:w="8858" w:type="dxa"/>
        <w:tblInd w:w="93" w:type="dxa"/>
        <w:tblLayout w:type="fixed"/>
        <w:tblCellMar>
          <w:top w:w="0" w:type="dxa"/>
          <w:left w:w="108" w:type="dxa"/>
          <w:bottom w:w="0" w:type="dxa"/>
          <w:right w:w="108" w:type="dxa"/>
        </w:tblCellMar>
      </w:tblPr>
      <w:tblGrid>
        <w:gridCol w:w="833"/>
        <w:gridCol w:w="1243"/>
        <w:gridCol w:w="1727"/>
        <w:gridCol w:w="1813"/>
        <w:gridCol w:w="3242"/>
      </w:tblGrid>
      <w:tr>
        <w:tblPrEx>
          <w:tblCellMar>
            <w:top w:w="0" w:type="dxa"/>
            <w:left w:w="108" w:type="dxa"/>
            <w:bottom w:w="0" w:type="dxa"/>
            <w:right w:w="108" w:type="dxa"/>
          </w:tblCellMar>
        </w:tblPrEx>
        <w:trPr>
          <w:trHeight w:val="524" w:hRule="atLeast"/>
        </w:trPr>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阿尔茨海默病</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G30.000</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阿尔茨海默病伴有早期发病</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G30.000x002</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家族性阿尔茨海默病（老年前期型）</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G30.000x003+F00.0*</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阿尔茨海默病性痴呆（老年前期型）</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G30.000x004+F00.0*</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家族性阿尔茨海默病性痴呆（老年前期型）</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G30.100</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阿尔茨海默病伴有晚期发病</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G30.100x002+F00.1*</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家族性阿尔茨海默病性痴呆（老年型）</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G30.100x003+F00.1*</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阿尔茨海默病性痴呆（老年型）</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G30.800</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阿尔茨海默病,其他的</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G30.800x001</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阿尔茨海默病（混合型）</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G30.800x003+F00.2*</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混合性痴呆</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G30.801+F00.2*</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混合型阿尔茨海默病性痴呆伴幻觉妄想状态</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G30.802+F00.2*</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混合型阿尔茨海默病性痴呆伴抑郁状态</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G30.900</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阿尔茨海默病</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G30.901+F00.9*</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阿尔茨海默病性痴呆</w:t>
            </w:r>
          </w:p>
        </w:tc>
      </w:tr>
      <w:tr>
        <w:tblPrEx>
          <w:tblCellMar>
            <w:top w:w="0" w:type="dxa"/>
            <w:left w:w="108" w:type="dxa"/>
            <w:bottom w:w="0" w:type="dxa"/>
            <w:right w:w="108" w:type="dxa"/>
          </w:tblCellMar>
        </w:tblPrEx>
        <w:trPr>
          <w:trHeight w:val="91"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80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spacing w:line="34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ascii="Times New Roman" w:hAnsi="Times New Roman" w:eastAsia="方正仿宋_GBK" w:cs="方正仿宋_GBK"/>
                <w:color w:val="000000" w:themeColor="text1"/>
                <w:kern w:val="0"/>
                <w:sz w:val="21"/>
                <w:szCs w:val="21"/>
                <w:lang w:val="en-US" w:eastAsia="zh-CN" w:bidi="ar"/>
                <w14:textFill>
                  <w14:solidFill>
                    <w14:schemeClr w14:val="tx1"/>
                  </w14:solidFill>
                </w14:textFill>
              </w:rPr>
              <w:t>1.</w:t>
            </w:r>
            <w:r>
              <w:rPr>
                <w:rFonts w:ascii="Times New Roman" w:hAnsi="Times New Roman" w:eastAsia="方正仿宋_GBK" w:cs="方正仿宋_GBK"/>
                <w:color w:val="000000" w:themeColor="text1"/>
                <w:kern w:val="0"/>
                <w:szCs w:val="21"/>
                <w:lang w:bidi="ar"/>
                <w14:textFill>
                  <w14:solidFill>
                    <w14:schemeClr w14:val="tx1"/>
                  </w14:solidFill>
                </w14:textFill>
              </w:rPr>
              <w:t>符合《ICD—10国际疾病分类与诊断标准（第十版）-精神与行为障碍》中关于阿尔茨海默病（F00）的诊断标准。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(a)以遗忘为主的记忆性认知功能损害（或）语言功能、视空间、执行功能或者人格精神行为异常;</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(b)潜隐起病，缓慢退化，通常难以指明起病的时间，但他人会突然察觉到症状的存在。疾病进展过程中会出现明显的高台期。</w:t>
            </w:r>
          </w:p>
          <w:p>
            <w:pPr>
              <w:widowControl/>
              <w:numPr>
                <w:ilvl w:val="0"/>
                <w:numId w:val="0"/>
              </w:numPr>
              <w:spacing w:line="34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(c)无临床依据或特殊检查的结果能够提示精神障碍是由其它可引起痴呆的全身性疾病或脑的疾病所致(例如，甲状腺功能低下高血钙、维生素B12缺乏、烟酸缺乏、神经梅毒、正常压力脑积水或硬膜下血肿);</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(d)缺乏突然性、卒中样发作，在疾病早期无局灶性神经系统损害的体征，如轻瘫、感觉丧失、视野缺损及运动协调不良(但这些症状会在疾病晚期出现)。</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2.客观认知功能检查证明有认知功能下降，简易精神量表（MMSE）得分：文盲≤17分，小学程度≤20分，中学以上文化程度≤26分。P300&gt;365ms。日常生活能力量表（ADL）检查提示一项或多项功能下降。头颅CT或MRI提示脑萎缩。</w:t>
            </w:r>
          </w:p>
          <w:p>
            <w:pPr>
              <w:widowControl/>
              <w:numPr>
                <w:ilvl w:val="0"/>
                <w:numId w:val="0"/>
              </w:numPr>
              <w:spacing w:line="340" w:lineRule="exact"/>
              <w:jc w:val="left"/>
              <w:textAlignment w:val="center"/>
              <w:rPr>
                <w:rFonts w:hint="default" w:ascii="Times New Roman" w:hAnsi="Times New Roman" w:eastAsia="方正仿宋_GBK" w:cs="方正仿宋_GBK"/>
                <w:color w:val="000000" w:themeColor="text1"/>
                <w:kern w:val="0"/>
                <w:szCs w:val="21"/>
                <w:lang w:val="en-US" w:eastAsia="zh-CN" w:bidi="ar"/>
                <w14:textFill>
                  <w14:solidFill>
                    <w14:schemeClr w14:val="tx1"/>
                  </w14:solidFill>
                </w14:textFill>
              </w:rPr>
            </w:pPr>
            <w:r>
              <w:rPr>
                <w:rFonts w:hint="eastAsia" w:ascii="Times New Roman" w:hAnsi="Times New Roman" w:eastAsia="方正仿宋_GBK" w:cs="方正仿宋_GBK"/>
                <w:color w:val="000000" w:themeColor="text1"/>
                <w:kern w:val="0"/>
                <w:szCs w:val="21"/>
                <w:lang w:val="en-US" w:eastAsia="zh-CN" w:bidi="ar"/>
                <w14:textFill>
                  <w14:solidFill>
                    <w14:schemeClr w14:val="tx1"/>
                  </w14:solidFill>
                </w14:textFill>
              </w:rPr>
              <w:t>3.有相关病史资料。医院出具的出院记录(记载病情和治疗方案）和诊断证明（加盖医疗机构公章），或门诊诊疗记录（记载病情和治疗方案）6个月以上。</w:t>
            </w:r>
          </w:p>
        </w:tc>
      </w:tr>
      <w:tr>
        <w:tblPrEx>
          <w:tblCellMar>
            <w:top w:w="0" w:type="dxa"/>
            <w:left w:w="108" w:type="dxa"/>
            <w:bottom w:w="0" w:type="dxa"/>
            <w:right w:w="108" w:type="dxa"/>
          </w:tblCellMar>
        </w:tblPrEx>
        <w:trPr>
          <w:trHeight w:val="91" w:hRule="atLeast"/>
        </w:trPr>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kern w:val="0"/>
                <w:szCs w:val="21"/>
                <w:lang w:bidi="ar"/>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w:t>
            </w:r>
          </w:p>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分类代码</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w:t>
            </w:r>
            <w:r>
              <w:rPr>
                <w:rStyle w:val="9"/>
                <w:rFonts w:hint="default" w:ascii="Times New Roman" w:hAnsi="Times New Roman"/>
                <w:color w:val="000000" w:themeColor="text1"/>
                <w:sz w:val="21"/>
                <w:szCs w:val="21"/>
                <w:lang w:bidi="ar"/>
                <w14:textFill>
                  <w14:solidFill>
                    <w14:schemeClr w14:val="tx1"/>
                  </w14:solidFill>
                </w14:textFill>
              </w:rPr>
              <w:t>名称</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延缓认知功能障碍的药物</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抗痴呆药</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XN06D</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抗痴呆药</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促智精神兴奋药</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XN06B</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用于儿童注意缺陷障碍伴多动症和促智的精神兴奋药</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抗精神类疾病相关药物治疗、使用抗精神病药物所致并发症的治疗及药物副反应的治疗</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精神安定药</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XN05A</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抗精神病药物</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抗抑郁药物</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XN06A</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抗抑郁药</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抗癫痫药</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XN03A</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抗癫痫药</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心境稳定剂</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XN05C</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催眠药和镇静药</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抗焦虑药物</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XN05B</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抗焦虑药</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抗帕金森类药物</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XN04</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抗帕金森氏病药</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非选择性β-受体阻滞剂</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XC07AA</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非选择性β-受体阻滞剂</w:t>
            </w:r>
          </w:p>
        </w:tc>
      </w:tr>
      <w:tr>
        <w:tblPrEx>
          <w:tblCellMar>
            <w:top w:w="0" w:type="dxa"/>
            <w:left w:w="108" w:type="dxa"/>
            <w:bottom w:w="0" w:type="dxa"/>
            <w:right w:w="108" w:type="dxa"/>
          </w:tblCellMar>
        </w:tblPrEx>
        <w:trPr>
          <w:trHeight w:val="91" w:hRule="atLeast"/>
        </w:trPr>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 w:val="24"/>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kern w:val="0"/>
                <w:szCs w:val="21"/>
                <w:lang w:bidi="ar"/>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w:t>
            </w:r>
          </w:p>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服务项目编码</w:t>
            </w:r>
          </w:p>
        </w:tc>
        <w:tc>
          <w:tcPr>
            <w:tcW w:w="3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70"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肝功能</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250305001</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血清总胆红素测定</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7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250305002</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血清直接胆红素测定</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7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250305003</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血清间接胆红素测定</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7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250305007</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血清丙氨酸氨基转移酶测定</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7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250305008</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血清天门冬氨酸氨基转移酶测定</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7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250305009</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血清γ-谷氨酰基转移酶测定</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7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250305011</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血清碱性磷酸酶测定</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7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250301001</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血清总蛋白测定</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7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250301002</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血清白蛋白测定</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7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250306005</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乳酸脱氢酶测定</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70"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肾功能</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250307005</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血清尿酸测定</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7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250307001</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尿素测定</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7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250307002</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肌酐测定</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70" w:type="dxa"/>
            <w:gridSpan w:val="2"/>
            <w:tcBorders>
              <w:top w:val="single" w:color="000000" w:sz="4" w:space="0"/>
              <w:left w:val="single" w:color="000000" w:sz="4" w:space="0"/>
              <w:bottom w:val="nil"/>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血常规</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250101015</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血细胞分析</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血脂</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250303001</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血清总胆固醇测定</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250303002</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血清甘油三酯测定</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250303004</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血清高密度脂蛋白胆固醇测定</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250303005</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血清低密度脂蛋白胆固醇测定</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70" w:type="dxa"/>
            <w:gridSpan w:val="2"/>
            <w:tcBorders>
              <w:top w:val="single" w:color="000000" w:sz="4" w:space="0"/>
              <w:left w:val="single" w:color="000000" w:sz="4" w:space="0"/>
              <w:bottom w:val="nil"/>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血糖</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250302001</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葡萄糖测定</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70"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甲状腺功能（使用锂盐医保基金支付不超过4次/年，其余医保基金支付不超过2次/年）</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250310001</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血清促甲状腺激素测定(TSH)</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7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250310010</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血清甲状腺素(T4)测定</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7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250310011</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血清三碘甲状原氨酸(T3)测定</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7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250310013</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血清游离甲状腺素(FT4)测定</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7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250310014</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血清游离三碘甲状原氨酸(FT3)测定</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70" w:type="dxa"/>
            <w:gridSpan w:val="2"/>
            <w:tcBorders>
              <w:top w:val="single" w:color="000000" w:sz="4" w:space="0"/>
              <w:left w:val="single" w:color="000000" w:sz="4" w:space="0"/>
              <w:bottom w:val="nil"/>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心电图</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310701001</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常规心电图检查</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脑电图</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310100003</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脑地形图</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310100002.20</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特殊脑电图(特殊诱发)</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70" w:type="dxa"/>
            <w:gridSpan w:val="2"/>
            <w:tcBorders>
              <w:top w:val="single" w:color="000000" w:sz="4" w:space="0"/>
              <w:left w:val="single" w:color="000000" w:sz="4" w:space="0"/>
              <w:bottom w:val="nil"/>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眼动检查</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311502002</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眼动检查</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量表（每种量表医保基金支付不超过4次/年）</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011102010010000</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临床量表评估（自评）</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011102010020000</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临床量表评估（他评）</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头部CT</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210300001.01</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X线计算机体层(CT)平扫(颅脑)</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EBABP001</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头部X线计算机体层(CT)平扫</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头部MRI</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210200001</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磁共振平扫</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ECABA001</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颅脑磁共振成像</w:t>
            </w:r>
          </w:p>
        </w:tc>
      </w:tr>
    </w:tbl>
    <w:p>
      <w:pPr>
        <w:spacing w:line="340" w:lineRule="exac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pPr>
        <w:tabs>
          <w:tab w:val="left" w:pos="312"/>
        </w:tabs>
        <w:spacing w:line="340" w:lineRule="exact"/>
        <w:rPr>
          <w:rFonts w:ascii="Times New Roman" w:hAnsi="Times New Roman" w:eastAsia="黑体"/>
          <w:color w:val="000000" w:themeColor="text1"/>
          <w:sz w:val="30"/>
          <w:szCs w:val="30"/>
          <w14:textFill>
            <w14:solidFill>
              <w14:schemeClr w14:val="tx1"/>
            </w14:solidFill>
          </w14:textFill>
        </w:rPr>
      </w:pPr>
      <w:r>
        <w:rPr>
          <w:rFonts w:hint="eastAsia" w:ascii="Times New Roman" w:hAnsi="Times New Roman" w:eastAsia="黑体"/>
          <w:color w:val="000000" w:themeColor="text1"/>
          <w:sz w:val="30"/>
          <w:szCs w:val="30"/>
          <w14:textFill>
            <w14:solidFill>
              <w14:schemeClr w14:val="tx1"/>
            </w14:solidFill>
          </w14:textFill>
        </w:rPr>
        <w:t>1</w:t>
      </w:r>
      <w:r>
        <w:rPr>
          <w:rFonts w:ascii="Times New Roman" w:hAnsi="Times New Roman" w:eastAsia="黑体"/>
          <w:color w:val="000000" w:themeColor="text1"/>
          <w:sz w:val="30"/>
          <w:szCs w:val="30"/>
          <w14:textFill>
            <w14:solidFill>
              <w14:schemeClr w14:val="tx1"/>
            </w14:solidFill>
          </w14:textFill>
        </w:rPr>
        <w:t>0.艾滋病机会性感染</w:t>
      </w:r>
    </w:p>
    <w:tbl>
      <w:tblPr>
        <w:tblStyle w:val="4"/>
        <w:tblW w:w="8691" w:type="dxa"/>
        <w:tblInd w:w="93" w:type="dxa"/>
        <w:tblLayout w:type="autofit"/>
        <w:tblCellMar>
          <w:top w:w="0" w:type="dxa"/>
          <w:left w:w="108" w:type="dxa"/>
          <w:bottom w:w="0" w:type="dxa"/>
          <w:right w:w="108" w:type="dxa"/>
        </w:tblCellMar>
      </w:tblPr>
      <w:tblGrid>
        <w:gridCol w:w="668"/>
        <w:gridCol w:w="840"/>
        <w:gridCol w:w="2247"/>
        <w:gridCol w:w="1892"/>
        <w:gridCol w:w="3044"/>
      </w:tblGrid>
      <w:tr>
        <w:tblPrEx>
          <w:tblCellMar>
            <w:top w:w="0" w:type="dxa"/>
            <w:left w:w="108" w:type="dxa"/>
            <w:bottom w:w="0" w:type="dxa"/>
            <w:right w:w="108" w:type="dxa"/>
          </w:tblCellMar>
        </w:tblPrEx>
        <w:trPr>
          <w:trHeight w:val="90" w:hRule="atLeast"/>
        </w:trPr>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 w:val="24"/>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3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艾滋病机会性感染</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B20.100x001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艾滋病伴细菌感染</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B20.200x001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艾滋病伴巨细胞病毒感染</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B20.300x001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艾滋病伴病毒感染</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B20.400x001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艾滋病伴念珠菌病</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B20.500x001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艾滋病伴真菌病</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B20.600x001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艾滋病伴卡氏肺孢子虫肺炎</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B20.700x001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艾滋病伴多发性感染</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B21.000x001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艾滋病伴卡波西肉瘤</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B21.100x001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艾滋病伴伯基特淋巴瘤</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B21.200x001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艾滋病伴非霍奇金淋巴瘤</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B22.000x003</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艾滋病性脑炎</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B22.000x004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艾滋病性脑膜炎</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B22.000x005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艾滋病性脑膜脑炎</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B24.x01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艾滋病</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B20.000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人类免疫缺陷病毒[HIV]病造成的分枝杆菌感染</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B20.800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人类免疫缺陷病毒[HIV]病造成的其他传染病和寄生虫病</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B20.900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人类免疫缺陷病毒[HIV]病造成的传染病和寄生虫病</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B21.300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人类免疫缺陷病毒[HIV]病造成的淋巴造血和有关组织的其他恶性肿瘤</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B21.700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人类免疫缺陷病毒[HIV]病造成的多发性恶性肿瘤</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B21.800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人类免疫缺陷病毒[HIV]病造成的其他恶性肿瘤</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B21.900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人类免疫缺陷病毒[HIV]病造成的恶性肿瘤</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B22.000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人类免疫缺陷病毒[HIV]病造成的脑病</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B22.100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人类免疫缺陷病毒[HIV]病造成的淋巴组织间质性肺炎</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B22.200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人类免疫缺陷病毒[HIV]病造成的消瘦综合征</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B22.700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人类免疫缺陷病毒[HIV]病造成的分类于他处的多种疾病</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B23.100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人类免疫缺陷病毒[HIV]病造成的（持续的）全身性淋巴结病</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B23.100x002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HIV感染的不典型皮肤淋巴细胞增生性疾病</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Z21.x00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无症状的人类免疫缺陷病毒[HIV]感染状态</w:t>
            </w:r>
          </w:p>
        </w:tc>
      </w:tr>
      <w:tr>
        <w:tblPrEx>
          <w:tblCellMar>
            <w:top w:w="0" w:type="dxa"/>
            <w:left w:w="108" w:type="dxa"/>
            <w:bottom w:w="0" w:type="dxa"/>
            <w:right w:w="108" w:type="dxa"/>
          </w:tblCellMar>
        </w:tblPrEx>
        <w:trPr>
          <w:trHeight w:val="90"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80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楷体_GBK" w:cs="方正楷体_GBK"/>
                <w:b/>
                <w:bCs/>
                <w:color w:val="000000" w:themeColor="text1"/>
                <w:szCs w:val="21"/>
                <w14:textFill>
                  <w14:solidFill>
                    <w14:schemeClr w14:val="tx1"/>
                  </w14:solidFill>
                </w14:textFill>
              </w:rPr>
            </w:pPr>
            <w:r>
              <w:rPr>
                <w:rStyle w:val="10"/>
                <w:rFonts w:ascii="Times New Roman" w:hAnsi="Times New Roman"/>
                <w:color w:val="000000" w:themeColor="text1"/>
                <w:sz w:val="21"/>
                <w:szCs w:val="21"/>
                <w:lang w:bidi="ar"/>
                <w14:textFill>
                  <w14:solidFill>
                    <w14:schemeClr w14:val="tx1"/>
                  </w14:solidFill>
                </w14:textFill>
              </w:rPr>
              <w:t>诊断为HIV感染，符合下列一项者即可纳入：</w:t>
            </w:r>
            <w:r>
              <w:rPr>
                <w:rStyle w:val="10"/>
                <w:rFonts w:ascii="Times New Roman" w:hAnsi="Times New Roman"/>
                <w:color w:val="000000" w:themeColor="text1"/>
                <w:sz w:val="21"/>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（一）CD4小于200个/ul或者合并各种机会性感染及肿瘤；</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（二）CD4大于200个/ul合并结核感染；</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（三）其他：HIV相关性肾病、活动性乙型肝炎、活动性丙型肝炎、特发性血小板减少症。</w:t>
            </w:r>
          </w:p>
        </w:tc>
      </w:tr>
      <w:tr>
        <w:tblPrEx>
          <w:tblCellMar>
            <w:top w:w="0" w:type="dxa"/>
            <w:left w:w="108" w:type="dxa"/>
            <w:bottom w:w="0" w:type="dxa"/>
            <w:right w:w="108" w:type="dxa"/>
          </w:tblCellMar>
        </w:tblPrEx>
        <w:trPr>
          <w:trHeight w:val="90" w:hRule="atLeast"/>
        </w:trPr>
        <w:tc>
          <w:tcPr>
            <w:tcW w:w="6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30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892"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医保目录药品分类代码</w:t>
            </w:r>
          </w:p>
        </w:tc>
        <w:tc>
          <w:tcPr>
            <w:tcW w:w="3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0" w:hRule="atLeast"/>
        </w:trPr>
        <w:tc>
          <w:tcPr>
            <w:tcW w:w="6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8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病原治疗</w:t>
            </w:r>
          </w:p>
        </w:tc>
        <w:tc>
          <w:tcPr>
            <w:tcW w:w="224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抗HIV药物</w:t>
            </w:r>
          </w:p>
        </w:tc>
        <w:tc>
          <w:tcPr>
            <w:tcW w:w="189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XJ05AF</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核苷及核苷酸逆转录酶抑制剂</w:t>
            </w:r>
          </w:p>
        </w:tc>
      </w:tr>
      <w:tr>
        <w:tblPrEx>
          <w:tblCellMar>
            <w:top w:w="0" w:type="dxa"/>
            <w:left w:w="108" w:type="dxa"/>
            <w:bottom w:w="0" w:type="dxa"/>
            <w:right w:w="108" w:type="dxa"/>
          </w:tblCellMar>
        </w:tblPrEx>
        <w:trPr>
          <w:trHeight w:val="90" w:hRule="atLeast"/>
        </w:trPr>
        <w:tc>
          <w:tcPr>
            <w:tcW w:w="6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24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XJ05AG</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非核苷逆转录酶抑制剂</w:t>
            </w:r>
          </w:p>
        </w:tc>
      </w:tr>
      <w:tr>
        <w:tblPrEx>
          <w:tblCellMar>
            <w:top w:w="0" w:type="dxa"/>
            <w:left w:w="108" w:type="dxa"/>
            <w:bottom w:w="0" w:type="dxa"/>
            <w:right w:w="108" w:type="dxa"/>
          </w:tblCellMar>
        </w:tblPrEx>
        <w:trPr>
          <w:trHeight w:val="90" w:hRule="atLeast"/>
        </w:trPr>
        <w:tc>
          <w:tcPr>
            <w:tcW w:w="6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24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XJ05AR</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艾滋病毒感染的抗病毒药物</w:t>
            </w:r>
          </w:p>
        </w:tc>
      </w:tr>
      <w:tr>
        <w:tblPrEx>
          <w:tblCellMar>
            <w:top w:w="0" w:type="dxa"/>
            <w:left w:w="108" w:type="dxa"/>
            <w:bottom w:w="0" w:type="dxa"/>
            <w:right w:w="108" w:type="dxa"/>
          </w:tblCellMar>
        </w:tblPrEx>
        <w:trPr>
          <w:trHeight w:val="90" w:hRule="atLeast"/>
        </w:trPr>
        <w:tc>
          <w:tcPr>
            <w:tcW w:w="6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2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抗分枝杆菌药物（包括结核分枝杆菌及非结核分枝杆菌）</w:t>
            </w:r>
          </w:p>
        </w:tc>
        <w:tc>
          <w:tcPr>
            <w:tcW w:w="189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XJ04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抗分枝杆菌药</w:t>
            </w:r>
          </w:p>
        </w:tc>
      </w:tr>
      <w:tr>
        <w:tblPrEx>
          <w:tblCellMar>
            <w:top w:w="0" w:type="dxa"/>
            <w:left w:w="108" w:type="dxa"/>
            <w:bottom w:w="0" w:type="dxa"/>
            <w:right w:w="108" w:type="dxa"/>
          </w:tblCellMar>
        </w:tblPrEx>
        <w:trPr>
          <w:trHeight w:val="90" w:hRule="atLeast"/>
        </w:trPr>
        <w:tc>
          <w:tcPr>
            <w:tcW w:w="6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2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XJ01M</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喹诺酮类抗菌药</w:t>
            </w:r>
          </w:p>
        </w:tc>
      </w:tr>
      <w:tr>
        <w:tblPrEx>
          <w:tblCellMar>
            <w:top w:w="0" w:type="dxa"/>
            <w:left w:w="108" w:type="dxa"/>
            <w:bottom w:w="0" w:type="dxa"/>
            <w:right w:w="108" w:type="dxa"/>
          </w:tblCellMar>
        </w:tblPrEx>
        <w:trPr>
          <w:trHeight w:val="90" w:hRule="atLeast"/>
        </w:trPr>
        <w:tc>
          <w:tcPr>
            <w:tcW w:w="6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2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XJ01G</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氨基糖苷类抗菌药</w:t>
            </w:r>
          </w:p>
        </w:tc>
      </w:tr>
      <w:tr>
        <w:tblPrEx>
          <w:tblCellMar>
            <w:top w:w="0" w:type="dxa"/>
            <w:left w:w="108" w:type="dxa"/>
            <w:bottom w:w="0" w:type="dxa"/>
            <w:right w:w="108" w:type="dxa"/>
          </w:tblCellMar>
        </w:tblPrEx>
        <w:trPr>
          <w:trHeight w:val="90" w:hRule="atLeast"/>
        </w:trPr>
        <w:tc>
          <w:tcPr>
            <w:tcW w:w="6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2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XJ01F</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大环内酯类，林可胺类和链阳菌素类</w:t>
            </w:r>
          </w:p>
        </w:tc>
      </w:tr>
      <w:tr>
        <w:tblPrEx>
          <w:tblCellMar>
            <w:top w:w="0" w:type="dxa"/>
            <w:left w:w="108" w:type="dxa"/>
            <w:bottom w:w="0" w:type="dxa"/>
            <w:right w:w="108" w:type="dxa"/>
          </w:tblCellMar>
        </w:tblPrEx>
        <w:trPr>
          <w:trHeight w:val="90" w:hRule="atLeast"/>
        </w:trPr>
        <w:tc>
          <w:tcPr>
            <w:tcW w:w="6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2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抗真菌药物</w:t>
            </w:r>
          </w:p>
        </w:tc>
        <w:tc>
          <w:tcPr>
            <w:tcW w:w="189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XJ02A</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全身用抗真菌药</w:t>
            </w:r>
          </w:p>
        </w:tc>
      </w:tr>
      <w:tr>
        <w:tblPrEx>
          <w:tblCellMar>
            <w:top w:w="0" w:type="dxa"/>
            <w:left w:w="108" w:type="dxa"/>
            <w:bottom w:w="0" w:type="dxa"/>
            <w:right w:w="108" w:type="dxa"/>
          </w:tblCellMar>
        </w:tblPrEx>
        <w:trPr>
          <w:trHeight w:val="90" w:hRule="atLeast"/>
        </w:trPr>
        <w:tc>
          <w:tcPr>
            <w:tcW w:w="6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2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抗细菌药物</w:t>
            </w:r>
          </w:p>
        </w:tc>
        <w:tc>
          <w:tcPr>
            <w:tcW w:w="189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XJ01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全身用抗菌药</w:t>
            </w:r>
          </w:p>
        </w:tc>
      </w:tr>
      <w:tr>
        <w:tblPrEx>
          <w:tblCellMar>
            <w:top w:w="0" w:type="dxa"/>
            <w:left w:w="108" w:type="dxa"/>
            <w:bottom w:w="0" w:type="dxa"/>
            <w:right w:w="108" w:type="dxa"/>
          </w:tblCellMar>
        </w:tblPrEx>
        <w:trPr>
          <w:trHeight w:val="90" w:hRule="atLeast"/>
        </w:trPr>
        <w:tc>
          <w:tcPr>
            <w:tcW w:w="6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2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抗病毒药物</w:t>
            </w:r>
          </w:p>
        </w:tc>
        <w:tc>
          <w:tcPr>
            <w:tcW w:w="189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XJ05AB</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核苷和核苷酸类，逆转录酶抑制剂除外</w:t>
            </w:r>
          </w:p>
        </w:tc>
      </w:tr>
      <w:tr>
        <w:tblPrEx>
          <w:tblCellMar>
            <w:top w:w="0" w:type="dxa"/>
            <w:left w:w="108" w:type="dxa"/>
            <w:bottom w:w="0" w:type="dxa"/>
            <w:right w:w="108" w:type="dxa"/>
          </w:tblCellMar>
        </w:tblPrEx>
        <w:trPr>
          <w:trHeight w:val="90" w:hRule="atLeast"/>
        </w:trPr>
        <w:tc>
          <w:tcPr>
            <w:tcW w:w="6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2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XJ05AP</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用于治疗HCV感染的抗病毒药物</w:t>
            </w:r>
          </w:p>
        </w:tc>
      </w:tr>
      <w:tr>
        <w:tblPrEx>
          <w:tblCellMar>
            <w:top w:w="0" w:type="dxa"/>
            <w:left w:w="108" w:type="dxa"/>
            <w:bottom w:w="0" w:type="dxa"/>
            <w:right w:w="108" w:type="dxa"/>
          </w:tblCellMar>
        </w:tblPrEx>
        <w:trPr>
          <w:trHeight w:val="90" w:hRule="atLeast"/>
        </w:trPr>
        <w:tc>
          <w:tcPr>
            <w:tcW w:w="6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2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XJ05AF</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核苷及核苷酸逆转录酶抑制剂</w:t>
            </w:r>
          </w:p>
        </w:tc>
      </w:tr>
      <w:tr>
        <w:tblPrEx>
          <w:tblCellMar>
            <w:top w:w="0" w:type="dxa"/>
            <w:left w:w="108" w:type="dxa"/>
            <w:bottom w:w="0" w:type="dxa"/>
            <w:right w:w="108" w:type="dxa"/>
          </w:tblCellMar>
        </w:tblPrEx>
        <w:trPr>
          <w:trHeight w:val="90" w:hRule="atLeast"/>
        </w:trPr>
        <w:tc>
          <w:tcPr>
            <w:tcW w:w="6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2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抗寄生虫药物</w:t>
            </w:r>
          </w:p>
        </w:tc>
        <w:tc>
          <w:tcPr>
            <w:tcW w:w="189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XP</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抗寄生虫药，杀虫药和驱虫药</w:t>
            </w:r>
          </w:p>
        </w:tc>
      </w:tr>
      <w:tr>
        <w:tblPrEx>
          <w:tblCellMar>
            <w:top w:w="0" w:type="dxa"/>
            <w:left w:w="108" w:type="dxa"/>
            <w:bottom w:w="0" w:type="dxa"/>
            <w:right w:w="108" w:type="dxa"/>
          </w:tblCellMar>
        </w:tblPrEx>
        <w:trPr>
          <w:trHeight w:val="90" w:hRule="atLeast"/>
        </w:trPr>
        <w:tc>
          <w:tcPr>
            <w:tcW w:w="6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8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对症治疗</w:t>
            </w:r>
          </w:p>
        </w:tc>
        <w:tc>
          <w:tcPr>
            <w:tcW w:w="22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由于抗HIV药物以及抗机会性药物副作用所导致的肝、肾功能异常，出现消化系统、血液系统、神经系统、心血管系统、内分泌系统、皮肤等损害的相关治疗。</w:t>
            </w:r>
          </w:p>
        </w:tc>
        <w:tc>
          <w:tcPr>
            <w:tcW w:w="189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XA05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胆和肝治疗药</w:t>
            </w:r>
          </w:p>
        </w:tc>
      </w:tr>
      <w:tr>
        <w:tblPrEx>
          <w:tblCellMar>
            <w:top w:w="0" w:type="dxa"/>
            <w:left w:w="108" w:type="dxa"/>
            <w:bottom w:w="0" w:type="dxa"/>
            <w:right w:w="108" w:type="dxa"/>
          </w:tblCellMar>
        </w:tblPrEx>
        <w:trPr>
          <w:trHeight w:val="90" w:hRule="atLeast"/>
        </w:trPr>
        <w:tc>
          <w:tcPr>
            <w:tcW w:w="66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8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247"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抗血栓形成药</w:t>
            </w:r>
          </w:p>
        </w:tc>
      </w:tr>
      <w:tr>
        <w:tblPrEx>
          <w:tblCellMar>
            <w:top w:w="0" w:type="dxa"/>
            <w:left w:w="108" w:type="dxa"/>
            <w:bottom w:w="0" w:type="dxa"/>
            <w:right w:w="108" w:type="dxa"/>
          </w:tblCellMar>
        </w:tblPrEx>
        <w:trPr>
          <w:trHeight w:val="90" w:hRule="atLeast"/>
        </w:trPr>
        <w:tc>
          <w:tcPr>
            <w:tcW w:w="66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8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247"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XC10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调节血脂药</w:t>
            </w:r>
          </w:p>
        </w:tc>
      </w:tr>
      <w:tr>
        <w:tblPrEx>
          <w:tblCellMar>
            <w:top w:w="0" w:type="dxa"/>
            <w:left w:w="108" w:type="dxa"/>
            <w:bottom w:w="0" w:type="dxa"/>
            <w:right w:w="108" w:type="dxa"/>
          </w:tblCellMar>
        </w:tblPrEx>
        <w:trPr>
          <w:trHeight w:val="90" w:hRule="atLeast"/>
        </w:trPr>
        <w:tc>
          <w:tcPr>
            <w:tcW w:w="66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8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247"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XM05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治疗骨病的药物</w:t>
            </w:r>
          </w:p>
        </w:tc>
      </w:tr>
      <w:tr>
        <w:tblPrEx>
          <w:tblCellMar>
            <w:top w:w="0" w:type="dxa"/>
            <w:left w:w="108" w:type="dxa"/>
            <w:bottom w:w="0" w:type="dxa"/>
            <w:right w:w="108" w:type="dxa"/>
          </w:tblCellMar>
        </w:tblPrEx>
        <w:trPr>
          <w:trHeight w:val="90" w:hRule="atLeast"/>
        </w:trPr>
        <w:tc>
          <w:tcPr>
            <w:tcW w:w="668"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 w:val="24"/>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3087" w:type="dxa"/>
            <w:gridSpan w:val="2"/>
            <w:tcBorders>
              <w:top w:val="single" w:color="auto"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8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Times New Roman" w:hAnsi="Times New Roman" w:eastAsia="方正黑体_GBK" w:cs="方正黑体_GBK"/>
                <w:color w:val="000000" w:themeColor="text1"/>
                <w:kern w:val="0"/>
                <w:szCs w:val="21"/>
                <w:lang w:bidi="ar"/>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w:t>
            </w:r>
          </w:p>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服务项目编码</w:t>
            </w:r>
          </w:p>
        </w:tc>
        <w:tc>
          <w:tcPr>
            <w:tcW w:w="30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血常规</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血细胞分析</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尿常规</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250102035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尿液分析</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尿沉渣</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250102024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尿沉渣定量</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肝功能</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血清总胆红素测定</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血清直接胆红素测定</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250305007</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血清丙氨酸氨基转移酶测定</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250305008</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血清天门冬氨酸氨基转移酶测定</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250305009</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血清γ-谷氨酰基转移酶测定</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血清碱性磷酸酶测定</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血清总蛋白测定</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血清白蛋白测定</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血清总胆汁酸测定</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250306005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乳酸脱氢酶测定</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肾功能</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血清尿酸测定</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尿素测定</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肌酐测定</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250307009</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β2微球蛋白测定</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250307028</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血清胱抑素(CystatinC)测定</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血糖</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250302001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葡萄糖测定</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电解质</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钾测定</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钠测定</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250304003</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氯测定</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钙测定</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无机磷测定</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250304006</w:t>
            </w:r>
          </w:p>
        </w:tc>
        <w:tc>
          <w:tcPr>
            <w:tcW w:w="3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镁测定</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血清碳酸氢盐测定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250304010</w:t>
            </w:r>
          </w:p>
        </w:tc>
        <w:tc>
          <w:tcPr>
            <w:tcW w:w="3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血清碳酸氢盐(HCO3)测定</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血脂</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血清甘油三酯测定</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血清总胆固醇测定</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血清高密度脂蛋白胆固醇测定</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血清低密度脂蛋白胆固醇测定</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tcBorders>
              <w:top w:val="single" w:color="000000" w:sz="4" w:space="0"/>
              <w:left w:val="single" w:color="000000" w:sz="4" w:space="0"/>
              <w:bottom w:val="nil"/>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淀粉酶</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250308004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淀粉酶测定</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心肌酶谱</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250306001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血清肌酸激酶测定</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250306007</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血清α羟基丁酸脱氢酶测定</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250306002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血清肌酸激酶－MB同工酶活性测定</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甲状腺功能</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250310001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血清促甲状腺激素测定(TSH)</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250310011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血清三碘甲状原氨酸(T3)测定</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250310014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血清游离三碘甲状原氨酸(FT3)测定</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250310010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血清甲状腺素(T4)测定</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250310013</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血清游离甲状腺素(FT4)测定</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HIV相关检测</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280000001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人体免疫缺陷(HIV)病毒载量检测</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A250401036</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淋巴细胞CD4/CD8绝对数检测</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250401031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血细胞簇分化抗原(CD)系列检测</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250700016</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化学药物用药指导的基因检测</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合并其他共感染的病原体相关检查</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250403053</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梅毒螺旋体特异抗体测定</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250403054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快速血浆反应素试验(RPR)</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250403065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各类病原体DNA测定</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250403094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真菌抗体和抗原测定</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250501040</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真菌D-葡聚糖检测</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250403003</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乙型肝炎DNA测定</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乙型肝炎表面抗原测定(HBsAg)</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乙型肝炎表面抗体测定(AntiHBs)</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250403006</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乙型肝炎e抗原测定(HBeAg)</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250403007</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乙型肝炎e抗体测定(AntiHBe)</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250403009</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乙型肝炎核心抗体测定(AntiHBc)</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250403014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丙型肝炎抗体测定(Anti-HCV)</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250403013</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丙型肝炎RNA测定</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250501002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结核菌涂片检查</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280000001q</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结核感染T细胞检测</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250501013</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结核菌培养</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250502004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结核菌药敏试验</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250403042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细菌抗体测定</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280000005</w:t>
            </w:r>
          </w:p>
        </w:tc>
        <w:tc>
          <w:tcPr>
            <w:tcW w:w="3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结核分枝杆菌直接检测(MTD)</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250401014</w:t>
            </w:r>
          </w:p>
        </w:tc>
        <w:tc>
          <w:tcPr>
            <w:tcW w:w="3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各种白介素测定</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根据感染部位不同选择影像学检查、骨密度或超声检查</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2101</w:t>
            </w:r>
          </w:p>
        </w:tc>
        <w:tc>
          <w:tcPr>
            <w:tcW w:w="3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X线检查</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磁共振扫描(MRI)</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2103</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X线计算机体层(CT)扫描</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nil"/>
              <w:left w:val="nil"/>
              <w:bottom w:val="nil"/>
              <w:right w:val="nil"/>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w:t>
            </w:r>
          </w:p>
        </w:tc>
        <w:tc>
          <w:tcPr>
            <w:tcW w:w="3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X线计算机体层检查</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EC</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磁共振检查</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230200055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骨密度测定</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B超</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220301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普通彩色多普勒超声检查</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胸腔，腹腔，骨髓，腰椎穿刺术等</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310604005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胸腔穿刺术</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310905001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腹腔穿刺术</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310800001</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骨髓穿刺术</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310100016</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腰椎穿刺术</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内镜（纤支镜、胃肠镜、膀胱镜等）下检查及治疗。</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310605006</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经纤支镜肺泡灌洗诊疗术</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310605007</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经纤支镜防污染采样刷检查</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310605002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纤维支气管镜检查</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310903005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纤维结肠镜检查</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3109.02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消化内镜检查冲洗术</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310902005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纤维胃十二指肠镜检查</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311000034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膀胱镜尿道镜检查</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311000035</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经膀胱镜尿道镜特殊治疗</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restart"/>
            <w:tcBorders>
              <w:top w:val="nil"/>
              <w:left w:val="single" w:color="000000" w:sz="4" w:space="0"/>
              <w:bottom w:val="nil"/>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皮肤黏膜赘生物去除治疗（液氮冷冻、高频电刀、激光等）</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311400039</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液氮冷冻治疗</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nil"/>
              <w:left w:val="single" w:color="000000" w:sz="4" w:space="0"/>
              <w:bottom w:val="nil"/>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311400032</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脉冲激光治疗</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vMerge w:val="continue"/>
            <w:tcBorders>
              <w:top w:val="nil"/>
              <w:left w:val="single" w:color="000000" w:sz="4" w:space="0"/>
              <w:bottom w:val="nil"/>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311400014</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皮肤赘生物电烧治疗</w:t>
            </w:r>
          </w:p>
        </w:tc>
      </w:tr>
      <w:tr>
        <w:tblPrEx>
          <w:tblCellMar>
            <w:top w:w="0" w:type="dxa"/>
            <w:left w:w="108" w:type="dxa"/>
            <w:bottom w:w="0" w:type="dxa"/>
            <w:right w:w="108" w:type="dxa"/>
          </w:tblCellMar>
        </w:tblPrEx>
        <w:trPr>
          <w:trHeight w:val="90"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病变组织活检</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311400003</w:t>
            </w:r>
          </w:p>
        </w:tc>
        <w:tc>
          <w:tcPr>
            <w:tcW w:w="3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皮肤活检术</w:t>
            </w:r>
          </w:p>
        </w:tc>
      </w:tr>
    </w:tbl>
    <w:p>
      <w:pPr>
        <w:spacing w:line="340" w:lineRule="exac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pPr>
        <w:tabs>
          <w:tab w:val="left" w:pos="596"/>
        </w:tabs>
        <w:spacing w:line="340" w:lineRule="exact"/>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1</w:t>
      </w:r>
      <w:r>
        <w:rPr>
          <w:rFonts w:ascii="Times New Roman" w:hAnsi="Times New Roman"/>
          <w:color w:val="000000" w:themeColor="text1"/>
          <w:sz w:val="30"/>
          <w:szCs w:val="30"/>
          <w14:textFill>
            <w14:solidFill>
              <w14:schemeClr w14:val="tx1"/>
            </w14:solidFill>
          </w14:textFill>
        </w:rPr>
        <w:t>1.</w:t>
      </w:r>
      <w:r>
        <w:rPr>
          <w:rFonts w:ascii="Times New Roman" w:hAnsi="Times New Roman" w:eastAsia="黑体"/>
          <w:color w:val="000000" w:themeColor="text1"/>
          <w:sz w:val="30"/>
          <w:szCs w:val="30"/>
          <w14:textFill>
            <w14:solidFill>
              <w14:schemeClr w14:val="tx1"/>
            </w14:solidFill>
          </w14:textFill>
        </w:rPr>
        <w:t>耐药结核病</w:t>
      </w:r>
    </w:p>
    <w:tbl>
      <w:tblPr>
        <w:tblStyle w:val="4"/>
        <w:tblW w:w="8691" w:type="dxa"/>
        <w:tblInd w:w="93" w:type="dxa"/>
        <w:tblLayout w:type="autofit"/>
        <w:tblCellMar>
          <w:top w:w="0" w:type="dxa"/>
          <w:left w:w="108" w:type="dxa"/>
          <w:bottom w:w="0" w:type="dxa"/>
          <w:right w:w="108" w:type="dxa"/>
        </w:tblCellMar>
      </w:tblPr>
      <w:tblGrid>
        <w:gridCol w:w="756"/>
        <w:gridCol w:w="3016"/>
        <w:gridCol w:w="1942"/>
        <w:gridCol w:w="2977"/>
      </w:tblGrid>
      <w:tr>
        <w:tblPrEx>
          <w:tblCellMar>
            <w:top w:w="0" w:type="dxa"/>
            <w:left w:w="108" w:type="dxa"/>
            <w:bottom w:w="0" w:type="dxa"/>
            <w:right w:w="108" w:type="dxa"/>
          </w:tblCellMar>
        </w:tblPrEx>
        <w:trPr>
          <w:trHeight w:val="472"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 w:val="24"/>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耐药结核病</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A15.000x010</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继发性肺结核（初治,单耐药）涂阳培阳</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A15.100x002</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继发性肺结核（初治,单耐药）涂阴培阳</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A15.000x012</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继发性肺结核（初治,多耐药）涂阳培阳</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A15.100x003</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继发性肺结核（初治,多耐药）涂阴培阳</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A15.000x014</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继发性肺结核（初治,广泛耐药）涂阳培阳</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A15.100x004</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继发性肺结核（初治,广泛耐药）涂阴培阳</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A15.000x020</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继发性肺结核（复治,单耐药）涂阳培阳</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A15.100x007</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继发性肺结核（复治,单耐药）涂阴培阳</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A15.000x022</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继发性肺结核（复治,多耐药）涂阳培阳</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A15.100x008</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继发性肺结核（复治,多耐药）涂阴培阳</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A15.000x024</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继发性肺结核（复治,广泛耐药）涂阳培阳</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A15.100x009</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继发性肺结核（复治,广泛耐药）涂阴培阳</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A15.500x010</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支气管结核（初治,单耐药）涂阳培阳</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A15.500x011</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支气管结核（初治,单耐药）涂阴培阳</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A15.500x012</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支气管结核（初治,多耐药）涂阳培阳</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A15.500x013</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支气管结核（初治,多耐药）涂阴培阳</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A15.500x014</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支气管结核（初治,广泛耐药）涂阳培阳</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A15.500x015</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支气管结核（初治,广泛耐药）涂阴培阳</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A15.500x020</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支气管结核（复治,单耐药）涂阳培阳</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A15.500x021</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支气管结核（复治,单耐药）涂阴培阳</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A15.500x022</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支气管结核（复治,多耐药）涂阳培阳</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A15.500x023</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支气管结核（复治,多耐药）涂阴培阳</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A15.500x024</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支气管结核（复治,广泛耐药）涂阳培阳</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A15.500x025</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支气管结核（复治,广泛耐药）涂阴培阳</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A19.000x001</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血行播散性肺结核（初治,单耐药）涂阳培阳</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A19.000x002</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血行播散性肺结核（初治,单耐药）涂阴培阳</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A19.000x003</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血行播散性肺结核（初治,多耐药）涂阳培阳</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A19.000x004</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血行播散性肺结核（初治,多耐药）涂阴培阳</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A19.000x005</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血行播散性肺结核（初治,广泛耐药）涂阳培阳</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A19.000x006</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血行播散性肺结核（初治,广泛耐药）涂阴培阳</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A19.000x011</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血行播散性肺结核（复治,单耐药）涂阳培阳</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A19.000x012</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血行播散性肺结核（复治,单耐药）涂阴培阳</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A19.000x013</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血行播散性肺结核（复治,多耐药）涂阳培阳</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A19.000x014</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血行播散性肺结核（复治,多耐药）涂阴培阳</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A19.000x015</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血行播散性肺结核（复治,广泛耐药）涂阳培阳</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A19.000x016</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血行播散性肺结核（复治,广泛耐药）涂阴培阳</w:t>
            </w:r>
          </w:p>
        </w:tc>
      </w:tr>
      <w:tr>
        <w:tblPrEx>
          <w:tblCellMar>
            <w:top w:w="0" w:type="dxa"/>
            <w:left w:w="108" w:type="dxa"/>
            <w:bottom w:w="0" w:type="dxa"/>
            <w:right w:w="108" w:type="dxa"/>
          </w:tblCellMar>
        </w:tblPrEx>
        <w:trPr>
          <w:trHeight w:val="91"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7935"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楷体_GBK" w:cs="方正楷体_GBK"/>
                <w:color w:val="000000" w:themeColor="text1"/>
                <w:szCs w:val="21"/>
                <w14:textFill>
                  <w14:solidFill>
                    <w14:schemeClr w14:val="tx1"/>
                  </w14:solidFill>
                </w14:textFill>
              </w:rPr>
            </w:pPr>
            <w:r>
              <w:rPr>
                <w:rFonts w:ascii="Times New Roman" w:hAnsi="Times New Roman" w:eastAsia="方正楷体_GBK" w:cs="方正楷体_GBK"/>
                <w:color w:val="000000" w:themeColor="text1"/>
                <w:kern w:val="0"/>
                <w:szCs w:val="21"/>
                <w:lang w:bidi="ar"/>
                <w14:textFill>
                  <w14:solidFill>
                    <w14:schemeClr w14:val="tx1"/>
                  </w14:solidFill>
                </w14:textFill>
              </w:rPr>
              <w:t>一、耐药结核病</w:t>
            </w:r>
            <w:r>
              <w:rPr>
                <w:rFonts w:hint="eastAsia" w:ascii="Times New Roman" w:hAnsi="Times New Roman" w:eastAsia="方正楷体_GBK" w:cs="方正楷体_GBK"/>
                <w:color w:val="000000" w:themeColor="text1"/>
                <w:kern w:val="0"/>
                <w:szCs w:val="21"/>
                <w:highlight w:val="none"/>
                <w:lang w:eastAsia="zh-CN" w:bidi="ar"/>
                <w14:textFill>
                  <w14:solidFill>
                    <w14:schemeClr w14:val="tx1"/>
                  </w14:solidFill>
                </w14:textFill>
              </w:rPr>
              <w:t>诊断标准</w:t>
            </w:r>
            <w:r>
              <w:rPr>
                <w:rFonts w:ascii="Times New Roman" w:hAnsi="Times New Roman" w:eastAsia="方正仿宋_GBK" w:cs="方正仿宋_GBK"/>
                <w:color w:val="000000" w:themeColor="text1"/>
                <w:kern w:val="0"/>
                <w:szCs w:val="21"/>
                <w:highlight w:val="none"/>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1. 根据《中国耐多药和利福平耐药结核病治疗专家共识（2019年版）》《中国结核病防治规划实施工作指南（2021年版）》和中国防痨协会发布《利福平耐药结核病治疗规范》团体标准进行耐药结核病诊断。由二级及以上医疗机构出具盖鲜章的结核病诊断病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2. 具有结核病相关的临床症状和体征，结核分枝杆菌病原学、病理学、影像学等检查有活动性结核的证据。</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3. 结核分枝杆菌药敏试验（表型DST或分子DST）提示对结核药物耐药。包括：单耐药，多耐药、耐多药、准广泛耐药、广泛耐药和利福平耐药。</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楷体_GBK" w:cs="方正楷体_GBK"/>
                <w:color w:val="000000" w:themeColor="text1"/>
                <w:kern w:val="0"/>
                <w:szCs w:val="21"/>
                <w:lang w:bidi="ar"/>
                <w14:textFill>
                  <w14:solidFill>
                    <w14:schemeClr w14:val="tx1"/>
                  </w14:solidFill>
                </w14:textFill>
              </w:rPr>
              <w:t>二、耐药结核病特病待遇有效期为24个月，对待遇期满仍需继续治疗的，应由诊断机构再次出具确诊材料，可继续享受耐药结核病特病待遇12个月。</w:t>
            </w:r>
          </w:p>
        </w:tc>
      </w:tr>
      <w:tr>
        <w:tblPrEx>
          <w:tblCellMar>
            <w:top w:w="0" w:type="dxa"/>
            <w:left w:w="108" w:type="dxa"/>
            <w:bottom w:w="0" w:type="dxa"/>
            <w:right w:w="108" w:type="dxa"/>
          </w:tblCellMar>
        </w:tblPrEx>
        <w:trPr>
          <w:trHeight w:val="91"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医保目录药品分类代码</w:t>
            </w:r>
          </w:p>
        </w:tc>
        <w:tc>
          <w:tcPr>
            <w:tcW w:w="29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抗结核药物</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XJ01CR</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青霉素类复方制剂，含β-内酰胺酶抑制剂</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XJ01DH</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碳青霉烯类</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XJ01FA</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大环内酯类</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XJ01G</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氨基糖苷类抗菌药</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XJ01MA</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氟喹诺酮类</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XJ01XX</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其他抗菌药</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XJ04</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抗分枝杆菌药</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预防和治疗环丝氨酸神经毒性</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XA11</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维生素B6</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药物副作用导致的肝损害相关治疗</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XA05</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胆和肝治疗药</w:t>
            </w:r>
          </w:p>
        </w:tc>
      </w:tr>
      <w:tr>
        <w:tblPrEx>
          <w:tblCellMar>
            <w:top w:w="0" w:type="dxa"/>
            <w:left w:w="108" w:type="dxa"/>
            <w:bottom w:w="0" w:type="dxa"/>
            <w:right w:w="108" w:type="dxa"/>
          </w:tblCellMar>
        </w:tblPrEx>
        <w:trPr>
          <w:trHeight w:val="91"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 w:val="24"/>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3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医保目录医疗服务项目编码</w:t>
            </w:r>
          </w:p>
        </w:tc>
        <w:tc>
          <w:tcPr>
            <w:tcW w:w="2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血常规</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250101015</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血细胞分析</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尿常规</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250102035</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尿液分析</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肝功能</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250305001</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血清总胆红素测定</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250305002</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血清直接胆红素测定</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250305003</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血清间接胆红素测定</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250305007</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血清丙氨酸氨基转移酶测定</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250305008</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血清天门冬氨酸氨基转移酶测定</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250305009</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血清γ-谷氨酰基转移酶测定</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250305011</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血清碱性磷酸酶测定</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250301001</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血清总蛋白测定</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250301002</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血清白蛋白测定</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250301006</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血清前白蛋白测定</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肾功能</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250307005</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血清尿酸测定</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250307001</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尿素测定</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250307002</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肌酐测定</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甲状腺功能</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250310001</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血清促甲状腺激素测定(TSH)</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250310010</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血清甲状腺素(T4)测定</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250310011</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血清三碘甲状原氨酸(T3)测定</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血糖</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250302001</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葡萄糖测定</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电解质</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250304001</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钾测定</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250304002</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钠测定</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250304003</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氯测定</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250304004</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钙测定</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250304005</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无机磷测定</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经纤支镜检查和治疗</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310605006</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经纤支镜肺泡灌洗诊疗术</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病原学检查</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250501002</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结核菌涂片检查</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250501013</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结核菌培养</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250502004a</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结核菌药敏试验</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250403065</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各类病原体DNA测定</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280000001q</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结核感染T细胞检测</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280000005</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结核分枝杆菌直接检测(MTD)</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280000015</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核酸多聚酶链反应检查诊断</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280000001p</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结核分枝杆菌耐药基因检测</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X线检查、CT平扫或增强、超声（限结核部位）</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2101</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X线检查</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2103</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X线计算机体层(CT)扫描</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w:t>
            </w:r>
          </w:p>
        </w:tc>
        <w:tc>
          <w:tcPr>
            <w:tcW w:w="2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X线计算机体层检查</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2202</w:t>
            </w:r>
          </w:p>
        </w:tc>
        <w:tc>
          <w:tcPr>
            <w:tcW w:w="2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B超</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220301</w:t>
            </w:r>
          </w:p>
        </w:tc>
        <w:tc>
          <w:tcPr>
            <w:tcW w:w="2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普通彩色多普勒超声检查</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磁共振平扫或增强（限骨或中枢神经系统结核）</w:t>
            </w:r>
          </w:p>
        </w:tc>
        <w:tc>
          <w:tcPr>
            <w:tcW w:w="1942"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2102</w:t>
            </w:r>
          </w:p>
        </w:tc>
        <w:tc>
          <w:tcPr>
            <w:tcW w:w="2977"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磁共振扫描(MRI)</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EC</w:t>
            </w:r>
          </w:p>
        </w:tc>
        <w:tc>
          <w:tcPr>
            <w:tcW w:w="2977"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磁共振检查</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心电图</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310701001</w:t>
            </w:r>
          </w:p>
        </w:tc>
        <w:tc>
          <w:tcPr>
            <w:tcW w:w="2977"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常规心电图检查</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视力（限使用链霉素、乙胺丁醇类药物且怀疑视力受损的患者）</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310300053</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眼底照相</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310300056</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眼底检查</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310300005</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视野检查</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310300068</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视诱发电位(VEP)</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310300064</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光学相干断层成相(OCT)</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听力（限使用氨基糖苷类药物且怀疑听力受损的患者）</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310401002</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纯音听阈测定</w:t>
            </w:r>
          </w:p>
        </w:tc>
      </w:tr>
      <w:tr>
        <w:tblPrEx>
          <w:tblCellMar>
            <w:top w:w="0" w:type="dxa"/>
            <w:left w:w="108" w:type="dxa"/>
            <w:bottom w:w="0" w:type="dxa"/>
            <w:right w:w="108" w:type="dxa"/>
          </w:tblCellMar>
        </w:tblPrEx>
        <w:trPr>
          <w:trHeight w:val="91"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310401015</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耳声发射检查</w:t>
            </w:r>
          </w:p>
        </w:tc>
      </w:tr>
    </w:tbl>
    <w:p>
      <w:pPr>
        <w:spacing w:line="340" w:lineRule="exac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pPr>
        <w:tabs>
          <w:tab w:val="left" w:pos="596"/>
        </w:tabs>
        <w:spacing w:line="340" w:lineRule="exact"/>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1</w:t>
      </w:r>
      <w:r>
        <w:rPr>
          <w:rFonts w:ascii="Times New Roman" w:hAnsi="Times New Roman"/>
          <w:color w:val="000000" w:themeColor="text1"/>
          <w:sz w:val="30"/>
          <w:szCs w:val="30"/>
          <w14:textFill>
            <w14:solidFill>
              <w14:schemeClr w14:val="tx1"/>
            </w14:solidFill>
          </w14:textFill>
        </w:rPr>
        <w:t>2.</w:t>
      </w:r>
      <w:r>
        <w:rPr>
          <w:rFonts w:ascii="Times New Roman" w:hAnsi="Times New Roman" w:eastAsia="黑体"/>
          <w:color w:val="000000" w:themeColor="text1"/>
          <w:sz w:val="30"/>
          <w:szCs w:val="30"/>
          <w14:textFill>
            <w14:solidFill>
              <w14:schemeClr w14:val="tx1"/>
            </w14:solidFill>
          </w14:textFill>
        </w:rPr>
        <w:t>高苯丙氨酸血症（苯丙酮尿症、四氢生物蝶呤缺乏症）</w:t>
      </w:r>
    </w:p>
    <w:tbl>
      <w:tblPr>
        <w:tblStyle w:val="4"/>
        <w:tblW w:w="8691" w:type="dxa"/>
        <w:tblInd w:w="93" w:type="dxa"/>
        <w:tblLayout w:type="fixed"/>
        <w:tblCellMar>
          <w:top w:w="0" w:type="dxa"/>
          <w:left w:w="108" w:type="dxa"/>
          <w:bottom w:w="0" w:type="dxa"/>
          <w:right w:w="108" w:type="dxa"/>
        </w:tblCellMar>
      </w:tblPr>
      <w:tblGrid>
        <w:gridCol w:w="803"/>
        <w:gridCol w:w="1196"/>
        <w:gridCol w:w="1217"/>
        <w:gridCol w:w="2010"/>
        <w:gridCol w:w="3465"/>
      </w:tblGrid>
      <w:tr>
        <w:tblPrEx>
          <w:tblCellMar>
            <w:top w:w="0" w:type="dxa"/>
            <w:left w:w="108" w:type="dxa"/>
            <w:bottom w:w="0" w:type="dxa"/>
            <w:right w:w="108" w:type="dxa"/>
          </w:tblCellMar>
        </w:tblPrEx>
        <w:trPr>
          <w:trHeight w:val="550" w:hRule="atLeast"/>
        </w:trPr>
        <w:tc>
          <w:tcPr>
            <w:tcW w:w="8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24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1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高苯丙氨酸血症（苯丙酮尿症、四氢生物蝶呤缺乏症）</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E70.101</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高苯丙氨酸血症</w:t>
            </w:r>
          </w:p>
        </w:tc>
      </w:tr>
      <w:tr>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E70.100x001</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苯丙酮尿症</w:t>
            </w:r>
          </w:p>
        </w:tc>
      </w:tr>
      <w:tr>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E70.102</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四氢生物蝶呤缺乏症</w:t>
            </w:r>
          </w:p>
        </w:tc>
      </w:tr>
      <w:tr>
        <w:tblPrEx>
          <w:tblCellMar>
            <w:top w:w="0" w:type="dxa"/>
            <w:left w:w="108" w:type="dxa"/>
            <w:bottom w:w="0" w:type="dxa"/>
            <w:right w:w="108" w:type="dxa"/>
          </w:tblCellMar>
        </w:tblPrEx>
        <w:trPr>
          <w:trHeight w:val="91"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788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0"/>
                <w:numId w:val="0"/>
              </w:numPr>
              <w:spacing w:line="340" w:lineRule="exact"/>
              <w:jc w:val="left"/>
              <w:textAlignment w:val="center"/>
              <w:rPr>
                <w:rFonts w:hint="eastAsia" w:ascii="Times New Roman" w:hAnsi="Times New Roman" w:eastAsia="方正楷体_GBK" w:cs="方正楷体_GBK"/>
                <w:color w:val="000000" w:themeColor="text1"/>
                <w:kern w:val="0"/>
                <w:szCs w:val="21"/>
                <w:lang w:bidi="ar"/>
                <w14:textFill>
                  <w14:solidFill>
                    <w14:schemeClr w14:val="tx1"/>
                  </w14:solidFill>
                </w14:textFill>
              </w:rPr>
            </w:pPr>
            <w:r>
              <w:rPr>
                <w:rFonts w:hint="eastAsia" w:ascii="Times New Roman" w:hAnsi="Times New Roman" w:eastAsia="方正楷体_GBK" w:cs="方正楷体_GBK"/>
                <w:color w:val="000000" w:themeColor="text1"/>
                <w:kern w:val="0"/>
                <w:sz w:val="21"/>
                <w:szCs w:val="21"/>
                <w:lang w:val="en-US" w:eastAsia="zh-CN" w:bidi="ar"/>
                <w14:textFill>
                  <w14:solidFill>
                    <w14:schemeClr w14:val="tx1"/>
                  </w14:solidFill>
                </w14:textFill>
              </w:rPr>
              <w:t>一、</w:t>
            </w:r>
            <w:r>
              <w:rPr>
                <w:rFonts w:hint="eastAsia" w:ascii="Times New Roman" w:hAnsi="Times New Roman" w:eastAsia="方正楷体_GBK" w:cs="方正楷体_GBK"/>
                <w:color w:val="000000" w:themeColor="text1"/>
                <w:kern w:val="0"/>
                <w:szCs w:val="21"/>
                <w:lang w:bidi="ar"/>
                <w14:textFill>
                  <w14:solidFill>
                    <w14:schemeClr w14:val="tx1"/>
                  </w14:solidFill>
                </w14:textFill>
              </w:rPr>
              <w:t>苯丙酮尿症</w:t>
            </w:r>
          </w:p>
          <w:p>
            <w:pPr>
              <w:widowControl/>
              <w:numPr>
                <w:ilvl w:val="0"/>
                <w:numId w:val="0"/>
              </w:numPr>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血苯丙氨酸浓度持续≥6mg/dl，完成鉴别诊断后，确诊为苯丙酮尿症。</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hint="eastAsia" w:ascii="Times New Roman" w:hAnsi="Times New Roman" w:eastAsia="方正楷体_GBK" w:cs="方正楷体_GBK"/>
                <w:color w:val="000000" w:themeColor="text1"/>
                <w:kern w:val="0"/>
                <w:szCs w:val="21"/>
                <w:lang w:bidi="ar"/>
                <w14:textFill>
                  <w14:solidFill>
                    <w14:schemeClr w14:val="tx1"/>
                  </w14:solidFill>
                </w14:textFill>
              </w:rPr>
              <w:t>二、四氢生物蝶呤缺乏症</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经血苯丙氨酸检测、尿碟呤谱分析、红细胞DHPR活性检测、串联质谱检测、基因检测为四氢生物蝶呤缺乏症。</w:t>
            </w:r>
          </w:p>
        </w:tc>
      </w:tr>
      <w:tr>
        <w:tblPrEx>
          <w:tblCellMar>
            <w:top w:w="0" w:type="dxa"/>
            <w:left w:w="108" w:type="dxa"/>
            <w:bottom w:w="0" w:type="dxa"/>
            <w:right w:w="108" w:type="dxa"/>
          </w:tblCellMar>
        </w:tblPrEx>
        <w:trPr>
          <w:trHeight w:val="91" w:hRule="atLeast"/>
        </w:trPr>
        <w:tc>
          <w:tcPr>
            <w:tcW w:w="8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24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医保目录药品分类代码</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治疗用四氢生物碟呤和神经递质前质药物</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多巴和其衍生物</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XN04BA</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多巴和其衍生物</w:t>
            </w:r>
          </w:p>
        </w:tc>
      </w:tr>
      <w:tr>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亚叶酸钙</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XV03AF</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抗肿瘤治疗用解毒药</w:t>
            </w:r>
          </w:p>
        </w:tc>
      </w:tr>
      <w:tr>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788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低苯丙氨酸食品</w:t>
            </w:r>
          </w:p>
        </w:tc>
      </w:tr>
      <w:tr>
        <w:tblPrEx>
          <w:tblCellMar>
            <w:top w:w="0" w:type="dxa"/>
            <w:left w:w="108" w:type="dxa"/>
            <w:bottom w:w="0" w:type="dxa"/>
            <w:right w:w="108" w:type="dxa"/>
          </w:tblCellMar>
        </w:tblPrEx>
        <w:trPr>
          <w:trHeight w:val="91" w:hRule="atLeast"/>
        </w:trPr>
        <w:tc>
          <w:tcPr>
            <w:tcW w:w="8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241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医保目录医疗服务项目编码</w:t>
            </w:r>
          </w:p>
        </w:tc>
        <w:tc>
          <w:tcPr>
            <w:tcW w:w="34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血苯丙氨酸检测</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250700015</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苯丙氨酸测定(PKU)</w:t>
            </w:r>
          </w:p>
        </w:tc>
      </w:tr>
      <w:tr>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串联质谱检测</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A250700023</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遗传代谢性疾病筛查</w:t>
            </w:r>
          </w:p>
        </w:tc>
      </w:tr>
      <w:tr>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血常规</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250101015</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血细胞分析</w:t>
            </w:r>
          </w:p>
        </w:tc>
      </w:tr>
      <w:tr>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泌乳素（限四氢生物蝶呤缺乏症）</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250310002</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血清泌乳素测定</w:t>
            </w:r>
          </w:p>
        </w:tc>
      </w:tr>
      <w:tr>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肝功能</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250305007</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血清丙氨酸氨基转移酶测定</w:t>
            </w:r>
          </w:p>
        </w:tc>
      </w:tr>
      <w:tr>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250305008</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血清天门冬氨酸氨基转移酶测定</w:t>
            </w:r>
          </w:p>
        </w:tc>
      </w:tr>
      <w:tr>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250305009</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血清γ-谷氨酰基转移酶测定</w:t>
            </w:r>
          </w:p>
        </w:tc>
      </w:tr>
      <w:tr>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250305011</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血清碱性磷酸酶测定</w:t>
            </w:r>
          </w:p>
        </w:tc>
      </w:tr>
      <w:tr>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250305014</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血清胆碱脂酶测定</w:t>
            </w:r>
          </w:p>
        </w:tc>
      </w:tr>
      <w:tr>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250305001</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血清总胆红素测定</w:t>
            </w:r>
          </w:p>
        </w:tc>
      </w:tr>
      <w:tr>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250305002</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血清直接胆红素测定</w:t>
            </w:r>
          </w:p>
        </w:tc>
      </w:tr>
      <w:tr>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250305003</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血清间接胆红素测定</w:t>
            </w:r>
          </w:p>
        </w:tc>
      </w:tr>
      <w:tr>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250305005</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血清总胆汁酸测定</w:t>
            </w:r>
          </w:p>
        </w:tc>
      </w:tr>
      <w:tr>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1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肾功能</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250307001</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尿素测定</w:t>
            </w:r>
          </w:p>
        </w:tc>
      </w:tr>
      <w:tr>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250307002</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肌酐测定</w:t>
            </w:r>
          </w:p>
        </w:tc>
      </w:tr>
      <w:tr>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250307003</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内生肌酐清除率试验</w:t>
            </w:r>
          </w:p>
        </w:tc>
      </w:tr>
      <w:tr>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1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250307005</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血清尿酸测定</w:t>
            </w:r>
          </w:p>
        </w:tc>
      </w:tr>
      <w:tr>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骨龄测定</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230200055</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骨密度测定</w:t>
            </w:r>
          </w:p>
        </w:tc>
      </w:tr>
      <w:tr>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儿童体格发育评估（精细）</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MAMZY003</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康复综合评定</w:t>
            </w:r>
          </w:p>
        </w:tc>
      </w:tr>
      <w:tr>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13"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智力测评（每种量表医保基金支付不超过4次/年）</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011102010010000</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临床量表评估（自评）</w:t>
            </w:r>
          </w:p>
        </w:tc>
      </w:tr>
      <w:tr>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13"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011102010020000</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临床量表评估（他评）</w:t>
            </w:r>
          </w:p>
        </w:tc>
      </w:tr>
      <w:tr>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13"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011102010020200</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临床量表评估（他评）-儿童评估（扩展）</w:t>
            </w:r>
          </w:p>
        </w:tc>
      </w:tr>
      <w:tr>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颅脑核磁共振</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ECABA001</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颅脑磁共振成像</w:t>
            </w:r>
          </w:p>
        </w:tc>
      </w:tr>
      <w:tr>
        <w:tblPrEx>
          <w:tblCellMar>
            <w:top w:w="0" w:type="dxa"/>
            <w:left w:w="108" w:type="dxa"/>
            <w:bottom w:w="0" w:type="dxa"/>
            <w:right w:w="108" w:type="dxa"/>
          </w:tblCellMar>
        </w:tblPrEx>
        <w:trPr>
          <w:trHeight w:val="91" w:hRule="atLeast"/>
        </w:trPr>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脑电图</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310100001</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脑电图</w:t>
            </w:r>
          </w:p>
        </w:tc>
      </w:tr>
    </w:tbl>
    <w:p>
      <w:pPr>
        <w:spacing w:line="340" w:lineRule="exac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pPr>
        <w:tabs>
          <w:tab w:val="left" w:pos="596"/>
        </w:tabs>
        <w:spacing w:line="340" w:lineRule="exact"/>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1</w:t>
      </w:r>
      <w:r>
        <w:rPr>
          <w:rFonts w:ascii="Times New Roman" w:hAnsi="Times New Roman"/>
          <w:color w:val="000000" w:themeColor="text1"/>
          <w:sz w:val="30"/>
          <w:szCs w:val="30"/>
          <w14:textFill>
            <w14:solidFill>
              <w14:schemeClr w14:val="tx1"/>
            </w14:solidFill>
          </w14:textFill>
        </w:rPr>
        <w:t>3.</w:t>
      </w:r>
      <w:r>
        <w:rPr>
          <w:rFonts w:ascii="Times New Roman" w:hAnsi="Times New Roman" w:eastAsia="黑体"/>
          <w:color w:val="000000" w:themeColor="text1"/>
          <w:sz w:val="30"/>
          <w:szCs w:val="30"/>
          <w14:textFill>
            <w14:solidFill>
              <w14:schemeClr w14:val="tx1"/>
            </w14:solidFill>
          </w14:textFill>
        </w:rPr>
        <w:t>普拉德-威利综合征</w:t>
      </w:r>
    </w:p>
    <w:tbl>
      <w:tblPr>
        <w:tblStyle w:val="4"/>
        <w:tblW w:w="8691" w:type="dxa"/>
        <w:tblInd w:w="93" w:type="dxa"/>
        <w:tblLayout w:type="fixed"/>
        <w:tblCellMar>
          <w:top w:w="0" w:type="dxa"/>
          <w:left w:w="108" w:type="dxa"/>
          <w:bottom w:w="0" w:type="dxa"/>
          <w:right w:w="108" w:type="dxa"/>
        </w:tblCellMar>
      </w:tblPr>
      <w:tblGrid>
        <w:gridCol w:w="818"/>
        <w:gridCol w:w="2700"/>
        <w:gridCol w:w="2355"/>
        <w:gridCol w:w="2818"/>
      </w:tblGrid>
      <w:tr>
        <w:tblPrEx>
          <w:tblCellMar>
            <w:top w:w="0" w:type="dxa"/>
            <w:left w:w="108" w:type="dxa"/>
            <w:bottom w:w="0" w:type="dxa"/>
            <w:right w:w="108" w:type="dxa"/>
          </w:tblCellMar>
        </w:tblPrEx>
        <w:trPr>
          <w:trHeight w:val="444" w:hRule="atLeast"/>
        </w:trPr>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普拉德-威利综合征</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Q87.106</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普拉德-威利综合征</w:t>
            </w:r>
          </w:p>
        </w:tc>
      </w:tr>
      <w:tr>
        <w:tblPrEx>
          <w:tblCellMar>
            <w:top w:w="0" w:type="dxa"/>
            <w:left w:w="108" w:type="dxa"/>
            <w:bottom w:w="0" w:type="dxa"/>
            <w:right w:w="108" w:type="dxa"/>
          </w:tblCellMar>
        </w:tblPrEx>
        <w:trPr>
          <w:trHeight w:val="91"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7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一、生后喂养困难、婴幼儿期肌张力低、生长发育迟缓、智能障碍、行为异常、特殊面容、多食、肥胖及性腺功能减退为主要临床特征。</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二、采血进行15q11-q13区域甲基化检测或基因检测结果阳性。</w:t>
            </w:r>
          </w:p>
        </w:tc>
      </w:tr>
      <w:tr>
        <w:tblPrEx>
          <w:tblCellMar>
            <w:top w:w="0" w:type="dxa"/>
            <w:left w:w="108" w:type="dxa"/>
            <w:bottom w:w="0" w:type="dxa"/>
            <w:right w:w="108" w:type="dxa"/>
          </w:tblCellMar>
        </w:tblPrEx>
        <w:trPr>
          <w:trHeight w:val="465" w:hRule="atLeast"/>
        </w:trPr>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2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医保目录药品分类代码</w:t>
            </w:r>
          </w:p>
        </w:tc>
        <w:tc>
          <w:tcPr>
            <w:tcW w:w="2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生长激素</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XH01A</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垂体前叶激素和类似物</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促性腺激素</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XG03G</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促性腺激素和其他促排卵药</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全身用激素类避孕药</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XG03A</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全身用激素类避孕药</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雌激素</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XG03C</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雌激素类</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甲状腺制剂</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XH03A</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甲状腺制剂</w:t>
            </w:r>
          </w:p>
        </w:tc>
      </w:tr>
    </w:tbl>
    <w:p>
      <w:pPr>
        <w:spacing w:line="340" w:lineRule="exac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pPr>
        <w:tabs>
          <w:tab w:val="left" w:pos="596"/>
        </w:tabs>
        <w:spacing w:line="340" w:lineRule="exact"/>
        <w:rPr>
          <w:rFonts w:ascii="Times New Roman" w:hAnsi="Times New Roman" w:eastAsia="黑体"/>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1</w:t>
      </w:r>
      <w:r>
        <w:rPr>
          <w:rFonts w:ascii="Times New Roman" w:hAnsi="Times New Roman"/>
          <w:color w:val="000000" w:themeColor="text1"/>
          <w:sz w:val="30"/>
          <w:szCs w:val="30"/>
          <w14:textFill>
            <w14:solidFill>
              <w14:schemeClr w14:val="tx1"/>
            </w14:solidFill>
          </w14:textFill>
        </w:rPr>
        <w:t>4.</w:t>
      </w:r>
      <w:r>
        <w:rPr>
          <w:rFonts w:ascii="Times New Roman" w:hAnsi="Times New Roman" w:eastAsia="黑体"/>
          <w:color w:val="000000" w:themeColor="text1"/>
          <w:sz w:val="30"/>
          <w:szCs w:val="30"/>
          <w14:textFill>
            <w14:solidFill>
              <w14:schemeClr w14:val="tx1"/>
            </w14:solidFill>
          </w14:textFill>
        </w:rPr>
        <w:t>原发性生长激素缺乏症</w:t>
      </w:r>
    </w:p>
    <w:tbl>
      <w:tblPr>
        <w:tblStyle w:val="4"/>
        <w:tblW w:w="8691" w:type="dxa"/>
        <w:tblInd w:w="93" w:type="dxa"/>
        <w:tblLayout w:type="fixed"/>
        <w:tblCellMar>
          <w:top w:w="0" w:type="dxa"/>
          <w:left w:w="108" w:type="dxa"/>
          <w:bottom w:w="0" w:type="dxa"/>
          <w:right w:w="108" w:type="dxa"/>
        </w:tblCellMar>
      </w:tblPr>
      <w:tblGrid>
        <w:gridCol w:w="743"/>
        <w:gridCol w:w="2790"/>
        <w:gridCol w:w="2535"/>
        <w:gridCol w:w="2623"/>
      </w:tblGrid>
      <w:tr>
        <w:tblPrEx>
          <w:tblCellMar>
            <w:top w:w="0" w:type="dxa"/>
            <w:left w:w="108" w:type="dxa"/>
            <w:bottom w:w="0" w:type="dxa"/>
            <w:right w:w="108" w:type="dxa"/>
          </w:tblCellMar>
        </w:tblPrEx>
        <w:trPr>
          <w:trHeight w:val="488" w:hRule="atLeast"/>
        </w:trPr>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1"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原发性生长激素缺乏症</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E23.009</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生长激素缺乏症</w:t>
            </w:r>
          </w:p>
        </w:tc>
      </w:tr>
      <w:tr>
        <w:tblPrEx>
          <w:tblCellMar>
            <w:top w:w="0" w:type="dxa"/>
            <w:left w:w="108" w:type="dxa"/>
            <w:bottom w:w="0" w:type="dxa"/>
            <w:right w:w="108" w:type="dxa"/>
          </w:tblCellMar>
        </w:tblPrEx>
        <w:trPr>
          <w:trHeight w:val="91"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79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spacing w:line="34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ascii="Times New Roman" w:hAnsi="Times New Roman" w:eastAsia="方正仿宋_GBK" w:cs="方正仿宋_GBK"/>
                <w:color w:val="000000" w:themeColor="text1"/>
                <w:kern w:val="0"/>
                <w:sz w:val="21"/>
                <w:szCs w:val="21"/>
                <w:lang w:val="en-US" w:eastAsia="zh-CN" w:bidi="ar"/>
                <w14:textFill>
                  <w14:solidFill>
                    <w14:schemeClr w14:val="tx1"/>
                  </w14:solidFill>
                </w14:textFill>
              </w:rPr>
              <w:t>1.</w:t>
            </w:r>
            <w:r>
              <w:rPr>
                <w:rFonts w:ascii="Times New Roman" w:hAnsi="Times New Roman" w:eastAsia="方正仿宋_GBK" w:cs="方正仿宋_GBK"/>
                <w:color w:val="000000" w:themeColor="text1"/>
                <w:kern w:val="0"/>
                <w:szCs w:val="21"/>
                <w:lang w:bidi="ar"/>
                <w14:textFill>
                  <w14:solidFill>
                    <w14:schemeClr w14:val="tx1"/>
                  </w14:solidFill>
                </w14:textFill>
              </w:rPr>
              <w:t>身高落后于同年龄、同性别正常健康儿童身高的第3百分位数［-1.88SD］或-2SD以下；</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2.年生长速率&lt;7cm/年（3岁以下）：&lt;5cm/年（3岁~青春期前）；&lt;6cm/年（青春期）；</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3.匀称性矮小、面容幼稚；</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4.智力发育正常；</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5.骨龄落后于实际年龄；</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6.两项药物生长激素激发试验提示生长激素峰值均&lt;10</w:t>
            </w:r>
            <w:r>
              <w:rPr>
                <w:rFonts w:hint="eastAsia" w:ascii="Times New Roman" w:hAnsi="Times New Roman" w:eastAsia="方正仿宋_GBK" w:cs="方正仿宋_GBK"/>
                <w:color w:val="000000" w:themeColor="text1"/>
                <w:kern w:val="0"/>
                <w:szCs w:val="21"/>
                <w:lang w:val="en-US" w:eastAsia="zh-CN" w:bidi="ar"/>
                <w14:textFill>
                  <w14:solidFill>
                    <w14:schemeClr w14:val="tx1"/>
                  </w14:solidFill>
                </w14:textFill>
              </w:rPr>
              <w:t>u</w:t>
            </w:r>
            <w:r>
              <w:rPr>
                <w:rFonts w:ascii="Times New Roman" w:hAnsi="Times New Roman" w:eastAsia="方正仿宋_GBK" w:cs="方正仿宋_GBK"/>
                <w:color w:val="000000" w:themeColor="text1"/>
                <w:kern w:val="0"/>
                <w:szCs w:val="21"/>
                <w:lang w:bidi="ar"/>
                <w14:textFill>
                  <w14:solidFill>
                    <w14:schemeClr w14:val="tx1"/>
                  </w14:solidFill>
                </w14:textFill>
              </w:rPr>
              <w:t>g/L；</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7.血清胰岛素样生长因子1（IGFI）水平低于正常</w:t>
            </w:r>
            <w:r>
              <w:rPr>
                <w:rFonts w:hint="eastAsia" w:ascii="Times New Roman" w:hAnsi="Times New Roman" w:eastAsia="方正仿宋_GBK" w:cs="方正仿宋_GBK"/>
                <w:color w:val="000000" w:themeColor="text1"/>
                <w:kern w:val="0"/>
                <w:szCs w:val="21"/>
                <w:lang w:eastAsia="zh-CN" w:bidi="ar"/>
                <w14:textFill>
                  <w14:solidFill>
                    <w14:schemeClr w14:val="tx1"/>
                  </w14:solidFill>
                </w14:textFill>
              </w:rPr>
              <w:t>；</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 xml:space="preserve">附：生长激素激发试验 </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GH兴奋试验常用药：</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左旋多巴：10mg/kg 口服,最大剂量500mg/次；可乐定：4-5ug/kg；口服精氨酸：0.5g/kg 静脉滴注；胰岛素：0.05-0.1U/kg 静脉注射；溴比斯地明 1mg/kg,最大剂量100mg/次；用药前0min和用药后30、60、90、120min抽血测GH</w:t>
            </w:r>
          </w:p>
          <w:p>
            <w:pPr>
              <w:widowControl/>
              <w:numPr>
                <w:ilvl w:val="0"/>
                <w:numId w:val="0"/>
              </w:numPr>
              <w:spacing w:line="340" w:lineRule="exact"/>
              <w:jc w:val="left"/>
              <w:textAlignment w:val="center"/>
              <w:rPr>
                <w:rFonts w:hint="default" w:ascii="Times New Roman" w:hAnsi="Times New Roman" w:eastAsia="方正仿宋_GBK" w:cs="方正仿宋_GBK"/>
                <w:color w:val="000000" w:themeColor="text1"/>
                <w:kern w:val="0"/>
                <w:szCs w:val="21"/>
                <w:lang w:val="en-US" w:eastAsia="zh-CN" w:bidi="ar"/>
                <w14:textFill>
                  <w14:solidFill>
                    <w14:schemeClr w14:val="tx1"/>
                  </w14:solidFill>
                </w14:textFill>
              </w:rPr>
            </w:pPr>
            <w:r>
              <w:rPr>
                <w:rFonts w:hint="eastAsia" w:ascii="Times New Roman" w:hAnsi="Times New Roman" w:eastAsia="方正仿宋_GBK" w:cs="方正仿宋_GBK"/>
                <w:color w:val="000000" w:themeColor="text1"/>
                <w:kern w:val="0"/>
                <w:szCs w:val="21"/>
                <w:lang w:val="en-US" w:eastAsia="zh-CN" w:bidi="ar"/>
                <w14:textFill>
                  <w14:solidFill>
                    <w14:schemeClr w14:val="tx1"/>
                  </w14:solidFill>
                </w14:textFill>
              </w:rPr>
              <w:t>8.排除其他基础疾病。</w:t>
            </w:r>
          </w:p>
        </w:tc>
      </w:tr>
      <w:tr>
        <w:tblPrEx>
          <w:tblCellMar>
            <w:top w:w="0" w:type="dxa"/>
            <w:left w:w="108" w:type="dxa"/>
            <w:bottom w:w="0" w:type="dxa"/>
            <w:right w:w="108" w:type="dxa"/>
          </w:tblCellMar>
        </w:tblPrEx>
        <w:trPr>
          <w:trHeight w:val="450" w:hRule="atLeast"/>
        </w:trPr>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医保目录药品分类代码</w:t>
            </w:r>
          </w:p>
        </w:tc>
        <w:tc>
          <w:tcPr>
            <w:tcW w:w="26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1"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生长激素</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XH01A</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垂体前叶激素和类似物</w:t>
            </w:r>
          </w:p>
        </w:tc>
      </w:tr>
    </w:tbl>
    <w:p>
      <w:pPr>
        <w:spacing w:line="340" w:lineRule="exact"/>
        <w:rPr>
          <w:rFonts w:ascii="Times New Roman" w:hAnsi="Times New Roman"/>
          <w:color w:val="000000" w:themeColor="text1"/>
          <w:sz w:val="36"/>
          <w:szCs w:val="36"/>
          <w14:textFill>
            <w14:solidFill>
              <w14:schemeClr w14:val="tx1"/>
            </w14:solidFill>
          </w14:textFill>
        </w:rPr>
      </w:pPr>
      <w:r>
        <w:rPr>
          <w:rFonts w:hint="eastAsia" w:ascii="Times New Roman" w:hAnsi="Times New Roman"/>
          <w:color w:val="000000" w:themeColor="text1"/>
          <w:sz w:val="36"/>
          <w:szCs w:val="36"/>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312" w:beforeLines="100" w:line="600" w:lineRule="exact"/>
        <w:jc w:val="center"/>
        <w:textAlignment w:val="auto"/>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t>二类病种</w:t>
      </w:r>
    </w:p>
    <w:p>
      <w:pPr>
        <w:keepNext w:val="0"/>
        <w:keepLines w:val="0"/>
        <w:pageBreakBefore w:val="0"/>
        <w:widowControl w:val="0"/>
        <w:tabs>
          <w:tab w:val="left" w:pos="737"/>
        </w:tabs>
        <w:kinsoku/>
        <w:wordWrap/>
        <w:overflowPunct/>
        <w:topLinePunct w:val="0"/>
        <w:autoSpaceDE/>
        <w:autoSpaceDN/>
        <w:bidi w:val="0"/>
        <w:adjustRightInd/>
        <w:snapToGrid/>
        <w:spacing w:line="500" w:lineRule="exact"/>
        <w:textAlignment w:val="auto"/>
        <w:rPr>
          <w:rFonts w:hint="eastAsia" w:ascii="Times New Roman" w:hAnsi="Times New Roman" w:eastAsia="黑体"/>
          <w:color w:val="000000" w:themeColor="text1"/>
          <w:sz w:val="30"/>
          <w:szCs w:val="30"/>
          <w14:textFill>
            <w14:solidFill>
              <w14:schemeClr w14:val="tx1"/>
            </w14:solidFill>
          </w14:textFill>
        </w:rPr>
      </w:pPr>
    </w:p>
    <w:p>
      <w:pPr>
        <w:keepNext w:val="0"/>
        <w:keepLines w:val="0"/>
        <w:pageBreakBefore w:val="0"/>
        <w:widowControl w:val="0"/>
        <w:tabs>
          <w:tab w:val="left" w:pos="737"/>
        </w:tabs>
        <w:kinsoku/>
        <w:wordWrap/>
        <w:overflowPunct/>
        <w:topLinePunct w:val="0"/>
        <w:autoSpaceDE/>
        <w:autoSpaceDN/>
        <w:bidi w:val="0"/>
        <w:adjustRightInd/>
        <w:snapToGrid/>
        <w:spacing w:line="600" w:lineRule="exact"/>
        <w:textAlignment w:val="auto"/>
        <w:rPr>
          <w:rFonts w:ascii="Times New Roman" w:hAnsi="Times New Roman" w:eastAsia="黑体"/>
          <w:color w:val="000000" w:themeColor="text1"/>
          <w:sz w:val="30"/>
          <w:szCs w:val="30"/>
          <w14:textFill>
            <w14:solidFill>
              <w14:schemeClr w14:val="tx1"/>
            </w14:solidFill>
          </w14:textFill>
        </w:rPr>
      </w:pPr>
      <w:r>
        <w:rPr>
          <w:rFonts w:hint="eastAsia" w:ascii="Times New Roman" w:hAnsi="Times New Roman" w:eastAsia="黑体"/>
          <w:color w:val="000000" w:themeColor="text1"/>
          <w:sz w:val="30"/>
          <w:szCs w:val="30"/>
          <w14:textFill>
            <w14:solidFill>
              <w14:schemeClr w14:val="tx1"/>
            </w14:solidFill>
          </w14:textFill>
        </w:rPr>
        <w:t>1</w:t>
      </w:r>
      <w:r>
        <w:rPr>
          <w:rFonts w:ascii="Times New Roman" w:hAnsi="Times New Roman" w:eastAsia="黑体"/>
          <w:color w:val="000000" w:themeColor="text1"/>
          <w:sz w:val="30"/>
          <w:szCs w:val="30"/>
          <w14:textFill>
            <w14:solidFill>
              <w14:schemeClr w14:val="tx1"/>
            </w14:solidFill>
          </w14:textFill>
        </w:rPr>
        <w:t>.强直性脊柱炎</w:t>
      </w:r>
    </w:p>
    <w:tbl>
      <w:tblPr>
        <w:tblStyle w:val="4"/>
        <w:tblW w:w="8691" w:type="dxa"/>
        <w:tblInd w:w="93" w:type="dxa"/>
        <w:tblLayout w:type="fixed"/>
        <w:tblCellMar>
          <w:top w:w="0" w:type="dxa"/>
          <w:left w:w="108" w:type="dxa"/>
          <w:bottom w:w="0" w:type="dxa"/>
          <w:right w:w="108" w:type="dxa"/>
        </w:tblCellMar>
      </w:tblPr>
      <w:tblGrid>
        <w:gridCol w:w="787"/>
        <w:gridCol w:w="2596"/>
        <w:gridCol w:w="2430"/>
        <w:gridCol w:w="2878"/>
      </w:tblGrid>
      <w:tr>
        <w:tblPrEx>
          <w:tblCellMar>
            <w:top w:w="0" w:type="dxa"/>
            <w:left w:w="108" w:type="dxa"/>
            <w:bottom w:w="0" w:type="dxa"/>
            <w:right w:w="108" w:type="dxa"/>
          </w:tblCellMar>
        </w:tblPrEx>
        <w:trPr>
          <w:trHeight w:val="435" w:hRule="atLeast"/>
        </w:trPr>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强直性脊柱炎</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M45.x00</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强直性脊柱炎</w:t>
            </w:r>
          </w:p>
        </w:tc>
      </w:tr>
      <w:tr>
        <w:tblPrEx>
          <w:tblCellMar>
            <w:top w:w="0" w:type="dxa"/>
            <w:left w:w="108" w:type="dxa"/>
            <w:bottom w:w="0" w:type="dxa"/>
            <w:right w:w="108" w:type="dxa"/>
          </w:tblCellMar>
        </w:tblPrEx>
        <w:trPr>
          <w:trHeight w:val="9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79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强直性脊柱炎诊断分类标准：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1、炎性腰背痛持续至少3个月，且符合以下5条中的4条：</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1）发病年龄＜40岁，</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2）隐匿起病，</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3）活动后症状好转，</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4）休息时加重，</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5）夜间痛，起床后好转。</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2、腰椎在前后和侧屈方向活动受限；</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3、胸廓扩展范围小于同龄和性别的正常参考值；</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4、双侧骶髂关节炎II-IV级，或单侧骶髂关节炎III-IV级；</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骶髂关节炎放射学分级：</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1）0级正常，</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2）I级可疑变化，</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3）II级轻度异常，可见局限性侵蚀、硬化，但无关节间隙的改变，</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4）III级明显异常，为中度或进行性骶髂关节炎，伴有侵蚀、硬化、关节间隙增宽或狭窄或部分强直，</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5）IV级严重异常，完全关节强直。</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患者符合第4条，且符合1~3条中的任意1条可诊断强直性脊柱炎。</w:t>
            </w:r>
          </w:p>
        </w:tc>
      </w:tr>
      <w:tr>
        <w:tblPrEx>
          <w:tblCellMar>
            <w:top w:w="0" w:type="dxa"/>
            <w:left w:w="108" w:type="dxa"/>
            <w:bottom w:w="0" w:type="dxa"/>
            <w:right w:w="108" w:type="dxa"/>
          </w:tblCellMar>
        </w:tblPrEx>
        <w:trPr>
          <w:trHeight w:val="405" w:hRule="atLeast"/>
        </w:trPr>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医保目录药品分类代码</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生物制剂或小分子靶向药</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XL04AB</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肿瘤坏死因子α(TNF-α)抑制剂</w:t>
            </w:r>
          </w:p>
        </w:tc>
      </w:tr>
      <w:tr>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XL04AC</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白介素抑制剂</w:t>
            </w:r>
          </w:p>
        </w:tc>
      </w:tr>
      <w:tr>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XL04AA</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选择性免疫抑制剂</w:t>
            </w:r>
          </w:p>
        </w:tc>
      </w:tr>
      <w:tr>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非甾体抗炎药</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XM01A</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非甾体类抗炎和抗风湿药</w:t>
            </w:r>
          </w:p>
        </w:tc>
      </w:tr>
      <w:tr>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并发症对症治疗</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XA12</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矿物质补充剂</w:t>
            </w:r>
          </w:p>
        </w:tc>
      </w:tr>
      <w:tr>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XA11</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维生素类</w:t>
            </w:r>
          </w:p>
        </w:tc>
      </w:tr>
      <w:tr>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XJ04A</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治疗结核病药</w:t>
            </w:r>
          </w:p>
        </w:tc>
      </w:tr>
      <w:tr>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XJ05AF</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核苷及核苷酸逆转录酶抑制剂</w:t>
            </w:r>
          </w:p>
        </w:tc>
      </w:tr>
      <w:tr>
        <w:tblPrEx>
          <w:tblCellMar>
            <w:top w:w="0" w:type="dxa"/>
            <w:left w:w="108" w:type="dxa"/>
            <w:bottom w:w="0" w:type="dxa"/>
            <w:right w:w="108" w:type="dxa"/>
          </w:tblCellMar>
        </w:tblPrEx>
        <w:trPr>
          <w:trHeight w:val="405" w:hRule="atLeast"/>
        </w:trPr>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医疗服务项目编码</w:t>
            </w: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医疗服务项目名称</w:t>
            </w:r>
          </w:p>
        </w:tc>
      </w:tr>
      <w:tr>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血常规</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250101015</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血细胞分析</w:t>
            </w:r>
          </w:p>
        </w:tc>
      </w:tr>
      <w:tr>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肝功能</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250305001</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血清总胆红素测定</w:t>
            </w:r>
          </w:p>
        </w:tc>
      </w:tr>
      <w:tr>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250305002</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血清直接胆红素测定</w:t>
            </w:r>
          </w:p>
        </w:tc>
      </w:tr>
      <w:tr>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250305003</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血清间接胆红素测定</w:t>
            </w:r>
          </w:p>
        </w:tc>
      </w:tr>
      <w:tr>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250305007</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血清丙氨酸氨基转移酶测定</w:t>
            </w:r>
          </w:p>
        </w:tc>
      </w:tr>
      <w:tr>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250305008</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血清天门冬氨酸氨基转移酶测定</w:t>
            </w:r>
          </w:p>
        </w:tc>
      </w:tr>
      <w:tr>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250305009</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血清γ-谷氨酰基转移酶测定</w:t>
            </w:r>
          </w:p>
        </w:tc>
      </w:tr>
      <w:tr>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250305011</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血清碱性磷酸酶测定</w:t>
            </w:r>
          </w:p>
        </w:tc>
      </w:tr>
      <w:tr>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250301001</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血清总蛋白测定</w:t>
            </w:r>
          </w:p>
        </w:tc>
      </w:tr>
      <w:tr>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250301002</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血清白蛋白测定</w:t>
            </w:r>
          </w:p>
        </w:tc>
      </w:tr>
      <w:tr>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肾功能</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250307001</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尿素测定</w:t>
            </w:r>
          </w:p>
        </w:tc>
      </w:tr>
      <w:tr>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250307002</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肌酐测定</w:t>
            </w:r>
          </w:p>
        </w:tc>
      </w:tr>
      <w:tr>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250307005</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血清尿酸测定</w:t>
            </w:r>
          </w:p>
        </w:tc>
      </w:tr>
      <w:tr>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血沉</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250101008</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红细胞沉降率测定(ESR)</w:t>
            </w:r>
          </w:p>
        </w:tc>
      </w:tr>
      <w:tr>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C反应蛋白</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250401025</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C—反应蛋白测定(CRP)</w:t>
            </w:r>
          </w:p>
        </w:tc>
      </w:tr>
      <w:tr>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25羟维生素D测定</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250309001</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25羟维生素D测定</w:t>
            </w:r>
          </w:p>
        </w:tc>
      </w:tr>
      <w:tr>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骨代谢检测</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250305013</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血清骨型碱性磷酸酶质量测定</w:t>
            </w:r>
          </w:p>
        </w:tc>
      </w:tr>
      <w:tr>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250311005</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I型胶原羧基端前肽(PICP)测定</w:t>
            </w:r>
          </w:p>
        </w:tc>
      </w:tr>
      <w:tr>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250311006</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骨钙羧基N端中分子片段测定(N-MID)</w:t>
            </w:r>
          </w:p>
        </w:tc>
      </w:tr>
      <w:tr>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250311007</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β-胶原降解产物测定(β-CTX)</w:t>
            </w:r>
          </w:p>
        </w:tc>
      </w:tr>
      <w:tr>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骨密度（医保基金支付不超过1次/年）</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230200055</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骨密度测定</w:t>
            </w:r>
          </w:p>
        </w:tc>
      </w:tr>
      <w:tr>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X线、DR、CR（脊柱、盆腔）</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210101001</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普通透视</w:t>
            </w:r>
          </w:p>
        </w:tc>
      </w:tr>
      <w:tr>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210101001.30</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普通透视(盆腔)</w:t>
            </w:r>
          </w:p>
        </w:tc>
      </w:tr>
      <w:tr>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210101001.40</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普通透视(四肢)</w:t>
            </w:r>
          </w:p>
        </w:tc>
      </w:tr>
      <w:tr>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210102015</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数字化X线摄影(DR)</w:t>
            </w:r>
          </w:p>
        </w:tc>
      </w:tr>
      <w:tr>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210102016</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计算机X线摄影(ComputedRadiography,CR)</w:t>
            </w:r>
          </w:p>
        </w:tc>
      </w:tr>
      <w:tr>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胸部CT（医保基金支付不超过1次/年）</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210300001</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X线计算机体层(CT)平扫</w:t>
            </w:r>
          </w:p>
        </w:tc>
      </w:tr>
      <w:tr>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210300002</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X线计算机体层(CT)增强扫描</w:t>
            </w:r>
          </w:p>
        </w:tc>
      </w:tr>
      <w:tr>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EBAJT001</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胸部X线计算机体层(CT)平扫</w:t>
            </w:r>
          </w:p>
        </w:tc>
      </w:tr>
      <w:tr>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EBBJT001</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胸部X线计算机体层(CT)增强扫描</w:t>
            </w:r>
          </w:p>
        </w:tc>
      </w:tr>
      <w:tr>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骶髂关节CT（不可与骶髂关节MRI同时检查，医保基金支付不超过1次/年）</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EBAXC001</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骶髂关节X线计算机体层(CT)平扫</w:t>
            </w:r>
          </w:p>
        </w:tc>
      </w:tr>
      <w:tr>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EBBXC001</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骶髂关节X线计算机体层(CT)增强扫描</w:t>
            </w:r>
          </w:p>
        </w:tc>
      </w:tr>
      <w:tr>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210300001</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X线计算机体层(CT)平扫</w:t>
            </w:r>
          </w:p>
        </w:tc>
      </w:tr>
      <w:tr>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210300002</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X线计算机体层(CT)增强扫描</w:t>
            </w:r>
          </w:p>
        </w:tc>
      </w:tr>
      <w:tr>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骶髂关节MRI（不可与骶髂关节CT同时检查，医保基金支付不超过1次/年）</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ECAXC001</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骶髂关节磁共振成像</w:t>
            </w:r>
          </w:p>
        </w:tc>
      </w:tr>
      <w:tr>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视力检查（限并发葡萄膜炎）</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310300001</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普通视力检查</w:t>
            </w:r>
          </w:p>
        </w:tc>
      </w:tr>
      <w:tr>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裂隙灯（限并发葡萄膜炎）</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310300048</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裂隙灯检查</w:t>
            </w:r>
          </w:p>
        </w:tc>
      </w:tr>
      <w:tr>
        <w:tblPrEx>
          <w:tblCellMar>
            <w:top w:w="0" w:type="dxa"/>
            <w:left w:w="108" w:type="dxa"/>
            <w:bottom w:w="0" w:type="dxa"/>
            <w:right w:w="108" w:type="dxa"/>
          </w:tblCellMar>
        </w:tblPrEx>
        <w:trPr>
          <w:trHeight w:val="9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眼底镜（限并发葡萄膜炎）</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310300056</w:t>
            </w:r>
          </w:p>
        </w:tc>
        <w:tc>
          <w:tcPr>
            <w:tcW w:w="2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眼底检查</w:t>
            </w:r>
          </w:p>
        </w:tc>
      </w:tr>
    </w:tbl>
    <w:p>
      <w:pPr>
        <w:spacing w:line="340" w:lineRule="exac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pPr>
        <w:tabs>
          <w:tab w:val="left" w:pos="737"/>
        </w:tabs>
        <w:spacing w:line="340" w:lineRule="exact"/>
        <w:rPr>
          <w:rFonts w:ascii="Times New Roman" w:hAnsi="Times New Roman" w:eastAsia="黑体"/>
          <w:color w:val="000000" w:themeColor="text1"/>
          <w:sz w:val="30"/>
          <w:szCs w:val="30"/>
          <w14:textFill>
            <w14:solidFill>
              <w14:schemeClr w14:val="tx1"/>
            </w14:solidFill>
          </w14:textFill>
        </w:rPr>
      </w:pPr>
      <w:r>
        <w:rPr>
          <w:rFonts w:hint="eastAsia" w:ascii="Times New Roman" w:hAnsi="Times New Roman" w:eastAsia="黑体"/>
          <w:color w:val="000000" w:themeColor="text1"/>
          <w:sz w:val="30"/>
          <w:szCs w:val="30"/>
          <w14:textFill>
            <w14:solidFill>
              <w14:schemeClr w14:val="tx1"/>
            </w14:solidFill>
          </w14:textFill>
        </w:rPr>
        <w:t>2</w:t>
      </w:r>
      <w:r>
        <w:rPr>
          <w:rFonts w:ascii="Times New Roman" w:hAnsi="Times New Roman" w:eastAsia="黑体"/>
          <w:color w:val="000000" w:themeColor="text1"/>
          <w:sz w:val="30"/>
          <w:szCs w:val="30"/>
          <w14:textFill>
            <w14:solidFill>
              <w14:schemeClr w14:val="tx1"/>
            </w14:solidFill>
          </w14:textFill>
        </w:rPr>
        <w:t>.原发性肾病综合征</w:t>
      </w:r>
    </w:p>
    <w:tbl>
      <w:tblPr>
        <w:tblStyle w:val="4"/>
        <w:tblW w:w="8858" w:type="dxa"/>
        <w:tblInd w:w="93" w:type="dxa"/>
        <w:tblLayout w:type="fixed"/>
        <w:tblCellMar>
          <w:top w:w="0" w:type="dxa"/>
          <w:left w:w="108" w:type="dxa"/>
          <w:bottom w:w="0" w:type="dxa"/>
          <w:right w:w="108" w:type="dxa"/>
        </w:tblCellMar>
      </w:tblPr>
      <w:tblGrid>
        <w:gridCol w:w="713"/>
        <w:gridCol w:w="2435"/>
        <w:gridCol w:w="1930"/>
        <w:gridCol w:w="3780"/>
      </w:tblGrid>
      <w:tr>
        <w:tblPrEx>
          <w:tblCellMar>
            <w:top w:w="0" w:type="dxa"/>
            <w:left w:w="108" w:type="dxa"/>
            <w:bottom w:w="0" w:type="dxa"/>
            <w:right w:w="108" w:type="dxa"/>
          </w:tblCellMar>
        </w:tblPrEx>
        <w:trPr>
          <w:trHeight w:val="458" w:hRule="atLeast"/>
        </w:trPr>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原发性肾病综合征</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N04.000</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肾病综合征伴有轻微的肾小球异常</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N04.001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肾病综合征伴微小病变性肾小球肾炎</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N04.100</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肾病综合征伴有局灶性和节段性肾小球损害</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N04.101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肾病综合征伴局灶硬化性肾小球肾炎</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N04.102</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肾病综合征伴节段硬化性肾小球肾炎</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N04.200</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肾病综合征伴有弥漫性膜性肾小球肾炎</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N04.200x001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肾病综合征伴膜性肾小球肾炎</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N04.300</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肾病综合征伴有弥漫性肾小球系膜性增生性肾小球肾炎</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N04.300x001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肾病综合征伴膜增值性肾小球肾炎</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N04.300x003</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肾病综合征伴膜性增殖性IgA肾病</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N04.400</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肾病综合征伴有弥漫性毛细血管内增生性肾小球肾炎</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N04.400x001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肾病综合征伴毛细血管增殖性肾炎</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N04.500</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肾病综合征伴有弥漫性肾小球系膜毛细血管性肾小球肾炎</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N04.501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肾病综合征，膜增殖性肾小球肾炎Ⅰ型</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N04.502</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肾病综合征，膜增殖性肾小球肾炎Ⅲ型</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N04.600</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肾病综合征伴有密集沉积物病</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N04.601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肾病综合征，膜增殖性肾小球肾炎Ⅱ型</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N04.700</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肾病综合征伴有弥漫性新月形肾小球肾炎</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N04.800</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肾病综合征,其他的</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N04.801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肾病综合征，增殖性肾小球肾炎</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N04.900</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肾病综合征</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N04.902</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先天性肾病综合征</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O26.801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妊娠合并肾病综合征</w:t>
            </w:r>
          </w:p>
        </w:tc>
      </w:tr>
      <w:tr>
        <w:tblPrEx>
          <w:tblCellMar>
            <w:top w:w="0" w:type="dxa"/>
            <w:left w:w="108" w:type="dxa"/>
            <w:bottom w:w="0" w:type="dxa"/>
            <w:right w:w="108" w:type="dxa"/>
          </w:tblCellMar>
        </w:tblPrEx>
        <w:trPr>
          <w:trHeight w:val="9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81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一、大量蛋白尿（＞3.5g/d）。</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二、低白蛋白血症（血清白蛋白＜30g/L）。</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三、水肿。</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四、高脂血症。</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五、排除继发性病因，考虑原发性肾小球疾病。</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需同时满足一、二、五条。</w:t>
            </w:r>
          </w:p>
        </w:tc>
      </w:tr>
      <w:tr>
        <w:tblPrEx>
          <w:tblCellMar>
            <w:top w:w="0" w:type="dxa"/>
            <w:left w:w="108" w:type="dxa"/>
            <w:bottom w:w="0" w:type="dxa"/>
            <w:right w:w="108" w:type="dxa"/>
          </w:tblCellMar>
        </w:tblPrEx>
        <w:trPr>
          <w:trHeight w:val="91" w:hRule="atLeast"/>
        </w:trPr>
        <w:tc>
          <w:tcPr>
            <w:tcW w:w="7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2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医保目录药品分类代码</w:t>
            </w:r>
          </w:p>
        </w:tc>
        <w:tc>
          <w:tcPr>
            <w:tcW w:w="3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糖皮质激素</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XH02</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全身用皮质激素类</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免疫抑制剂</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XL04AD</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钙调磷酸酶抑制剂</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XL01AA</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氮芥类似物</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减少尿蛋白药物</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XA10BK</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钠葡萄糖协同转运蛋白2(SGLT-2)抑制剂</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纠正水、电解质酸碱平衡紊乱（代谢性酸中毒、高钾血症）药物</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XA12</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矿物质补充剂</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纠正水、电解质酸碱平衡紊乱（代谢性酸中毒、高钾血症）药物（限使用激素的患者）</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XA02BA</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H2-受体拮抗剂</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XA02BC</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质子泵抑制剂</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利尿剂</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XC03</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利尿剂</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降脂药物</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XC10A</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单方调节血脂药</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抗血小板药物</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XB01AC</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血小板凝聚抑制剂，肝素除外</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口服吸附毒素和导泄排毒疗法药物</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XG04B</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泌尿系统药</w:t>
            </w:r>
          </w:p>
        </w:tc>
      </w:tr>
      <w:tr>
        <w:tblPrEx>
          <w:tblCellMar>
            <w:top w:w="0" w:type="dxa"/>
            <w:left w:w="108" w:type="dxa"/>
            <w:bottom w:w="0" w:type="dxa"/>
            <w:right w:w="108" w:type="dxa"/>
          </w:tblCellMar>
        </w:tblPrEx>
        <w:trPr>
          <w:trHeight w:val="91" w:hRule="atLeast"/>
        </w:trPr>
        <w:tc>
          <w:tcPr>
            <w:tcW w:w="7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Times New Roman" w:hAnsi="Times New Roman" w:eastAsia="方正黑体_GBK" w:cs="方正黑体_GBK"/>
                <w:color w:val="000000" w:themeColor="text1"/>
                <w:sz w:val="24"/>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24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医保目录医疗服务项目编码</w:t>
            </w:r>
          </w:p>
        </w:tc>
        <w:tc>
          <w:tcPr>
            <w:tcW w:w="3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血常规</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250101015</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血细胞分析</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肝功能</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血清总胆红素测定</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250305002</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血清直接胆红素测定</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250305003</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血清间接胆红素测定</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250305007</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血清丙氨酸氨基转移酶测定</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250305008</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血清天门冬氨酸氨基转移酶测定</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250305009</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血清γ-谷氨酰基转移酶测定</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血清碱性磷酸酶测定</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血清总蛋白测定</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250301002</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血清白蛋白测定</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250301006</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血清前白蛋白测定</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250306005</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乳酸脱氢酶测定</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肾功能</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尿素测定</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250307002</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肌酐测定</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250307005</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血清尿酸测定</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250307028</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血清胱抑素(CystatinC)测定</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电解质</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钾测定</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250304002</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钠测定</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250304003</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氯测定</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250304004</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钙测定</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血脂</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血清总胆固醇测定</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250303002</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血清甘油三酯测定</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250303004</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血清高密度脂蛋白胆固醇测定</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250303005</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血清低密度脂蛋白胆固醇测定</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尿常规</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250102035</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尿液分析</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250102024</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尿沉渣定量</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尿白蛋白/肌酐比值</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250307002</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肌酐测定</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250102006</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尿蛋白定量</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250307006</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尿微量白蛋白测定</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淋巴细胞亚群（限使用CD20单抗）</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250401031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血细胞簇分化抗原(CD)系列检测</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24小时尿蛋白定量</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250102006</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尿蛋白定量</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抗磷脂酶A2受体</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250307031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抗磷脂酶A2受体（PLA2R）抗体检测</w:t>
            </w:r>
          </w:p>
        </w:tc>
      </w:tr>
    </w:tbl>
    <w:p>
      <w:pPr>
        <w:spacing w:line="340" w:lineRule="exac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pPr>
        <w:tabs>
          <w:tab w:val="left" w:pos="737"/>
        </w:tabs>
        <w:spacing w:line="340" w:lineRule="exact"/>
        <w:rPr>
          <w:rFonts w:ascii="Times New Roman" w:hAnsi="Times New Roman" w:eastAsia="黑体"/>
          <w:color w:val="000000" w:themeColor="text1"/>
          <w:sz w:val="30"/>
          <w:szCs w:val="30"/>
          <w14:textFill>
            <w14:solidFill>
              <w14:schemeClr w14:val="tx1"/>
            </w14:solidFill>
          </w14:textFill>
        </w:rPr>
      </w:pPr>
      <w:r>
        <w:rPr>
          <w:rFonts w:hint="eastAsia" w:ascii="Times New Roman" w:hAnsi="Times New Roman" w:eastAsia="黑体"/>
          <w:color w:val="000000" w:themeColor="text1"/>
          <w:sz w:val="30"/>
          <w:szCs w:val="30"/>
          <w14:textFill>
            <w14:solidFill>
              <w14:schemeClr w14:val="tx1"/>
            </w14:solidFill>
          </w14:textFill>
        </w:rPr>
        <w:t>3</w:t>
      </w:r>
      <w:r>
        <w:rPr>
          <w:rFonts w:ascii="Times New Roman" w:hAnsi="Times New Roman" w:eastAsia="黑体"/>
          <w:color w:val="000000" w:themeColor="text1"/>
          <w:sz w:val="30"/>
          <w:szCs w:val="30"/>
          <w14:textFill>
            <w14:solidFill>
              <w14:schemeClr w14:val="tx1"/>
            </w14:solidFill>
          </w14:textFill>
        </w:rPr>
        <w:t>.肝豆状核变性</w:t>
      </w:r>
    </w:p>
    <w:tbl>
      <w:tblPr>
        <w:tblStyle w:val="4"/>
        <w:tblW w:w="8873" w:type="dxa"/>
        <w:tblInd w:w="93" w:type="dxa"/>
        <w:tblLayout w:type="autofit"/>
        <w:tblCellMar>
          <w:top w:w="0" w:type="dxa"/>
          <w:left w:w="108" w:type="dxa"/>
          <w:bottom w:w="0" w:type="dxa"/>
          <w:right w:w="108" w:type="dxa"/>
        </w:tblCellMar>
      </w:tblPr>
      <w:tblGrid>
        <w:gridCol w:w="773"/>
        <w:gridCol w:w="1196"/>
        <w:gridCol w:w="1761"/>
        <w:gridCol w:w="1984"/>
        <w:gridCol w:w="3159"/>
      </w:tblGrid>
      <w:tr>
        <w:tblPrEx>
          <w:tblCellMar>
            <w:top w:w="0" w:type="dxa"/>
            <w:left w:w="108" w:type="dxa"/>
            <w:bottom w:w="0" w:type="dxa"/>
            <w:right w:w="108" w:type="dxa"/>
          </w:tblCellMar>
        </w:tblPrEx>
        <w:trPr>
          <w:trHeight w:val="346" w:hRule="atLeast"/>
        </w:trPr>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29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肝豆状核变性</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E83.003+F02.8*</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肝豆状核变性痴呆</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E83.001</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肝豆状核变性</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E83.001</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肝豆状核变性</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O99.208</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妊娠合并肝豆状核变性</w:t>
            </w:r>
          </w:p>
        </w:tc>
      </w:tr>
      <w:tr>
        <w:tblPrEx>
          <w:tblCellMar>
            <w:top w:w="0" w:type="dxa"/>
            <w:left w:w="108" w:type="dxa"/>
            <w:bottom w:w="0" w:type="dxa"/>
            <w:right w:w="108" w:type="dxa"/>
          </w:tblCellMar>
        </w:tblPrEx>
        <w:trPr>
          <w:trHeight w:val="91"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81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一、具有肝损害临床表现或神经系统症状。</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二、血清铜蓝蛋白降低(&lt;0.2g/L)，24h尿铜升高(&gt;100μg)。</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三、裂隙灯下可见角膜K-F环(角膜色素环)。</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四、基因检测检出ATP7B突变</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注：同时具备一、二、三项者或同时具备一、四项者为肝豆状核变性。</w:t>
            </w:r>
          </w:p>
        </w:tc>
      </w:tr>
      <w:tr>
        <w:tblPrEx>
          <w:tblCellMar>
            <w:top w:w="0" w:type="dxa"/>
            <w:left w:w="108" w:type="dxa"/>
            <w:bottom w:w="0" w:type="dxa"/>
            <w:right w:w="108" w:type="dxa"/>
          </w:tblCellMar>
        </w:tblPrEx>
        <w:trPr>
          <w:trHeight w:val="91" w:hRule="atLeast"/>
        </w:trPr>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2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医保目录药品分类代码</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驱铜及阻止铜吸收的药物</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青霉胺</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XA12</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矿物质补充剂</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硫酸锌</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XM01C</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特异性抗风湿药</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解毒药</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XV03AB</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解毒药</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对症治疗药物</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胆治疗药</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XA05A</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胆治疗药</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肝脏治疗药，抗脂肪肝药</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XA05B</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肝脏治疗药，抗脂肪肝药</w:t>
            </w:r>
          </w:p>
        </w:tc>
      </w:tr>
      <w:tr>
        <w:tblPrEx>
          <w:tblCellMar>
            <w:top w:w="0" w:type="dxa"/>
            <w:left w:w="108" w:type="dxa"/>
            <w:bottom w:w="0" w:type="dxa"/>
            <w:right w:w="108" w:type="dxa"/>
          </w:tblCellMar>
        </w:tblPrEx>
        <w:trPr>
          <w:trHeight w:val="91" w:hRule="atLeast"/>
        </w:trPr>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29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医保目录医疗服务项目编码</w:t>
            </w:r>
          </w:p>
        </w:tc>
        <w:tc>
          <w:tcPr>
            <w:tcW w:w="3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肝功、铜代谢相关的生化检查</w:t>
            </w:r>
          </w:p>
        </w:tc>
        <w:tc>
          <w:tcPr>
            <w:tcW w:w="17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肝功能</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250305001</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血清总胆红素测定</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250305002</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血清直接胆红素测定</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250305003</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血清间接胆红素测定</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250305007</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血清丙氨酸氨基转移酶测定</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250305008</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血清天门冬氨酸氨基转移酶测定</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250305009</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血清γ-谷氨酰基转移酶测定</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250305011</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血清碱性磷酸酶测定</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250301001</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血清总蛋白测定</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250301002</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血清白蛋白测定</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250306005</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乳酸脱氢酶测定</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血清铜蓝蛋白</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250401028</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铜蓝蛋白测定</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24小时尿铜</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hint="eastAsia" w:ascii="Times New Roman" w:hAnsi="Times New Roman" w:eastAsia="方正仿宋_GBK" w:cs="方正仿宋_GBK"/>
                <w:color w:val="000000" w:themeColor="text1"/>
                <w:szCs w:val="21"/>
                <w:lang w:val="en-US" w:eastAsia="zh-CN"/>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250304013.1</w:t>
            </w:r>
            <w:r>
              <w:rPr>
                <w:rFonts w:hint="eastAsia" w:ascii="Times New Roman" w:hAnsi="Times New Roman" w:eastAsia="方正仿宋_GBK" w:cs="方正仿宋_GBK"/>
                <w:color w:val="000000" w:themeColor="text1"/>
                <w:kern w:val="0"/>
                <w:szCs w:val="21"/>
                <w:lang w:val="en-US" w:eastAsia="zh-CN" w:bidi="ar"/>
                <w14:textFill>
                  <w14:solidFill>
                    <w14:schemeClr w14:val="tx1"/>
                  </w14:solidFill>
                </w14:textFill>
              </w:rPr>
              <w:t>0</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微量元素测定(铜测定)</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肝铜量</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hint="eastAsia" w:ascii="Times New Roman" w:hAnsi="Times New Roman" w:eastAsia="方正仿宋_GBK" w:cs="方正仿宋_GBK"/>
                <w:color w:val="000000" w:themeColor="text1"/>
                <w:szCs w:val="21"/>
                <w:lang w:val="en-US" w:eastAsia="zh-CN"/>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250304013.1</w:t>
            </w:r>
            <w:r>
              <w:rPr>
                <w:rFonts w:hint="eastAsia" w:ascii="Times New Roman" w:hAnsi="Times New Roman" w:eastAsia="方正仿宋_GBK" w:cs="方正仿宋_GBK"/>
                <w:color w:val="000000" w:themeColor="text1"/>
                <w:kern w:val="0"/>
                <w:szCs w:val="21"/>
                <w:lang w:val="en-US" w:eastAsia="zh-CN" w:bidi="ar"/>
                <w14:textFill>
                  <w14:solidFill>
                    <w14:schemeClr w14:val="tx1"/>
                  </w14:solidFill>
                </w14:textFill>
              </w:rPr>
              <w:t>0</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微量元素测定(铜测定)</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受累脏器功能指标</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血常规</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250101015</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血细胞分析</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尿常规</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250102035</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尿液分析</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7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肾功能</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250307001</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尿素测定</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250307002</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肌酐测定</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250307003</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内生肌酐清除率试验</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250307005</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血清尿酸测定</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250307028</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血清胱抑素(CystatinC)测定</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7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凝血象</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250203020</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血浆凝血酶原时间测定(PT)</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250203035</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凝血酶时间测定(TT)</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250203030</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血浆纤维蛋白原测定</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250203025</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活化部分凝血活酶时间测定(APTT)</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监测药物副作用相关指标</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血淀粉酶</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250308004</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淀粉酶测定</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脂肪酶</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250308006</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血清脂肪酶测定</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神经系统受累</w:t>
            </w:r>
          </w:p>
        </w:tc>
        <w:tc>
          <w:tcPr>
            <w:tcW w:w="17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头部MRI</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210200001</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磁共振平扫</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ECABA001</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颅脑磁共振成像</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7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脑电图</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310100001</w:t>
            </w:r>
          </w:p>
        </w:tc>
        <w:tc>
          <w:tcPr>
            <w:tcW w:w="3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脑电图</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310100002</w:t>
            </w:r>
          </w:p>
        </w:tc>
        <w:tc>
          <w:tcPr>
            <w:tcW w:w="3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特殊脑电图</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腹部彩超</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2202</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B超（腹部）</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2203</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彩色多普勒超声检查（腹部）</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心电图</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310701001</w:t>
            </w:r>
          </w:p>
        </w:tc>
        <w:tc>
          <w:tcPr>
            <w:tcW w:w="3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常规心电图检查</w:t>
            </w:r>
          </w:p>
        </w:tc>
      </w:tr>
    </w:tbl>
    <w:p>
      <w:pPr>
        <w:spacing w:line="340" w:lineRule="exac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pPr>
        <w:tabs>
          <w:tab w:val="left" w:pos="737"/>
        </w:tabs>
        <w:spacing w:line="340" w:lineRule="exact"/>
        <w:rPr>
          <w:rFonts w:ascii="Times New Roman" w:hAnsi="Times New Roman" w:eastAsia="黑体"/>
          <w:color w:val="000000" w:themeColor="text1"/>
          <w:sz w:val="30"/>
          <w:szCs w:val="30"/>
          <w14:textFill>
            <w14:solidFill>
              <w14:schemeClr w14:val="tx1"/>
            </w14:solidFill>
          </w14:textFill>
        </w:rPr>
      </w:pPr>
      <w:r>
        <w:rPr>
          <w:rFonts w:hint="eastAsia" w:ascii="Times New Roman" w:hAnsi="Times New Roman" w:eastAsia="黑体"/>
          <w:color w:val="000000" w:themeColor="text1"/>
          <w:sz w:val="30"/>
          <w:szCs w:val="30"/>
          <w14:textFill>
            <w14:solidFill>
              <w14:schemeClr w14:val="tx1"/>
            </w14:solidFill>
          </w14:textFill>
        </w:rPr>
        <w:t>4</w:t>
      </w:r>
      <w:r>
        <w:rPr>
          <w:rFonts w:ascii="Times New Roman" w:hAnsi="Times New Roman" w:eastAsia="黑体"/>
          <w:color w:val="000000" w:themeColor="text1"/>
          <w:sz w:val="30"/>
          <w:szCs w:val="30"/>
          <w14:textFill>
            <w14:solidFill>
              <w14:schemeClr w14:val="tx1"/>
            </w14:solidFill>
          </w14:textFill>
        </w:rPr>
        <w:t>.重度骨质疏松</w:t>
      </w:r>
    </w:p>
    <w:tbl>
      <w:tblPr>
        <w:tblStyle w:val="4"/>
        <w:tblW w:w="8828" w:type="dxa"/>
        <w:tblInd w:w="93" w:type="dxa"/>
        <w:tblLayout w:type="fixed"/>
        <w:tblCellMar>
          <w:top w:w="0" w:type="dxa"/>
          <w:left w:w="108" w:type="dxa"/>
          <w:bottom w:w="0" w:type="dxa"/>
          <w:right w:w="108" w:type="dxa"/>
        </w:tblCellMar>
      </w:tblPr>
      <w:tblGrid>
        <w:gridCol w:w="728"/>
        <w:gridCol w:w="960"/>
        <w:gridCol w:w="2145"/>
        <w:gridCol w:w="2010"/>
        <w:gridCol w:w="2985"/>
      </w:tblGrid>
      <w:tr>
        <w:tblPrEx>
          <w:tblCellMar>
            <w:top w:w="0" w:type="dxa"/>
            <w:left w:w="108" w:type="dxa"/>
            <w:bottom w:w="0" w:type="dxa"/>
            <w:right w:w="108" w:type="dxa"/>
          </w:tblCellMar>
        </w:tblPrEx>
        <w:trPr>
          <w:trHeight w:val="90" w:hRule="atLeast"/>
        </w:trPr>
        <w:tc>
          <w:tcPr>
            <w:tcW w:w="7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31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重度骨质疏松</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M81.900x092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重度骨质疏松</w:t>
            </w:r>
          </w:p>
        </w:tc>
      </w:tr>
      <w:tr>
        <w:tblPrEx>
          <w:tblCellMar>
            <w:top w:w="0" w:type="dxa"/>
            <w:left w:w="108" w:type="dxa"/>
            <w:bottom w:w="0" w:type="dxa"/>
            <w:right w:w="108" w:type="dxa"/>
          </w:tblCellMar>
        </w:tblPrEx>
        <w:trPr>
          <w:trHeight w:val="9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81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符合以下三项中一项：</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1.DXA测定的中轴骨骨密度(腰椎或髋部)或桡骨远端1/3骨密度的T-值≤-2.5且伴有脆性骨折；</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2.</w:t>
            </w:r>
            <w:r>
              <w:rPr>
                <w:rFonts w:hint="eastAsia" w:ascii="Times New Roman" w:hAnsi="Times New Roman" w:eastAsia="方正仿宋_GBK" w:cs="方正仿宋_GBK"/>
                <w:color w:val="000000" w:themeColor="text1"/>
                <w:kern w:val="0"/>
                <w:szCs w:val="21"/>
                <w:lang w:val="en-US" w:eastAsia="zh-CN" w:bidi="ar"/>
                <w14:textFill>
                  <w14:solidFill>
                    <w14:schemeClr w14:val="tx1"/>
                  </w14:solidFill>
                </w14:textFill>
              </w:rPr>
              <w:t>无脆性骨折，但DXA测定的腰椎（测定L1-L4 全部四个椎体取均值）、股骨颈、全髋部骨密度中任一部位T-值≤-3.0。【若因脊柱退变、腹主动脉钙化、过度肥胖（BMI≥35 kg/</w:t>
            </w:r>
            <w:r>
              <w:rPr>
                <w:rFonts w:hint="default" w:ascii="Times New Roman" w:hAnsi="Times New Roman" w:eastAsia="方正仿宋_GBK" w:cs="方正仿宋_GBK"/>
                <w:color w:val="000000" w:themeColor="text1"/>
                <w:kern w:val="0"/>
                <w:szCs w:val="21"/>
                <w:lang w:val="en-US" w:eastAsia="zh-CN" w:bidi="ar"/>
                <w14:textFill>
                  <w14:solidFill>
                    <w14:schemeClr w14:val="tx1"/>
                  </w14:solidFill>
                </w14:textFill>
              </w:rPr>
              <w:t>㎡</w:t>
            </w:r>
            <w:r>
              <w:rPr>
                <w:rFonts w:hint="eastAsia" w:ascii="Times New Roman" w:hAnsi="Times New Roman" w:eastAsia="方正仿宋_GBK" w:cs="方正仿宋_GBK"/>
                <w:color w:val="000000" w:themeColor="text1"/>
                <w:kern w:val="0"/>
                <w:szCs w:val="21"/>
                <w:lang w:val="en-US" w:eastAsia="zh-CN" w:bidi="ar"/>
                <w14:textFill>
                  <w14:solidFill>
                    <w14:schemeClr w14:val="tx1"/>
                  </w14:solidFill>
                </w14:textFill>
              </w:rPr>
              <w:t>）或原发性甲状旁腺功能亢进等原因导致中轴骨（腰椎、股骨颈或全髋）无法测量或结果不可靠时，可取非优势侧桡骨远端1/3骨密度T-值≤-3.0作为诊断依据】；</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3.QCT腰椎骨密度≤80mg/cm</w:t>
            </w:r>
            <w:r>
              <w:rPr>
                <w:rStyle w:val="11"/>
                <w:rFonts w:ascii="Times New Roman" w:hAnsi="Times New Roman"/>
                <w:color w:val="000000" w:themeColor="text1"/>
                <w:sz w:val="21"/>
                <w:szCs w:val="21"/>
                <w:lang w:bidi="ar"/>
                <w14:textFill>
                  <w14:solidFill>
                    <w14:schemeClr w14:val="tx1"/>
                  </w14:solidFill>
                </w14:textFill>
              </w:rPr>
              <w:t>³</w:t>
            </w:r>
            <w:r>
              <w:rPr>
                <w:rFonts w:ascii="Times New Roman" w:hAnsi="Times New Roman" w:eastAsia="方正仿宋_GBK" w:cs="方正仿宋_GBK"/>
                <w:color w:val="000000" w:themeColor="text1"/>
                <w:kern w:val="0"/>
                <w:szCs w:val="21"/>
                <w:lang w:bidi="ar"/>
                <w14:textFill>
                  <w14:solidFill>
                    <w14:schemeClr w14:val="tx1"/>
                  </w14:solidFill>
                </w14:textFill>
              </w:rPr>
              <w:t>。</w:t>
            </w:r>
          </w:p>
        </w:tc>
      </w:tr>
      <w:tr>
        <w:tblPrEx>
          <w:tblCellMar>
            <w:top w:w="0" w:type="dxa"/>
            <w:left w:w="108" w:type="dxa"/>
            <w:bottom w:w="0" w:type="dxa"/>
            <w:right w:w="108" w:type="dxa"/>
          </w:tblCellMar>
        </w:tblPrEx>
        <w:trPr>
          <w:trHeight w:val="90" w:hRule="atLeast"/>
        </w:trPr>
        <w:tc>
          <w:tcPr>
            <w:tcW w:w="7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31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医保目录药品分类代码</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骨健康基本补充剂</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XA11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维生素类</w:t>
            </w:r>
          </w:p>
        </w:tc>
      </w:tr>
      <w:tr>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XA12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矿物质补充剂</w:t>
            </w:r>
          </w:p>
        </w:tc>
      </w:tr>
      <w:tr>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抗骨质疏松药物</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双膦酸盐类</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XM05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治疗骨病的药物</w:t>
            </w:r>
          </w:p>
        </w:tc>
      </w:tr>
      <w:tr>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RANKL单抗</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XM05BX</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其他影响骨结构和矿化的药物</w:t>
            </w:r>
          </w:p>
        </w:tc>
      </w:tr>
      <w:tr>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降钙素类</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XH05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钙稳态药</w:t>
            </w:r>
          </w:p>
        </w:tc>
      </w:tr>
      <w:tr>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绝经激素（雌激素）</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XG03D</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孕激素类</w:t>
            </w:r>
          </w:p>
        </w:tc>
      </w:tr>
      <w:tr>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选择性雌激素受体调节剂类</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XG03X</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其他性激素和生殖系统调节药</w:t>
            </w:r>
          </w:p>
        </w:tc>
      </w:tr>
      <w:tr>
        <w:tblPrEx>
          <w:tblCellMar>
            <w:top w:w="0" w:type="dxa"/>
            <w:left w:w="108" w:type="dxa"/>
            <w:bottom w:w="0" w:type="dxa"/>
            <w:right w:w="108" w:type="dxa"/>
          </w:tblCellMar>
        </w:tblPrEx>
        <w:trPr>
          <w:trHeight w:val="90" w:hRule="atLeast"/>
        </w:trPr>
        <w:tc>
          <w:tcPr>
            <w:tcW w:w="7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310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医保目录医疗服务项目编码</w:t>
            </w: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肝功能</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250305001</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血清总胆红素测定</w:t>
            </w:r>
          </w:p>
        </w:tc>
      </w:tr>
      <w:tr>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250305002</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血清直接胆红素测定</w:t>
            </w:r>
          </w:p>
        </w:tc>
      </w:tr>
      <w:tr>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250305003</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血清间接胆红素测定</w:t>
            </w:r>
          </w:p>
        </w:tc>
      </w:tr>
      <w:tr>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250305007</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血清丙氨酸氨基转移酶测定</w:t>
            </w:r>
          </w:p>
        </w:tc>
      </w:tr>
      <w:tr>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250305008</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血清天门冬氨酸氨基转移酶测定</w:t>
            </w:r>
          </w:p>
        </w:tc>
      </w:tr>
      <w:tr>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250305009</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血清γ-谷氨酰基转移酶测定</w:t>
            </w:r>
          </w:p>
        </w:tc>
      </w:tr>
      <w:tr>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250301001</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血清总蛋白测定</w:t>
            </w:r>
          </w:p>
        </w:tc>
      </w:tr>
      <w:tr>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250301002</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血清白蛋白测定</w:t>
            </w:r>
          </w:p>
        </w:tc>
      </w:tr>
      <w:tr>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肾功能</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尿素测定</w:t>
            </w:r>
          </w:p>
        </w:tc>
      </w:tr>
      <w:tr>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肌酐测定</w:t>
            </w:r>
          </w:p>
        </w:tc>
      </w:tr>
      <w:tr>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血清尿酸测定</w:t>
            </w:r>
          </w:p>
        </w:tc>
      </w:tr>
      <w:tr>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甲状旁腺激素测定</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250310009</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甲状旁腺激素测定</w:t>
            </w:r>
          </w:p>
        </w:tc>
      </w:tr>
      <w:tr>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25羟维生素D测定</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250309001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25羟维生素D测定</w:t>
            </w:r>
          </w:p>
        </w:tc>
      </w:tr>
      <w:tr>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电解质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钾测定</w:t>
            </w:r>
          </w:p>
        </w:tc>
      </w:tr>
      <w:tr>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钠测定</w:t>
            </w:r>
          </w:p>
        </w:tc>
      </w:tr>
      <w:tr>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氯测定</w:t>
            </w:r>
          </w:p>
        </w:tc>
      </w:tr>
      <w:tr>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钙测定</w:t>
            </w:r>
          </w:p>
        </w:tc>
      </w:tr>
      <w:tr>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无机磷测定</w:t>
            </w:r>
          </w:p>
        </w:tc>
      </w:tr>
      <w:tr>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镁测定</w:t>
            </w:r>
          </w:p>
        </w:tc>
      </w:tr>
      <w:tr>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骨代谢检测</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血清骨型碱性磷酸酶质量测定</w:t>
            </w:r>
          </w:p>
        </w:tc>
      </w:tr>
      <w:tr>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250311005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I型胶原羧基端前肽(PICP)测定</w:t>
            </w:r>
          </w:p>
        </w:tc>
      </w:tr>
      <w:tr>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250311005.10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I型胶原羧基端前肽(PICP)测定(I型胶原氨基端延长肽(PINP)测定)</w:t>
            </w:r>
          </w:p>
        </w:tc>
      </w:tr>
      <w:tr>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250311006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骨钙羧基N端中分子片段测定(N-MID)</w:t>
            </w:r>
          </w:p>
        </w:tc>
      </w:tr>
      <w:tr>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250311007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β-胶原降解产物测定(β-CTX)</w:t>
            </w:r>
          </w:p>
        </w:tc>
      </w:tr>
      <w:tr>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骨密度</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230200055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骨密度测定</w:t>
            </w:r>
          </w:p>
        </w:tc>
      </w:tr>
      <w:tr>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X线（限病变部位）</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210101001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普通透视</w:t>
            </w:r>
          </w:p>
        </w:tc>
      </w:tr>
      <w:tr>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 w:val="24"/>
                <w14:textFill>
                  <w14:solidFill>
                    <w14:schemeClr w14:val="tx1"/>
                  </w14:solidFill>
                </w14:textFill>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210102015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数字化X线摄影(DR)</w:t>
            </w:r>
          </w:p>
        </w:tc>
      </w:tr>
      <w:tr>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3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 w:val="24"/>
                <w14:textFill>
                  <w14:solidFill>
                    <w14:schemeClr w14:val="tx1"/>
                  </w14:solidFill>
                </w14:textFill>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210102016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计算机X线摄影(ComputedRadiography,CR)</w:t>
            </w:r>
          </w:p>
        </w:tc>
      </w:tr>
    </w:tbl>
    <w:p>
      <w:pPr>
        <w:spacing w:line="340" w:lineRule="exac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pPr>
        <w:tabs>
          <w:tab w:val="left" w:pos="737"/>
        </w:tabs>
        <w:spacing w:line="340" w:lineRule="exact"/>
        <w:rPr>
          <w:rFonts w:ascii="Times New Roman" w:hAnsi="Times New Roman" w:eastAsia="黑体"/>
          <w:color w:val="000000" w:themeColor="text1"/>
          <w:sz w:val="30"/>
          <w:szCs w:val="30"/>
          <w14:textFill>
            <w14:solidFill>
              <w14:schemeClr w14:val="tx1"/>
            </w14:solidFill>
          </w14:textFill>
        </w:rPr>
      </w:pPr>
      <w:r>
        <w:rPr>
          <w:rFonts w:hint="eastAsia" w:ascii="Times New Roman" w:hAnsi="Times New Roman" w:eastAsia="黑体"/>
          <w:color w:val="000000" w:themeColor="text1"/>
          <w:sz w:val="30"/>
          <w:szCs w:val="30"/>
          <w14:textFill>
            <w14:solidFill>
              <w14:schemeClr w14:val="tx1"/>
            </w14:solidFill>
          </w14:textFill>
        </w:rPr>
        <w:t>5</w:t>
      </w:r>
      <w:r>
        <w:rPr>
          <w:rFonts w:ascii="Times New Roman" w:hAnsi="Times New Roman" w:eastAsia="黑体"/>
          <w:color w:val="000000" w:themeColor="text1"/>
          <w:sz w:val="30"/>
          <w:szCs w:val="30"/>
          <w14:textFill>
            <w14:solidFill>
              <w14:schemeClr w14:val="tx1"/>
            </w14:solidFill>
          </w14:textFill>
        </w:rPr>
        <w:t>.高血压</w:t>
      </w:r>
    </w:p>
    <w:tbl>
      <w:tblPr>
        <w:tblStyle w:val="4"/>
        <w:tblW w:w="8828" w:type="dxa"/>
        <w:tblInd w:w="93" w:type="dxa"/>
        <w:tblLayout w:type="fixed"/>
        <w:tblCellMar>
          <w:top w:w="0" w:type="dxa"/>
          <w:left w:w="108" w:type="dxa"/>
          <w:bottom w:w="0" w:type="dxa"/>
          <w:right w:w="108" w:type="dxa"/>
        </w:tblCellMar>
      </w:tblPr>
      <w:tblGrid>
        <w:gridCol w:w="713"/>
        <w:gridCol w:w="1228"/>
        <w:gridCol w:w="1546"/>
        <w:gridCol w:w="1949"/>
        <w:gridCol w:w="3392"/>
      </w:tblGrid>
      <w:tr>
        <w:tblPrEx>
          <w:tblCellMar>
            <w:top w:w="0" w:type="dxa"/>
            <w:left w:w="108" w:type="dxa"/>
            <w:bottom w:w="0" w:type="dxa"/>
            <w:right w:w="108" w:type="dxa"/>
          </w:tblCellMar>
        </w:tblPrEx>
        <w:trPr>
          <w:trHeight w:val="620" w:hRule="atLeast"/>
        </w:trPr>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高血压</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E10.700x022</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1型糖尿病性高血压</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E10.700x023</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1型糖尿病性肥胖症性高血压</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E11.700x022</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2型糖尿病性高血压</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E11.700x023</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2型糖尿病性肥胖症性高血压</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E14.700x022</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糖尿病性高血压</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E14.700x023</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糖尿病性肥胖症性高血压</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E16.800x101</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糖耐量受损伴肥胖型高血压</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E16.800x102</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糖耐量受损伴高血压</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H35.004</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高血压性视网膜病变</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I10.x00</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特发性（原发性）高血压</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I10.x00x002</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高血压</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I10.x00x007</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老年收缩期高血压</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I10.x00x009</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临界性高血压</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I10.x00x015</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青春期高血压</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I10.x03</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高血压1级</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I10.x04</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高血压2级</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I10.x05</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高血压3级</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I10.x02</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恶性高血压</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I10.x06</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高血压危象</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I10.x08</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单纯收缩期高血压</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I10.x09</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原发性高血压</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I10.x10</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高血压急症</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I10.x12</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难治性高血压</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I10.x13</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低肾素性高血压</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I10.x14</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高血压亚急症</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I11.000</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高血压心脏病伴有（充血性）心力衰竭</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I11.001</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高血压性心力衰竭</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I11.002</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高血压心脏病伴心力衰竭</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I11.900</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高血压心脏病不伴有（充血性）心力衰竭</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I11.901</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高血压性心脏病</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I12.000</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高血压肾脏病伴有肾衰竭</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I12.000x001</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高血压性肾衰竭</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I12.900</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高血压肾脏病不伴有肾衰竭</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I12.900x003</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高血压性肾病</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I12.900x005</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肾萎缩伴高血压</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I13.000x001</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高血压性心脏病和肾脏病伴心力衰竭</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I13.100x001</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高血压性心脏病和肾脏病伴肾衰竭</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I13.200x001</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高血压性心脏病和肾脏病伴心力衰竭和肾衰竭</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I13.900</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高血压心脏和肾脏病</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I13.900x001</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高血压性心脏病和肾脏病</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I15.000</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肾血管性高血压</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I15.100</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继发于其他肾疾患的高血压</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I15.100x001</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肾实质性高血压</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I15.102</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肾性高血压</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I15.103</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肾萎缩性高血压</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I15.200</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继发于内分泌疾患的高血压</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I15.200x001</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原发性醛固酮增多症性高血压</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I15.200x002</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肾上腺皮质醇增多症性高血压</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I15.200x003</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肾上腺髓质增生性高血压</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I15.200x004</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糖皮质激素增多综合征性高血压</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I15.800</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继发性高血压，其他的</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I15.800x001</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口服避孕药性高血压</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I15.800x002</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大动脉炎性高血压</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I15.800x003</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医源性高血压</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I15.800x004</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围手术期高血压</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I15.200x005</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嗜铬细胞瘤性高血压</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I15.800x006</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阻塞性睡眠呼吸暂停低通气综合征性高血压</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I15.900</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继发性高血压</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I61.902</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高血压脑出血</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I67.400x001</w:t>
            </w:r>
          </w:p>
        </w:tc>
        <w:tc>
          <w:tcPr>
            <w:tcW w:w="3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高血压性脑病</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N28.900x017</w:t>
            </w:r>
          </w:p>
        </w:tc>
        <w:tc>
          <w:tcPr>
            <w:tcW w:w="339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高血压肾损害</w:t>
            </w:r>
          </w:p>
        </w:tc>
      </w:tr>
      <w:tr>
        <w:tblPrEx>
          <w:tblCellMar>
            <w:top w:w="0" w:type="dxa"/>
            <w:left w:w="108" w:type="dxa"/>
            <w:bottom w:w="0" w:type="dxa"/>
            <w:right w:w="108" w:type="dxa"/>
          </w:tblCellMar>
        </w:tblPrEx>
        <w:trPr>
          <w:trHeight w:val="5485" w:hRule="atLeast"/>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top"/>
          </w:tcPr>
          <w:p>
            <w:pPr>
              <w:widowControl/>
              <w:spacing w:line="340" w:lineRule="exact"/>
              <w:jc w:val="center"/>
              <w:textAlignment w:val="cente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pPr>
          </w:p>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8115"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40" w:lineRule="exact"/>
              <w:jc w:val="both"/>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352425</wp:posOffset>
                  </wp:positionH>
                  <wp:positionV relativeFrom="paragraph">
                    <wp:posOffset>1081405</wp:posOffset>
                  </wp:positionV>
                  <wp:extent cx="4143375" cy="2362200"/>
                  <wp:effectExtent l="0" t="0" r="9525" b="0"/>
                  <wp:wrapNone/>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0"/>
                          <a:stretch>
                            <a:fillRect/>
                          </a:stretch>
                        </pic:blipFill>
                        <pic:spPr>
                          <a:xfrm>
                            <a:off x="0" y="0"/>
                            <a:ext cx="4143375" cy="2362200"/>
                          </a:xfrm>
                          <a:prstGeom prst="rect">
                            <a:avLst/>
                          </a:prstGeom>
                          <a:noFill/>
                          <a:ln w="9525">
                            <a:noFill/>
                          </a:ln>
                        </pic:spPr>
                      </pic:pic>
                    </a:graphicData>
                  </a:graphic>
                </wp:anchor>
              </w:drawing>
            </w:r>
            <w:r>
              <w:rPr>
                <w:rFonts w:ascii="Times New Roman" w:hAnsi="Times New Roman" w:eastAsia="方正仿宋_GBK" w:cs="方正仿宋_GBK"/>
                <w:color w:val="000000" w:themeColor="text1"/>
                <w:kern w:val="0"/>
                <w:szCs w:val="21"/>
                <w:lang w:bidi="ar"/>
                <w14:textFill>
                  <w14:solidFill>
                    <w14:schemeClr w14:val="tx1"/>
                  </w14:solidFill>
                </w14:textFill>
              </w:rPr>
              <w:t>根据诊室血压、家庭血压</w:t>
            </w:r>
            <w:r>
              <w:rPr>
                <w:rFonts w:hint="eastAsia" w:ascii="Times New Roman" w:hAnsi="Times New Roman" w:eastAsia="方正仿宋_GBK" w:cs="方正仿宋_GBK"/>
                <w:color w:val="000000" w:themeColor="text1"/>
                <w:kern w:val="0"/>
                <w:szCs w:val="21"/>
                <w:lang w:eastAsia="zh-CN" w:bidi="ar"/>
                <w14:textFill>
                  <w14:solidFill>
                    <w14:schemeClr w14:val="tx1"/>
                  </w14:solidFill>
                </w14:textFill>
              </w:rPr>
              <w:t>（基于互联网的远程实时家庭血压监测）</w:t>
            </w:r>
            <w:r>
              <w:rPr>
                <w:rFonts w:ascii="Times New Roman" w:hAnsi="Times New Roman" w:eastAsia="方正仿宋_GBK" w:cs="方正仿宋_GBK"/>
                <w:color w:val="000000" w:themeColor="text1"/>
                <w:kern w:val="0"/>
                <w:szCs w:val="21"/>
                <w:lang w:bidi="ar"/>
                <w14:textFill>
                  <w14:solidFill>
                    <w14:schemeClr w14:val="tx1"/>
                  </w14:solidFill>
                </w14:textFill>
              </w:rPr>
              <w:t>和动态血压以及患者服药情况，高血压的定义如下：在未使用降压药的情况下，非同日3次测量诊室血压≥140/90 mmHg；或连续5～7d 测量家庭血压≥135/85 mmHg；或24h动态血压≥130/80 mmHg，白天血压≥135/85 mmHg，夜间血压≥120/70 mmHg。患者既往有高血压史，目前使用降压药，血压虽然低于上述诊断界值，仍应诊断为高血压。</w:t>
            </w:r>
          </w:p>
        </w:tc>
      </w:tr>
      <w:tr>
        <w:tblPrEx>
          <w:tblCellMar>
            <w:top w:w="0" w:type="dxa"/>
            <w:left w:w="108" w:type="dxa"/>
            <w:bottom w:w="0" w:type="dxa"/>
            <w:right w:w="108" w:type="dxa"/>
          </w:tblCellMar>
        </w:tblPrEx>
        <w:trPr>
          <w:trHeight w:val="91" w:hRule="atLeast"/>
        </w:trPr>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27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9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医保目录药品分类代码</w:t>
            </w:r>
          </w:p>
        </w:tc>
        <w:tc>
          <w:tcPr>
            <w:tcW w:w="3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利尿剂</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XC03A</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低效利尿药</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XC03C</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高效利尿药</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XC03D</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保钾利尿药</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XC02L</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抗高血压药与利尿药的复方制剂</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β受体阻滞剂</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XC07AB</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选择性β-受体阻滞剂</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XC07AG</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α和β-受体阻滞剂</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XC07FB</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其他β-受体阻滞剂复方制剂</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α受体阻滞剂</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XG04C</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良性前列腺肥大用药</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外周血管扩张剂</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XC04</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周围血管扩张药</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钙通道阻滞剂</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XC08C</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主要作用于血管的选择性钙通道阻滞剂</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XC08CA</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二氢吡啶衍生物类</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XC08D</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直接作用于心脏的选择性钙通道阻滞剂</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ACEI（血管紧张素转换酶抑制剂）</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XC09A</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血管紧张素转换酶抑制剂的单方药</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XC09B</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血管紧张素转换酶抑制剂的复方制剂</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ARB（血管紧张素Ⅱ受体拮抗剂）</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XC09C</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血管紧张素Ⅱ拮抗剂的单方药</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XC09D</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血管紧张素Ⅱ拮抗剂的复方制剂</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降血脂药</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XC10</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调节血脂药</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抗高血压药</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XC02A</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中枢作用的抗肾上腺素能药</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并发症（高血压心脏病、眼底病变、房颤</w:t>
            </w:r>
            <w:r>
              <w:rPr>
                <w:rFonts w:hint="eastAsia" w:ascii="Times New Roman" w:hAnsi="Times New Roman" w:eastAsia="方正仿宋_GBK" w:cs="方正仿宋_GBK"/>
                <w:color w:val="000000" w:themeColor="text1"/>
                <w:kern w:val="0"/>
                <w:szCs w:val="21"/>
                <w:lang w:val="en-US" w:eastAsia="zh-CN" w:bidi="ar"/>
                <w14:textFill>
                  <w14:solidFill>
                    <w14:schemeClr w14:val="tx1"/>
                  </w14:solidFill>
                </w14:textFill>
              </w:rPr>
              <w:t>、肾病</w:t>
            </w:r>
            <w:r>
              <w:rPr>
                <w:rFonts w:ascii="Times New Roman" w:hAnsi="Times New Roman" w:eastAsia="方正仿宋_GBK" w:cs="方正仿宋_GBK"/>
                <w:color w:val="000000" w:themeColor="text1"/>
                <w:kern w:val="0"/>
                <w:szCs w:val="21"/>
                <w:lang w:bidi="ar"/>
                <w14:textFill>
                  <w14:solidFill>
                    <w14:schemeClr w14:val="tx1"/>
                  </w14:solidFill>
                </w14:textFill>
              </w:rPr>
              <w:t>）的对症治疗</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抗心律失常药</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XC01B</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Ⅰ类和Ⅲ类的抗心律失常药</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抗心衰药</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XA10BK</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钠葡萄糖协同转运蛋白2(SGLT-2)抑制剂</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抗凝药物（限房颤）</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XB01AE</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直接凝血酶抑制剂</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XB01AA</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维生素K拮抗剂</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XB01AF</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直接Xa因子抑制剂</w:t>
            </w:r>
          </w:p>
        </w:tc>
      </w:tr>
      <w:tr>
        <w:tblPrEx>
          <w:tblCellMar>
            <w:top w:w="0" w:type="dxa"/>
            <w:left w:w="108" w:type="dxa"/>
            <w:bottom w:w="0" w:type="dxa"/>
            <w:right w:w="108" w:type="dxa"/>
          </w:tblCellMar>
        </w:tblPrEx>
        <w:trPr>
          <w:trHeight w:val="91" w:hRule="atLeast"/>
        </w:trPr>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277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9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医保目录医疗服务项目编码</w:t>
            </w:r>
          </w:p>
        </w:tc>
        <w:tc>
          <w:tcPr>
            <w:tcW w:w="3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尿常规</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250102035</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尿液分析</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尿蛋白</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250102006</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尿蛋白定量</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7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尿微量白蛋白</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250307006</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尿微量白蛋白测定</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250307009</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β2微球蛋白测定</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7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血脂</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250303004</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血清高密度脂蛋白胆固醇测定</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250303002</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血清甘油三酯测定</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250303001</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血清总胆固醇测定</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CEHP1000</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脂蛋白a(LPa)测定</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250303005</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血清低密度脂蛋白胆固醇测定</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血常规</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250101015</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血细胞分析</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77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肾功能</w:t>
            </w:r>
          </w:p>
        </w:tc>
        <w:tc>
          <w:tcPr>
            <w:tcW w:w="19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250307001</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尿素测定</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250307002</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肌酐测定</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250307005</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血清尿酸测定</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7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肝功能</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250305001</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血清总胆红素测定</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250305002</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血清直接胆红素测定</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250305003</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血清间接胆红素测定</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250305007</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血清丙氨酸氨基转移酶测定</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250305008</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血清天门冬氨酸氨基转移酶测定</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250305009</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血清γ-谷氨酰基转移酶测定</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250305011</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血清碱性磷酸酶测定</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250301001</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血清总蛋白测定</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250301002</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血清白蛋白测定</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7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电解质</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250304001</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钾测定</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250304002</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钠测定</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250304003</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氯测定</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250304004</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钙测定</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250304005</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无机磷测定</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250304006</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镁测定</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心脏彩超</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220600004</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心脏彩色多普勒超声</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7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心电图</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310701001</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常规心电图检查</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7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310701003</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动态心电图</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血压</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动态血压监测（限高血压急症、危象）</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310701021</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动态血压监测</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颈动脉</w:t>
            </w:r>
          </w:p>
        </w:tc>
        <w:tc>
          <w:tcPr>
            <w:tcW w:w="1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颈部血管超声（限颈部血管斑块患者）</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220302003</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颈部血管彩色多普勒超声</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220302003.10</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颈部血管彩色多普勒超声(颈动脉)</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220302003.20</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颈部血管彩色多普勒超声(颈静脉)</w:t>
            </w:r>
          </w:p>
        </w:tc>
      </w:tr>
      <w:tr>
        <w:tblPrEx>
          <w:tblCellMar>
            <w:top w:w="0" w:type="dxa"/>
            <w:left w:w="108" w:type="dxa"/>
            <w:bottom w:w="0" w:type="dxa"/>
            <w:right w:w="108" w:type="dxa"/>
          </w:tblCellMar>
        </w:tblPrEx>
        <w:trPr>
          <w:trHeight w:val="91"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220302003.30</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颈部血管彩色多普勒超声(椎动脉)</w:t>
            </w:r>
          </w:p>
        </w:tc>
      </w:tr>
    </w:tbl>
    <w:p>
      <w:pPr>
        <w:spacing w:line="340" w:lineRule="exac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pPr>
        <w:tabs>
          <w:tab w:val="left" w:pos="737"/>
        </w:tabs>
        <w:spacing w:line="340" w:lineRule="exact"/>
        <w:rPr>
          <w:rFonts w:ascii="Times New Roman" w:hAnsi="Times New Roman" w:eastAsia="黑体"/>
          <w:color w:val="000000" w:themeColor="text1"/>
          <w:sz w:val="30"/>
          <w:szCs w:val="30"/>
          <w14:textFill>
            <w14:solidFill>
              <w14:schemeClr w14:val="tx1"/>
            </w14:solidFill>
          </w14:textFill>
        </w:rPr>
      </w:pPr>
      <w:r>
        <w:rPr>
          <w:rFonts w:hint="eastAsia" w:ascii="Times New Roman" w:hAnsi="Times New Roman" w:eastAsia="黑体"/>
          <w:color w:val="000000" w:themeColor="text1"/>
          <w:sz w:val="30"/>
          <w:szCs w:val="30"/>
          <w14:textFill>
            <w14:solidFill>
              <w14:schemeClr w14:val="tx1"/>
            </w14:solidFill>
          </w14:textFill>
        </w:rPr>
        <w:t>6</w:t>
      </w:r>
      <w:r>
        <w:rPr>
          <w:rFonts w:ascii="Times New Roman" w:hAnsi="Times New Roman" w:eastAsia="黑体"/>
          <w:color w:val="000000" w:themeColor="text1"/>
          <w:sz w:val="30"/>
          <w:szCs w:val="30"/>
          <w14:textFill>
            <w14:solidFill>
              <w14:schemeClr w14:val="tx1"/>
            </w14:solidFill>
          </w14:textFill>
        </w:rPr>
        <w:t>.糖尿病</w:t>
      </w:r>
    </w:p>
    <w:tbl>
      <w:tblPr>
        <w:tblStyle w:val="4"/>
        <w:tblW w:w="8828" w:type="dxa"/>
        <w:tblInd w:w="93" w:type="dxa"/>
        <w:tblLayout w:type="fixed"/>
        <w:tblCellMar>
          <w:top w:w="0" w:type="dxa"/>
          <w:left w:w="108" w:type="dxa"/>
          <w:bottom w:w="0" w:type="dxa"/>
          <w:right w:w="108" w:type="dxa"/>
        </w:tblCellMar>
      </w:tblPr>
      <w:tblGrid>
        <w:gridCol w:w="831"/>
        <w:gridCol w:w="1237"/>
        <w:gridCol w:w="1378"/>
        <w:gridCol w:w="2394"/>
        <w:gridCol w:w="2988"/>
      </w:tblGrid>
      <w:tr>
        <w:tblPrEx>
          <w:tblCellMar>
            <w:top w:w="0" w:type="dxa"/>
            <w:left w:w="108" w:type="dxa"/>
            <w:bottom w:w="0" w:type="dxa"/>
            <w:right w:w="108" w:type="dxa"/>
          </w:tblCellMar>
        </w:tblPrEx>
        <w:trPr>
          <w:trHeight w:val="288" w:hRule="atLeast"/>
        </w:trPr>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26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糖尿病</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E10.900</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1型糖尿病</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E10.901</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成人隐匿性自身免疫性糖尿病</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E11.900</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2型糖尿病</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E13.902</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线粒体糖尿病</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E13.903</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类固醇性糖尿病</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E13.907</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继发性糖尿病</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E14.200x210+N08.3*</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糖尿病性肾病</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E14.300x071+H36.0*</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糖尿病性视网膜病变</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E14.400x023+G63.2*</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糖尿病性周围神经病</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E14.400x312+G99.0*</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糖尿病性自主神经病</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E14.400x370+G99.0*</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糖尿病性胃轻瘫</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E14.400x381+N33.8*</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糖尿病神经源性膀胱炎</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E14.500x011+I79.2*</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糖尿病性周围血管病</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E14.500x050</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糖尿病足</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E14.900x001</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糖尿病</w:t>
            </w:r>
          </w:p>
        </w:tc>
      </w:tr>
      <w:tr>
        <w:tblPrEx>
          <w:tblCellMar>
            <w:top w:w="0" w:type="dxa"/>
            <w:left w:w="108" w:type="dxa"/>
            <w:bottom w:w="0" w:type="dxa"/>
            <w:right w:w="108" w:type="dxa"/>
          </w:tblCellMar>
        </w:tblPrEx>
        <w:trPr>
          <w:trHeight w:val="91"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7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符合以下三项中一项：</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一、有糖尿病症状＋具备以下任何一项者：</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（一）一日中任何时候血糖≥11.1mmoL/L者；</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（二）空腹血糖≥7.0mmoL/L者；</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（三）空腹血糖＜7.0mmoL/L，但OGTT口服75g葡萄糖耐量试验2小时血糖</w:t>
            </w:r>
            <w:r>
              <w:rPr>
                <w:rFonts w:hint="eastAsia" w:ascii="Times New Roman" w:hAnsi="Times New Roman" w:eastAsia="方正仿宋_GBK" w:cs="方正仿宋_GBK"/>
                <w:color w:val="000000" w:themeColor="text1"/>
                <w:kern w:val="0"/>
                <w:szCs w:val="21"/>
                <w:lang w:val="en-US" w:eastAsia="zh-CN" w:bidi="ar"/>
                <w14:textFill>
                  <w14:solidFill>
                    <w14:schemeClr w14:val="tx1"/>
                  </w14:solidFill>
                </w14:textFill>
              </w:rPr>
              <w:t>≥</w:t>
            </w:r>
            <w:r>
              <w:rPr>
                <w:rFonts w:ascii="Times New Roman" w:hAnsi="Times New Roman" w:eastAsia="方正仿宋_GBK" w:cs="方正仿宋_GBK"/>
                <w:color w:val="000000" w:themeColor="text1"/>
                <w:kern w:val="0"/>
                <w:szCs w:val="21"/>
                <w:lang w:bidi="ar"/>
                <w14:textFill>
                  <w14:solidFill>
                    <w14:schemeClr w14:val="tx1"/>
                  </w14:solidFill>
                </w14:textFill>
              </w:rPr>
              <w:t>11.1mmoL/L者。</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二、若无糖尿病症状，重复检查（一）、（二）、（三）项，符合其中一项。</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三、糖化血红蛋白≥6.5%。</w:t>
            </w:r>
          </w:p>
        </w:tc>
      </w:tr>
      <w:tr>
        <w:tblPrEx>
          <w:tblCellMar>
            <w:top w:w="0" w:type="dxa"/>
            <w:left w:w="108" w:type="dxa"/>
            <w:bottom w:w="0" w:type="dxa"/>
            <w:right w:w="108" w:type="dxa"/>
          </w:tblCellMar>
        </w:tblPrEx>
        <w:trPr>
          <w:trHeight w:val="91" w:hRule="atLeast"/>
        </w:trPr>
        <w:tc>
          <w:tcPr>
            <w:tcW w:w="8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2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23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医保目录药品分类代码</w:t>
            </w:r>
          </w:p>
        </w:tc>
        <w:tc>
          <w:tcPr>
            <w:tcW w:w="29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2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病因治疗</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胰岛素</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XA10A</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胰岛素及其类似药物</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降糖药</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XA10B</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降血糖药物，不含胰岛素</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降脂药</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XC10</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调节血脂药</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2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糖尿病并发症（如糖尿病肾病、糖尿病视网膜病变、糖尿病神经病变、糖尿病足等）的对症治疗</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利尿剂</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XC03D</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保钾利尿药</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其他的糖尿病用药</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XA10X</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其他的糖尿病用药</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其他营养剂-复方α-酮酸</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XV02</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其他营养剂</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甲钴胺、腺苷钴胺</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XB03B</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维生素B12和叶酸</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血管紧张素Ⅱ拮抗剂的单方药</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XC09C</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血管紧张素Ⅱ拮抗剂的单方药</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其他眼科用药</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XS01X</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其他眼科用药</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胃肠动力药</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XA03F</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胃肠动力药</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其他解热镇痛药（限成人糖尿病性周围神经病理性疼痛）</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XN02BG</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其他解热镇痛药</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23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37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胰激肽原酶</w:t>
            </w:r>
          </w:p>
        </w:tc>
        <w:tc>
          <w:tcPr>
            <w:tcW w:w="239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XC04</w:t>
            </w:r>
          </w:p>
        </w:tc>
        <w:tc>
          <w:tcPr>
            <w:tcW w:w="298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周围血管扩张药</w:t>
            </w:r>
          </w:p>
        </w:tc>
      </w:tr>
      <w:tr>
        <w:tblPrEx>
          <w:tblCellMar>
            <w:top w:w="0" w:type="dxa"/>
            <w:left w:w="108" w:type="dxa"/>
            <w:bottom w:w="0" w:type="dxa"/>
            <w:right w:w="108" w:type="dxa"/>
          </w:tblCellMar>
        </w:tblPrEx>
        <w:trPr>
          <w:trHeight w:val="91" w:hRule="atLeast"/>
        </w:trPr>
        <w:tc>
          <w:tcPr>
            <w:tcW w:w="831" w:type="dxa"/>
            <w:vMerge w:val="restart"/>
            <w:tcBorders>
              <w:top w:val="single" w:color="auto" w:sz="4" w:space="0"/>
              <w:left w:val="single" w:color="auto"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Times New Roman" w:hAnsi="Times New Roman" w:eastAsia="方正黑体_GBK" w:cs="方正黑体_GBK"/>
                <w:color w:val="000000" w:themeColor="text1"/>
                <w:sz w:val="24"/>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2615" w:type="dxa"/>
            <w:gridSpan w:val="2"/>
            <w:tcBorders>
              <w:top w:val="single" w:color="auto"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2394"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医保目录医疗服务项目编码</w:t>
            </w:r>
          </w:p>
        </w:tc>
        <w:tc>
          <w:tcPr>
            <w:tcW w:w="2988" w:type="dxa"/>
            <w:tcBorders>
              <w:top w:val="single" w:color="auto" w:sz="4" w:space="0"/>
              <w:left w:val="single" w:color="000000" w:sz="4" w:space="0"/>
              <w:bottom w:val="single" w:color="000000" w:sz="4" w:space="0"/>
              <w:right w:val="single" w:color="auto"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血糖</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250302001</w:t>
            </w:r>
          </w:p>
        </w:tc>
        <w:tc>
          <w:tcPr>
            <w:tcW w:w="298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葡萄糖测定</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310205008</w:t>
            </w:r>
          </w:p>
        </w:tc>
        <w:tc>
          <w:tcPr>
            <w:tcW w:w="298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电脑血糖监测</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糖化血红蛋白</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250302003</w:t>
            </w:r>
          </w:p>
        </w:tc>
        <w:tc>
          <w:tcPr>
            <w:tcW w:w="298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糖化血红蛋白测定</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血脂</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250303004</w:t>
            </w:r>
          </w:p>
        </w:tc>
        <w:tc>
          <w:tcPr>
            <w:tcW w:w="298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血清高密度脂蛋白胆固醇测定</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250303005</w:t>
            </w:r>
          </w:p>
        </w:tc>
        <w:tc>
          <w:tcPr>
            <w:tcW w:w="298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血清低密度脂蛋白胆固醇测定</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250303001</w:t>
            </w:r>
          </w:p>
        </w:tc>
        <w:tc>
          <w:tcPr>
            <w:tcW w:w="298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血清总胆固醇测定</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250303002</w:t>
            </w:r>
          </w:p>
        </w:tc>
        <w:tc>
          <w:tcPr>
            <w:tcW w:w="298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血清甘油三酯测定</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血清胰岛素测定</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250310039</w:t>
            </w:r>
          </w:p>
        </w:tc>
        <w:tc>
          <w:tcPr>
            <w:tcW w:w="298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血清胰岛素测定</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血清C肽测定</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250310041</w:t>
            </w:r>
          </w:p>
        </w:tc>
        <w:tc>
          <w:tcPr>
            <w:tcW w:w="298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血清C肽测定</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血常规</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250101015</w:t>
            </w:r>
          </w:p>
        </w:tc>
        <w:tc>
          <w:tcPr>
            <w:tcW w:w="298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血细胞分析</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auto" w:sz="4" w:space="0"/>
              <w:bottom w:val="single" w:color="auto"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5" w:type="dxa"/>
            <w:gridSpan w:val="2"/>
            <w:vMerge w:val="restart"/>
            <w:tcBorders>
              <w:top w:val="single" w:color="000000" w:sz="4" w:space="0"/>
              <w:left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尿常规</w:t>
            </w:r>
          </w:p>
        </w:tc>
        <w:tc>
          <w:tcPr>
            <w:tcW w:w="239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250102001</w:t>
            </w:r>
          </w:p>
        </w:tc>
        <w:tc>
          <w:tcPr>
            <w:tcW w:w="2988"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尿常规检查</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auto" w:sz="4" w:space="0"/>
              <w:bottom w:val="single" w:color="auto"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5" w:type="dxa"/>
            <w:gridSpan w:val="2"/>
            <w:vMerge w:val="continue"/>
            <w:tcBorders>
              <w:left w:val="single" w:color="000000" w:sz="4" w:space="0"/>
              <w:bottom w:val="single" w:color="auto"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p>
        </w:tc>
        <w:tc>
          <w:tcPr>
            <w:tcW w:w="239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250102035</w:t>
            </w:r>
          </w:p>
        </w:tc>
        <w:tc>
          <w:tcPr>
            <w:tcW w:w="2988"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尿液分析</w:t>
            </w:r>
          </w:p>
        </w:tc>
      </w:tr>
      <w:tr>
        <w:tblPrEx>
          <w:tblCellMar>
            <w:top w:w="0" w:type="dxa"/>
            <w:left w:w="108" w:type="dxa"/>
            <w:bottom w:w="0" w:type="dxa"/>
            <w:right w:w="108" w:type="dxa"/>
          </w:tblCellMar>
        </w:tblPrEx>
        <w:trPr>
          <w:trHeight w:val="91" w:hRule="atLeast"/>
        </w:trPr>
        <w:tc>
          <w:tcPr>
            <w:tcW w:w="83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肝功能</w:t>
            </w: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250305001</w:t>
            </w:r>
          </w:p>
        </w:tc>
        <w:tc>
          <w:tcPr>
            <w:tcW w:w="2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血清总胆红素测定</w:t>
            </w:r>
          </w:p>
        </w:tc>
      </w:tr>
      <w:tr>
        <w:tblPrEx>
          <w:tblCellMar>
            <w:top w:w="0" w:type="dxa"/>
            <w:left w:w="108" w:type="dxa"/>
            <w:bottom w:w="0" w:type="dxa"/>
            <w:right w:w="108" w:type="dxa"/>
          </w:tblCellMar>
        </w:tblPrEx>
        <w:trPr>
          <w:trHeight w:val="91" w:hRule="atLeast"/>
        </w:trPr>
        <w:tc>
          <w:tcPr>
            <w:tcW w:w="83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250305002</w:t>
            </w:r>
          </w:p>
        </w:tc>
        <w:tc>
          <w:tcPr>
            <w:tcW w:w="2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血清直接胆红素测定</w:t>
            </w:r>
          </w:p>
        </w:tc>
      </w:tr>
      <w:tr>
        <w:tblPrEx>
          <w:tblCellMar>
            <w:top w:w="0" w:type="dxa"/>
            <w:left w:w="108" w:type="dxa"/>
            <w:bottom w:w="0" w:type="dxa"/>
            <w:right w:w="108" w:type="dxa"/>
          </w:tblCellMar>
        </w:tblPrEx>
        <w:trPr>
          <w:trHeight w:val="91" w:hRule="atLeast"/>
        </w:trPr>
        <w:tc>
          <w:tcPr>
            <w:tcW w:w="83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250305003</w:t>
            </w:r>
          </w:p>
        </w:tc>
        <w:tc>
          <w:tcPr>
            <w:tcW w:w="2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血清间接胆红素测定</w:t>
            </w:r>
          </w:p>
        </w:tc>
      </w:tr>
      <w:tr>
        <w:tblPrEx>
          <w:tblCellMar>
            <w:top w:w="0" w:type="dxa"/>
            <w:left w:w="108" w:type="dxa"/>
            <w:bottom w:w="0" w:type="dxa"/>
            <w:right w:w="108" w:type="dxa"/>
          </w:tblCellMar>
        </w:tblPrEx>
        <w:trPr>
          <w:trHeight w:val="91" w:hRule="atLeast"/>
        </w:trPr>
        <w:tc>
          <w:tcPr>
            <w:tcW w:w="83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250305007</w:t>
            </w:r>
          </w:p>
        </w:tc>
        <w:tc>
          <w:tcPr>
            <w:tcW w:w="2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血清丙氨酸氨基转移酶测定</w:t>
            </w:r>
          </w:p>
        </w:tc>
      </w:tr>
      <w:tr>
        <w:tblPrEx>
          <w:tblCellMar>
            <w:top w:w="0" w:type="dxa"/>
            <w:left w:w="108" w:type="dxa"/>
            <w:bottom w:w="0" w:type="dxa"/>
            <w:right w:w="108" w:type="dxa"/>
          </w:tblCellMar>
        </w:tblPrEx>
        <w:trPr>
          <w:trHeight w:val="91" w:hRule="atLeast"/>
        </w:trPr>
        <w:tc>
          <w:tcPr>
            <w:tcW w:w="83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250305008</w:t>
            </w:r>
          </w:p>
        </w:tc>
        <w:tc>
          <w:tcPr>
            <w:tcW w:w="2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血清天门冬氨酸氨基转移酶测定</w:t>
            </w:r>
          </w:p>
        </w:tc>
      </w:tr>
      <w:tr>
        <w:tblPrEx>
          <w:tblCellMar>
            <w:top w:w="0" w:type="dxa"/>
            <w:left w:w="108" w:type="dxa"/>
            <w:bottom w:w="0" w:type="dxa"/>
            <w:right w:w="108" w:type="dxa"/>
          </w:tblCellMar>
        </w:tblPrEx>
        <w:trPr>
          <w:trHeight w:val="91" w:hRule="atLeast"/>
        </w:trPr>
        <w:tc>
          <w:tcPr>
            <w:tcW w:w="83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250305009</w:t>
            </w:r>
          </w:p>
        </w:tc>
        <w:tc>
          <w:tcPr>
            <w:tcW w:w="2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血清γ-谷氨酰基转移酶测定</w:t>
            </w:r>
          </w:p>
        </w:tc>
      </w:tr>
      <w:tr>
        <w:tblPrEx>
          <w:tblCellMar>
            <w:top w:w="0" w:type="dxa"/>
            <w:left w:w="108" w:type="dxa"/>
            <w:bottom w:w="0" w:type="dxa"/>
            <w:right w:w="108" w:type="dxa"/>
          </w:tblCellMar>
        </w:tblPrEx>
        <w:trPr>
          <w:trHeight w:val="91" w:hRule="atLeast"/>
        </w:trPr>
        <w:tc>
          <w:tcPr>
            <w:tcW w:w="83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250301001</w:t>
            </w:r>
          </w:p>
        </w:tc>
        <w:tc>
          <w:tcPr>
            <w:tcW w:w="29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血清总蛋白测定</w:t>
            </w:r>
          </w:p>
        </w:tc>
      </w:tr>
      <w:tr>
        <w:tblPrEx>
          <w:tblCellMar>
            <w:top w:w="0" w:type="dxa"/>
            <w:left w:w="108" w:type="dxa"/>
            <w:bottom w:w="0" w:type="dxa"/>
            <w:right w:w="108" w:type="dxa"/>
          </w:tblCellMar>
        </w:tblPrEx>
        <w:trPr>
          <w:trHeight w:val="91" w:hRule="atLeast"/>
        </w:trPr>
        <w:tc>
          <w:tcPr>
            <w:tcW w:w="83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250301002</w:t>
            </w:r>
          </w:p>
        </w:tc>
        <w:tc>
          <w:tcPr>
            <w:tcW w:w="2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血清白蛋白测定</w:t>
            </w:r>
          </w:p>
        </w:tc>
      </w:tr>
      <w:tr>
        <w:tblPrEx>
          <w:tblCellMar>
            <w:top w:w="0" w:type="dxa"/>
            <w:left w:w="108" w:type="dxa"/>
            <w:bottom w:w="0" w:type="dxa"/>
            <w:right w:w="108" w:type="dxa"/>
          </w:tblCellMar>
        </w:tblPrEx>
        <w:trPr>
          <w:trHeight w:val="91" w:hRule="atLeast"/>
        </w:trPr>
        <w:tc>
          <w:tcPr>
            <w:tcW w:w="83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肾功能</w:t>
            </w: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250307001</w:t>
            </w:r>
          </w:p>
        </w:tc>
        <w:tc>
          <w:tcPr>
            <w:tcW w:w="2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尿素测定</w:t>
            </w:r>
          </w:p>
        </w:tc>
      </w:tr>
      <w:tr>
        <w:tblPrEx>
          <w:tblCellMar>
            <w:top w:w="0" w:type="dxa"/>
            <w:left w:w="108" w:type="dxa"/>
            <w:bottom w:w="0" w:type="dxa"/>
            <w:right w:w="108" w:type="dxa"/>
          </w:tblCellMar>
        </w:tblPrEx>
        <w:trPr>
          <w:trHeight w:val="91" w:hRule="atLeast"/>
        </w:trPr>
        <w:tc>
          <w:tcPr>
            <w:tcW w:w="83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5" w:type="dxa"/>
            <w:gridSpan w:val="2"/>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39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250307002</w:t>
            </w:r>
          </w:p>
        </w:tc>
        <w:tc>
          <w:tcPr>
            <w:tcW w:w="2988"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肌酐测定</w:t>
            </w:r>
          </w:p>
        </w:tc>
      </w:tr>
      <w:tr>
        <w:tblPrEx>
          <w:tblCellMar>
            <w:top w:w="0" w:type="dxa"/>
            <w:left w:w="108" w:type="dxa"/>
            <w:bottom w:w="0" w:type="dxa"/>
            <w:right w:w="108" w:type="dxa"/>
          </w:tblCellMar>
        </w:tblPrEx>
        <w:trPr>
          <w:trHeight w:val="91" w:hRule="atLeast"/>
        </w:trPr>
        <w:tc>
          <w:tcPr>
            <w:tcW w:w="831" w:type="dxa"/>
            <w:vMerge w:val="continue"/>
            <w:tcBorders>
              <w:top w:val="single" w:color="auto" w:sz="4" w:space="0"/>
              <w:left w:val="single" w:color="auto" w:sz="4" w:space="0"/>
              <w:bottom w:val="single" w:color="000000" w:sz="4" w:space="0"/>
              <w:right w:val="single" w:color="auto"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5" w:type="dxa"/>
            <w:gridSpan w:val="2"/>
            <w:vMerge w:val="continue"/>
            <w:tcBorders>
              <w:top w:val="single" w:color="auto" w:sz="4" w:space="0"/>
              <w:left w:val="single" w:color="auto" w:sz="4" w:space="0"/>
              <w:bottom w:val="nil"/>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39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250307005</w:t>
            </w:r>
          </w:p>
        </w:tc>
        <w:tc>
          <w:tcPr>
            <w:tcW w:w="298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血清尿酸测定</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尿微量白蛋白/尿肌酐检查</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250307006</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尿微量白蛋白测定</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神经传导速度测定（限糖尿病周围神经病变）</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310100007</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神经传导速度测定</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四肢多普勒血流图（限糖尿病足）</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220400002</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四肢多普勒血流图</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血流OCT/黄斑OCT（限糖尿病视网膜病变）</w:t>
            </w:r>
          </w:p>
        </w:tc>
        <w:tc>
          <w:tcPr>
            <w:tcW w:w="23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310300064</w:t>
            </w:r>
          </w:p>
        </w:tc>
        <w:tc>
          <w:tcPr>
            <w:tcW w:w="2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光学相干断层成像（OCT）</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眼底血管造影（限糖尿病视网膜病变）</w:t>
            </w:r>
          </w:p>
        </w:tc>
        <w:tc>
          <w:tcPr>
            <w:tcW w:w="23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310300054</w:t>
            </w:r>
          </w:p>
        </w:tc>
        <w:tc>
          <w:tcPr>
            <w:tcW w:w="2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眼底血管造影</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眼底照像（限糖尿病视网膜病变）</w:t>
            </w:r>
          </w:p>
        </w:tc>
        <w:tc>
          <w:tcPr>
            <w:tcW w:w="23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310300053</w:t>
            </w:r>
          </w:p>
        </w:tc>
        <w:tc>
          <w:tcPr>
            <w:tcW w:w="2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眼底照相</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限糖尿病视网膜病变（重度非增殖期及以上）</w:t>
            </w:r>
          </w:p>
        </w:tc>
        <w:tc>
          <w:tcPr>
            <w:tcW w:w="23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310300080</w:t>
            </w:r>
          </w:p>
        </w:tc>
        <w:tc>
          <w:tcPr>
            <w:tcW w:w="2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视网膜激光光凝术</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眼底检查（限糖尿病视网膜病变）</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310300056</w:t>
            </w:r>
          </w:p>
        </w:tc>
        <w:tc>
          <w:tcPr>
            <w:tcW w:w="2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眼底检查</w:t>
            </w:r>
          </w:p>
        </w:tc>
      </w:tr>
    </w:tbl>
    <w:p>
      <w:pPr>
        <w:spacing w:line="340" w:lineRule="exac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pPr>
        <w:tabs>
          <w:tab w:val="left" w:pos="737"/>
        </w:tabs>
        <w:spacing w:line="340" w:lineRule="exact"/>
        <w:rPr>
          <w:rFonts w:ascii="Times New Roman" w:hAnsi="Times New Roman" w:eastAsia="黑体"/>
          <w:color w:val="000000" w:themeColor="text1"/>
          <w:sz w:val="30"/>
          <w:szCs w:val="30"/>
          <w14:textFill>
            <w14:solidFill>
              <w14:schemeClr w14:val="tx1"/>
            </w14:solidFill>
          </w14:textFill>
        </w:rPr>
      </w:pPr>
      <w:r>
        <w:rPr>
          <w:rFonts w:hint="eastAsia" w:ascii="Times New Roman" w:hAnsi="Times New Roman" w:eastAsia="黑体"/>
          <w:color w:val="000000" w:themeColor="text1"/>
          <w:sz w:val="30"/>
          <w:szCs w:val="30"/>
          <w14:textFill>
            <w14:solidFill>
              <w14:schemeClr w14:val="tx1"/>
            </w14:solidFill>
          </w14:textFill>
        </w:rPr>
        <w:t>7</w:t>
      </w:r>
      <w:r>
        <w:rPr>
          <w:rFonts w:ascii="Times New Roman" w:hAnsi="Times New Roman" w:eastAsia="黑体"/>
          <w:color w:val="000000" w:themeColor="text1"/>
          <w:sz w:val="30"/>
          <w:szCs w:val="30"/>
          <w14:textFill>
            <w14:solidFill>
              <w14:schemeClr w14:val="tx1"/>
            </w14:solidFill>
          </w14:textFill>
        </w:rPr>
        <w:t>.甲亢</w:t>
      </w:r>
    </w:p>
    <w:tbl>
      <w:tblPr>
        <w:tblStyle w:val="4"/>
        <w:tblW w:w="8691" w:type="dxa"/>
        <w:tblInd w:w="93" w:type="dxa"/>
        <w:tblLayout w:type="fixed"/>
        <w:tblCellMar>
          <w:top w:w="0" w:type="dxa"/>
          <w:left w:w="108" w:type="dxa"/>
          <w:bottom w:w="0" w:type="dxa"/>
          <w:right w:w="108" w:type="dxa"/>
        </w:tblCellMar>
      </w:tblPr>
      <w:tblGrid>
        <w:gridCol w:w="683"/>
        <w:gridCol w:w="1913"/>
        <w:gridCol w:w="2409"/>
        <w:gridCol w:w="3686"/>
      </w:tblGrid>
      <w:tr>
        <w:tblPrEx>
          <w:tblCellMar>
            <w:top w:w="0" w:type="dxa"/>
            <w:left w:w="108" w:type="dxa"/>
            <w:bottom w:w="0" w:type="dxa"/>
            <w:right w:w="108" w:type="dxa"/>
          </w:tblCellMar>
        </w:tblPrEx>
        <w:trPr>
          <w:trHeight w:val="500"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甲亢</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E05.001</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弥漫性甲状腺肿伴甲状腺功能亢进症</w:t>
            </w:r>
          </w:p>
        </w:tc>
      </w:tr>
      <w:tr>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E05.002+H06.2*</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甲状腺功能障碍性突眼</w:t>
            </w:r>
          </w:p>
        </w:tc>
      </w:tr>
      <w:tr>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E05.001</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弥漫性甲状腺肿伴甲状腺功能亢进症</w:t>
            </w:r>
          </w:p>
        </w:tc>
      </w:tr>
      <w:tr>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E05.202</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结节性甲状腺肿伴甲状腺功能亢进症</w:t>
            </w:r>
          </w:p>
        </w:tc>
      </w:tr>
      <w:tr>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E05.200x004</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高功能腺瘤伴甲状腺功能亢进症</w:t>
            </w:r>
          </w:p>
        </w:tc>
      </w:tr>
      <w:tr>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E05.202</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结节性甲状腺肿伴甲状腺功能亢进症</w:t>
            </w:r>
          </w:p>
        </w:tc>
      </w:tr>
      <w:tr>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E05.203</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自主性高功能性甲状腺腺瘤伴甲状腺功能亢进症</w:t>
            </w:r>
          </w:p>
        </w:tc>
      </w:tr>
      <w:tr>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E05.802</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碘原性甲状腺功能亢进症</w:t>
            </w:r>
          </w:p>
        </w:tc>
      </w:tr>
      <w:tr>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E05.804</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药物性甲状腺功能亢进症</w:t>
            </w:r>
          </w:p>
        </w:tc>
      </w:tr>
      <w:tr>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E05.805</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原发性甲状腺功能亢进症</w:t>
            </w:r>
          </w:p>
        </w:tc>
      </w:tr>
      <w:tr>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E05.900x001</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甲状腺功能亢进症</w:t>
            </w:r>
          </w:p>
        </w:tc>
      </w:tr>
      <w:tr>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E05.900x002+G73.0*</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甲状腺功能亢进症合并周期性麻痹</w:t>
            </w:r>
          </w:p>
        </w:tc>
      </w:tr>
      <w:tr>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E05.904+G73.5*</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甲状腺功能亢进性肌病</w:t>
            </w:r>
          </w:p>
        </w:tc>
      </w:tr>
      <w:tr>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E05.903+I43.8*</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甲状腺功能亢进性心脏病</w:t>
            </w:r>
          </w:p>
        </w:tc>
      </w:tr>
      <w:tr>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F06.800x013</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甲状腺功能亢进所致精神障碍</w:t>
            </w:r>
          </w:p>
        </w:tc>
      </w:tr>
      <w:tr>
        <w:tblPrEx>
          <w:tblCellMar>
            <w:top w:w="0" w:type="dxa"/>
            <w:left w:w="108" w:type="dxa"/>
            <w:bottom w:w="0" w:type="dxa"/>
            <w:right w:w="108" w:type="dxa"/>
          </w:tblCellMar>
        </w:tblPrEx>
        <w:trPr>
          <w:trHeight w:val="91"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80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一、临床表现：有甲状腺毒症。</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二、体征：甲状腺肿大（可伴血管杂音）；甲状腺相关眼病表现；胫前粘液性水肿或类杵状指等。</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三、血清游离甲状腺激素（FT4或FT3）水平增加，血清超敏促甲状腺素（TSH）水平降低。</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其中第三条为必备条件。</w:t>
            </w:r>
          </w:p>
        </w:tc>
      </w:tr>
      <w:tr>
        <w:tblPrEx>
          <w:tblCellMar>
            <w:top w:w="0" w:type="dxa"/>
            <w:left w:w="108" w:type="dxa"/>
            <w:bottom w:w="0" w:type="dxa"/>
            <w:right w:w="108" w:type="dxa"/>
          </w:tblCellMar>
        </w:tblPrEx>
        <w:trPr>
          <w:trHeight w:val="9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2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医保目录药品分类代码</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甲状腺手术或同位素131I治疗以后出现的甲减</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XH03A</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甲状腺制剂</w:t>
            </w:r>
          </w:p>
        </w:tc>
      </w:tr>
      <w:tr>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抗甲状腺药物治疗</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XH03B</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抗甲状腺制剂</w:t>
            </w:r>
          </w:p>
        </w:tc>
      </w:tr>
      <w:tr>
        <w:tblPrEx>
          <w:tblCellMar>
            <w:top w:w="0" w:type="dxa"/>
            <w:left w:w="108" w:type="dxa"/>
            <w:bottom w:w="0" w:type="dxa"/>
            <w:right w:w="108" w:type="dxa"/>
          </w:tblCellMar>
        </w:tblPrEx>
        <w:trPr>
          <w:trHeight w:val="91"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1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2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医保目录医疗服务项目编码</w:t>
            </w:r>
          </w:p>
        </w:tc>
        <w:tc>
          <w:tcPr>
            <w:tcW w:w="3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血常规</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250101015</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血细胞分析</w:t>
            </w:r>
          </w:p>
        </w:tc>
      </w:tr>
      <w:tr>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肝功能</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250305001</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血清总胆红素测定</w:t>
            </w:r>
          </w:p>
        </w:tc>
      </w:tr>
      <w:tr>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250305002</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血清直接胆红素测定</w:t>
            </w:r>
          </w:p>
        </w:tc>
      </w:tr>
      <w:tr>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250305003</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血清间接胆红素测定</w:t>
            </w:r>
          </w:p>
        </w:tc>
      </w:tr>
      <w:tr>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250305007</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血清丙氨酸氨基转移酶测定</w:t>
            </w:r>
          </w:p>
        </w:tc>
      </w:tr>
      <w:tr>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250305008</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血清天门冬氨酸氨基转移酶测定</w:t>
            </w:r>
          </w:p>
        </w:tc>
      </w:tr>
      <w:tr>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250305009</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血清γ-谷氨酰基转移酶测定</w:t>
            </w:r>
          </w:p>
        </w:tc>
      </w:tr>
      <w:tr>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电解质</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250304001</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钾测定</w:t>
            </w:r>
          </w:p>
        </w:tc>
      </w:tr>
      <w:tr>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250304002</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钠测定</w:t>
            </w:r>
          </w:p>
        </w:tc>
      </w:tr>
      <w:tr>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250304003</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氯测定</w:t>
            </w:r>
          </w:p>
        </w:tc>
      </w:tr>
      <w:tr>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250304004</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钙测定</w:t>
            </w:r>
          </w:p>
        </w:tc>
      </w:tr>
      <w:tr>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血清TT4</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250310010</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血清甲状腺素(T4)测定</w:t>
            </w:r>
          </w:p>
        </w:tc>
      </w:tr>
      <w:tr>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TT3</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250310011</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血清三碘甲状原氨酸(T3)测定</w:t>
            </w:r>
          </w:p>
        </w:tc>
      </w:tr>
      <w:tr>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FT4</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250310013</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血清游离甲状腺素(FT4)测定</w:t>
            </w:r>
          </w:p>
        </w:tc>
      </w:tr>
      <w:tr>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FT3</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250310014</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血清游离三碘甲状原氨酸(FT3)测定</w:t>
            </w:r>
          </w:p>
        </w:tc>
      </w:tr>
      <w:tr>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TSH</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250310001</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血清促甲状腺激素测定(TSH)</w:t>
            </w:r>
          </w:p>
        </w:tc>
      </w:tr>
      <w:tr>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TRAb</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250310017</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促甲状腺素受体抗体测定</w:t>
            </w:r>
          </w:p>
        </w:tc>
      </w:tr>
      <w:tr>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TGAb</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250402017</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抗甲状腺球蛋白抗体测定(TGAb)</w:t>
            </w:r>
          </w:p>
        </w:tc>
      </w:tr>
      <w:tr>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TPOAb</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250402058</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甲状腺过氧化物酶抗体测定</w:t>
            </w:r>
          </w:p>
        </w:tc>
      </w:tr>
      <w:tr>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B型钠尿肽(BNP)</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250306012</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B型钠尿肽(BNP)</w:t>
            </w:r>
          </w:p>
        </w:tc>
      </w:tr>
      <w:tr>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心电图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310701001</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常规心电图检查</w:t>
            </w:r>
          </w:p>
        </w:tc>
      </w:tr>
      <w:tr>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甲状腺超声</w:t>
            </w:r>
          </w:p>
        </w:tc>
        <w:tc>
          <w:tcPr>
            <w:tcW w:w="2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220201002</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B超常规检查</w:t>
            </w:r>
          </w:p>
        </w:tc>
      </w:tr>
      <w:tr>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220201007.04</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浅表组织器官B超检查(甲状腺及颈部淋巴结)</w:t>
            </w:r>
          </w:p>
        </w:tc>
      </w:tr>
      <w:tr>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220301002.04</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浅表器官彩色多普勒超声检查(甲状腺及颈部淋巴结)</w:t>
            </w:r>
          </w:p>
        </w:tc>
      </w:tr>
      <w:tr>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心脏超声（限甲状腺功能亢进性心脏病）</w:t>
            </w:r>
          </w:p>
        </w:tc>
        <w:tc>
          <w:tcPr>
            <w:tcW w:w="2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220201002</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B超常规检查</w:t>
            </w:r>
          </w:p>
        </w:tc>
      </w:tr>
      <w:tr>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220600004</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心脏彩色多普勒超声</w:t>
            </w:r>
          </w:p>
        </w:tc>
      </w:tr>
      <w:tr>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220600004.01</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心脏彩色多普勒超声(同时做左心功能测定加收)</w:t>
            </w:r>
          </w:p>
        </w:tc>
      </w:tr>
      <w:tr>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眼部CT（限严重突眼者）</w:t>
            </w:r>
          </w:p>
        </w:tc>
        <w:tc>
          <w:tcPr>
            <w:tcW w:w="2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210300001.02</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X线计算机体层(CT)平扫(眼眶)</w:t>
            </w:r>
          </w:p>
        </w:tc>
      </w:tr>
      <w:tr>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210300002.02</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(CT)平扫基础上做增强扫描(眼眶)</w:t>
            </w:r>
          </w:p>
        </w:tc>
      </w:tr>
      <w:tr>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EBAEA001</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眼部X线计算机体层(CT)平扫</w:t>
            </w:r>
          </w:p>
        </w:tc>
      </w:tr>
      <w:tr>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EBBEA001</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眼部X线计算机体层(CT)增强扫描</w:t>
            </w:r>
          </w:p>
        </w:tc>
      </w:tr>
      <w:tr>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眼部MRI（限严重突眼者）</w:t>
            </w:r>
          </w:p>
        </w:tc>
        <w:tc>
          <w:tcPr>
            <w:tcW w:w="2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210200001</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磁共振平扫</w:t>
            </w:r>
          </w:p>
        </w:tc>
      </w:tr>
      <w:tr>
        <w:tblPrEx>
          <w:tblCellMar>
            <w:top w:w="0" w:type="dxa"/>
            <w:left w:w="108" w:type="dxa"/>
            <w:bottom w:w="0" w:type="dxa"/>
            <w:right w:w="108" w:type="dxa"/>
          </w:tblCellMar>
        </w:tblPrEx>
        <w:trPr>
          <w:trHeight w:val="91"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ECAEB001</w:t>
            </w:r>
          </w:p>
        </w:tc>
        <w:tc>
          <w:tcPr>
            <w:tcW w:w="3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眶磁共振成像</w:t>
            </w:r>
          </w:p>
        </w:tc>
      </w:tr>
    </w:tbl>
    <w:p>
      <w:pPr>
        <w:spacing w:line="340" w:lineRule="exac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pPr>
        <w:tabs>
          <w:tab w:val="left" w:pos="737"/>
        </w:tabs>
        <w:spacing w:line="340" w:lineRule="exact"/>
        <w:rPr>
          <w:rFonts w:ascii="Times New Roman" w:hAnsi="Times New Roman" w:eastAsia="黑体"/>
          <w:color w:val="000000" w:themeColor="text1"/>
          <w:sz w:val="30"/>
          <w:szCs w:val="30"/>
          <w14:textFill>
            <w14:solidFill>
              <w14:schemeClr w14:val="tx1"/>
            </w14:solidFill>
          </w14:textFill>
        </w:rPr>
      </w:pPr>
      <w:r>
        <w:rPr>
          <w:rFonts w:hint="eastAsia" w:ascii="Times New Roman" w:hAnsi="Times New Roman" w:eastAsia="黑体"/>
          <w:color w:val="000000" w:themeColor="text1"/>
          <w:sz w:val="30"/>
          <w:szCs w:val="30"/>
          <w14:textFill>
            <w14:solidFill>
              <w14:schemeClr w14:val="tx1"/>
            </w14:solidFill>
          </w14:textFill>
        </w:rPr>
        <w:t>8</w:t>
      </w:r>
      <w:r>
        <w:rPr>
          <w:rFonts w:ascii="Times New Roman" w:hAnsi="Times New Roman" w:eastAsia="黑体"/>
          <w:color w:val="000000" w:themeColor="text1"/>
          <w:sz w:val="30"/>
          <w:szCs w:val="30"/>
          <w14:textFill>
            <w14:solidFill>
              <w14:schemeClr w14:val="tx1"/>
            </w14:solidFill>
          </w14:textFill>
        </w:rPr>
        <w:t>.冠心病</w:t>
      </w:r>
    </w:p>
    <w:tbl>
      <w:tblPr>
        <w:tblStyle w:val="4"/>
        <w:tblW w:w="8691" w:type="dxa"/>
        <w:tblInd w:w="93" w:type="dxa"/>
        <w:tblLayout w:type="fixed"/>
        <w:tblCellMar>
          <w:top w:w="0" w:type="dxa"/>
          <w:left w:w="108" w:type="dxa"/>
          <w:bottom w:w="0" w:type="dxa"/>
          <w:right w:w="108" w:type="dxa"/>
        </w:tblCellMar>
      </w:tblPr>
      <w:tblGrid>
        <w:gridCol w:w="787"/>
        <w:gridCol w:w="2264"/>
        <w:gridCol w:w="1665"/>
        <w:gridCol w:w="3975"/>
      </w:tblGrid>
      <w:tr>
        <w:tblPrEx>
          <w:tblCellMar>
            <w:top w:w="0" w:type="dxa"/>
            <w:left w:w="108" w:type="dxa"/>
            <w:bottom w:w="0" w:type="dxa"/>
            <w:right w:w="108" w:type="dxa"/>
          </w:tblCellMar>
        </w:tblPrEx>
        <w:trPr>
          <w:trHeight w:val="202" w:hRule="atLeast"/>
        </w:trPr>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冠心病</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I25.103</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冠状动脉粥样硬化性心脏病</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I25.600x001</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隐匿性冠状动脉粥样硬化性心脏病</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I21.905</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冠状动脉栓塞伴心肌梗死</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I21.906</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冠状动脉血栓形成伴心肌梗死</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36.090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冠状动脉球囊扩张及支架植入</w:t>
            </w:r>
          </w:p>
        </w:tc>
      </w:tr>
      <w:tr>
        <w:tblPrEx>
          <w:tblCellMar>
            <w:top w:w="0" w:type="dxa"/>
            <w:left w:w="108" w:type="dxa"/>
            <w:bottom w:w="0" w:type="dxa"/>
            <w:right w:w="108" w:type="dxa"/>
          </w:tblCellMar>
        </w:tblPrEx>
        <w:trPr>
          <w:trHeight w:val="91"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79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具有心绞痛的临床表现，或有静息性缺血性心电图改变或动态心电图改变有缺血，或运动试验阳性。且必须具备以下三条之一者。</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一、冠状动脉造影或冠状动脉CTA，狭窄≥50%。</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二、有明确急性心肌梗死病史（需有相关诊断依据）。</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三、经冠状动脉腔内影像学（IVUS、OCT等）证实存在易损或破裂斑块存在。</w:t>
            </w:r>
          </w:p>
        </w:tc>
      </w:tr>
      <w:tr>
        <w:tblPrEx>
          <w:tblCellMar>
            <w:top w:w="0" w:type="dxa"/>
            <w:left w:w="108" w:type="dxa"/>
            <w:bottom w:w="0" w:type="dxa"/>
            <w:right w:w="108" w:type="dxa"/>
          </w:tblCellMar>
        </w:tblPrEx>
        <w:trPr>
          <w:trHeight w:val="91" w:hRule="atLeast"/>
        </w:trPr>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医保目录药品分类代码</w:t>
            </w:r>
          </w:p>
        </w:tc>
        <w:tc>
          <w:tcPr>
            <w:tcW w:w="3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冠状动脉扩张剂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XC01D</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用于心脏疾患的血管扩张药</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2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抗心绞痛药</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XC07</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β-受体阻滞剂</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XC08</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钙通道阻滞剂</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2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抗凝治疗药</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XB01AE</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直接凝血酶抑制剂</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XB01AA</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维生素K拮抗剂</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XB01AF</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直接Xa因子抑制剂</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抗血小板聚集药</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XB01AC</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血小板凝聚抑制剂，肝素除外</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抗心衰药</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XA10BK</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钠葡萄糖协同转运蛋白2(SGLT-2)抑制剂</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抗心律失常药</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XC01B</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Ⅰ类和Ⅲ类的抗心律失常药</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2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作用于肾素-血管紧张素系统的药物</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XC09A</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血管紧张素转换酶抑制剂的单方药</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XC09B</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血管紧张素转换酶抑制剂的复方制剂</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XC09C</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血管紧张素Ⅱ拮抗剂的单方药</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XC09D</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血管紧张素Ⅱ拮抗剂的复方制剂</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调节血脂药</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XC10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调节血脂药</w:t>
            </w:r>
          </w:p>
        </w:tc>
      </w:tr>
      <w:tr>
        <w:tblPrEx>
          <w:tblCellMar>
            <w:top w:w="0" w:type="dxa"/>
            <w:left w:w="108" w:type="dxa"/>
            <w:bottom w:w="0" w:type="dxa"/>
            <w:right w:w="108" w:type="dxa"/>
          </w:tblCellMar>
        </w:tblPrEx>
        <w:trPr>
          <w:trHeight w:val="91" w:hRule="atLeast"/>
        </w:trPr>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22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医保目录医疗服务项目编码</w:t>
            </w:r>
          </w:p>
        </w:tc>
        <w:tc>
          <w:tcPr>
            <w:tcW w:w="39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血常规</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250101015</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血细胞分析</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电解质</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250304001</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钾测定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250304002</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钠测定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250304003</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氯测定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250304004</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钙测定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250304010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血清碳酸氢盐(HCO3)测定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血脂</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250303004</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血清高密度脂蛋白胆固醇测定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250303002</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血清甘油三酯测定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250303001</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血清总胆固醇测定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CEHP1000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脂蛋白a(LPa)测定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250303005</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血清低密度脂蛋白胆固醇测定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心肌酶谱</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250306001</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血清肌酸激酶测定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250306005</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乳酸脱氢酶测定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250306002</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血清肌酸激酶－MB同工酶活性测定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肌钙蛋白</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250306008</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血清肌钙蛋白T测定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250306009</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血清肌钙蛋白Ⅰ测定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250306010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血清肌红蛋白测定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肾功能</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250307002</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肌酐测定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250307005</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血清尿酸测定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250307001</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尿素测定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凝血功能</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250203025</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活化部分凝血活酶时间测定(APTT)</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250203020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血浆凝血酶原时间测定(PT)</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250203030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血浆纤维蛋白原测定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250203035</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凝血酶时间测定(TT)</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肝功能</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250305009</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血清γ-谷氨酰基转移酶测定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250305001</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血清总胆红素测定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250305011</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血清碱性磷酸酶测定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250305007</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血清丙氨酸氨基转移酶测定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250305008</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血清天门冬氨酸氨基转移酶测定</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胸片</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210102015</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数字化X线摄影(DR)</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210102016</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计算机X线摄影(ComputedRadiography,CR)</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心电图（常规、动态）</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310701001</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常规心电图检查</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310701003</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动态心电图</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310701007</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心电事件记录</w:t>
            </w:r>
          </w:p>
        </w:tc>
      </w:tr>
      <w:tr>
        <w:tblPrEx>
          <w:tblCellMar>
            <w:top w:w="0" w:type="dxa"/>
            <w:left w:w="108" w:type="dxa"/>
            <w:bottom w:w="0" w:type="dxa"/>
            <w:right w:w="108" w:type="dxa"/>
          </w:tblCellMar>
        </w:tblPrEx>
        <w:trPr>
          <w:trHeight w:val="91"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心脏超声</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220600004</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心脏彩色多普勒超声</w:t>
            </w:r>
          </w:p>
        </w:tc>
      </w:tr>
    </w:tbl>
    <w:p>
      <w:pPr>
        <w:spacing w:line="340" w:lineRule="exac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pPr>
        <w:tabs>
          <w:tab w:val="left" w:pos="737"/>
        </w:tabs>
        <w:spacing w:line="340" w:lineRule="exact"/>
        <w:rPr>
          <w:rFonts w:ascii="Times New Roman" w:hAnsi="Times New Roman" w:eastAsia="黑体"/>
          <w:color w:val="000000" w:themeColor="text1"/>
          <w:sz w:val="30"/>
          <w:szCs w:val="30"/>
          <w14:textFill>
            <w14:solidFill>
              <w14:schemeClr w14:val="tx1"/>
            </w14:solidFill>
          </w14:textFill>
        </w:rPr>
      </w:pPr>
      <w:r>
        <w:rPr>
          <w:rFonts w:hint="eastAsia" w:ascii="Times New Roman" w:hAnsi="Times New Roman" w:eastAsia="黑体"/>
          <w:color w:val="000000" w:themeColor="text1"/>
          <w:sz w:val="30"/>
          <w:szCs w:val="30"/>
          <w14:textFill>
            <w14:solidFill>
              <w14:schemeClr w14:val="tx1"/>
            </w14:solidFill>
          </w14:textFill>
        </w:rPr>
        <w:t>9</w:t>
      </w:r>
      <w:r>
        <w:rPr>
          <w:rFonts w:ascii="Times New Roman" w:hAnsi="Times New Roman" w:eastAsia="黑体"/>
          <w:color w:val="000000" w:themeColor="text1"/>
          <w:sz w:val="30"/>
          <w:szCs w:val="30"/>
          <w14:textFill>
            <w14:solidFill>
              <w14:schemeClr w14:val="tx1"/>
            </w14:solidFill>
          </w14:textFill>
        </w:rPr>
        <w:t>.风湿性心瓣膜病</w:t>
      </w:r>
    </w:p>
    <w:tbl>
      <w:tblPr>
        <w:tblStyle w:val="4"/>
        <w:tblW w:w="8691" w:type="dxa"/>
        <w:tblInd w:w="93" w:type="dxa"/>
        <w:tblLayout w:type="fixed"/>
        <w:tblCellMar>
          <w:top w:w="0" w:type="dxa"/>
          <w:left w:w="108" w:type="dxa"/>
          <w:bottom w:w="0" w:type="dxa"/>
          <w:right w:w="108" w:type="dxa"/>
        </w:tblCellMar>
      </w:tblPr>
      <w:tblGrid>
        <w:gridCol w:w="743"/>
        <w:gridCol w:w="2955"/>
        <w:gridCol w:w="1950"/>
        <w:gridCol w:w="3043"/>
      </w:tblGrid>
      <w:tr>
        <w:tblPrEx>
          <w:tblCellMar>
            <w:top w:w="0" w:type="dxa"/>
            <w:left w:w="108" w:type="dxa"/>
            <w:bottom w:w="0" w:type="dxa"/>
            <w:right w:w="108" w:type="dxa"/>
          </w:tblCellMar>
        </w:tblPrEx>
        <w:trPr>
          <w:trHeight w:val="489" w:hRule="atLeast"/>
        </w:trPr>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1"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风湿性心瓣膜病</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I09.900</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风湿性心脏病</w:t>
            </w:r>
          </w:p>
        </w:tc>
      </w:tr>
      <w:tr>
        <w:tblPrEx>
          <w:tblCellMar>
            <w:top w:w="0" w:type="dxa"/>
            <w:left w:w="108" w:type="dxa"/>
            <w:bottom w:w="0" w:type="dxa"/>
            <w:right w:w="108" w:type="dxa"/>
          </w:tblCellMar>
        </w:tblPrEx>
        <w:trPr>
          <w:trHeight w:val="91"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I09.800</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风湿性心脏病，其他特指的</w:t>
            </w:r>
          </w:p>
        </w:tc>
      </w:tr>
      <w:tr>
        <w:tblPrEx>
          <w:tblCellMar>
            <w:top w:w="0" w:type="dxa"/>
            <w:left w:w="108" w:type="dxa"/>
            <w:bottom w:w="0" w:type="dxa"/>
            <w:right w:w="108" w:type="dxa"/>
          </w:tblCellMar>
        </w:tblPrEx>
        <w:trPr>
          <w:trHeight w:val="91"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79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必须具备超声心动图的诊断标准：有风心病特异性瓣膜改变。可见二尖瓣、主动脉瓣、三尖瓣病变；由于瓣膜交界处融合、粘连，瓣膜增厚、变硬、钙化，使瓣膜狭窄、关闭不全，或狭窄伴关闭不全；可见心房或心室肥大。</w:t>
            </w:r>
          </w:p>
        </w:tc>
      </w:tr>
      <w:tr>
        <w:tblPrEx>
          <w:tblCellMar>
            <w:top w:w="0" w:type="dxa"/>
            <w:left w:w="108" w:type="dxa"/>
            <w:bottom w:w="0" w:type="dxa"/>
            <w:right w:w="108" w:type="dxa"/>
          </w:tblCellMar>
        </w:tblPrEx>
        <w:trPr>
          <w:trHeight w:val="91" w:hRule="atLeast"/>
        </w:trPr>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医保目录药品分类代码</w:t>
            </w:r>
          </w:p>
        </w:tc>
        <w:tc>
          <w:tcPr>
            <w:tcW w:w="30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1"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抗风湿热药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XH02</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全身用皮质激素类</w:t>
            </w:r>
          </w:p>
        </w:tc>
      </w:tr>
      <w:tr>
        <w:tblPrEx>
          <w:tblCellMar>
            <w:top w:w="0" w:type="dxa"/>
            <w:left w:w="108" w:type="dxa"/>
            <w:bottom w:w="0" w:type="dxa"/>
            <w:right w:w="108" w:type="dxa"/>
          </w:tblCellMar>
        </w:tblPrEx>
        <w:trPr>
          <w:trHeight w:val="91"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抗感染类药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XJ01C</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β-内酰胺类抗菌药，青霉素类</w:t>
            </w:r>
          </w:p>
        </w:tc>
      </w:tr>
      <w:tr>
        <w:tblPrEx>
          <w:tblCellMar>
            <w:top w:w="0" w:type="dxa"/>
            <w:left w:w="108" w:type="dxa"/>
            <w:bottom w:w="0" w:type="dxa"/>
            <w:right w:w="108" w:type="dxa"/>
          </w:tblCellMar>
        </w:tblPrEx>
        <w:trPr>
          <w:trHeight w:val="91"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作用于肾素-血管紧张素系统的药物</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XC09A</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血管紧张素转换酶抑制剂的单方药</w:t>
            </w:r>
          </w:p>
        </w:tc>
      </w:tr>
      <w:tr>
        <w:tblPrEx>
          <w:tblCellMar>
            <w:top w:w="0" w:type="dxa"/>
            <w:left w:w="108" w:type="dxa"/>
            <w:bottom w:w="0" w:type="dxa"/>
            <w:right w:w="108" w:type="dxa"/>
          </w:tblCellMar>
        </w:tblPrEx>
        <w:trPr>
          <w:trHeight w:val="91"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XC09B</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血管紧张素转换酶抑制剂的复方制剂</w:t>
            </w:r>
          </w:p>
        </w:tc>
      </w:tr>
      <w:tr>
        <w:tblPrEx>
          <w:tblCellMar>
            <w:top w:w="0" w:type="dxa"/>
            <w:left w:w="108" w:type="dxa"/>
            <w:bottom w:w="0" w:type="dxa"/>
            <w:right w:w="108" w:type="dxa"/>
          </w:tblCellMar>
        </w:tblPrEx>
        <w:trPr>
          <w:trHeight w:val="91"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XC09C</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血管紧张素Ⅱ拮抗剂的单方药</w:t>
            </w:r>
          </w:p>
        </w:tc>
      </w:tr>
      <w:tr>
        <w:tblPrEx>
          <w:tblCellMar>
            <w:top w:w="0" w:type="dxa"/>
            <w:left w:w="108" w:type="dxa"/>
            <w:bottom w:w="0" w:type="dxa"/>
            <w:right w:w="108" w:type="dxa"/>
          </w:tblCellMar>
        </w:tblPrEx>
        <w:trPr>
          <w:trHeight w:val="91"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XC09D</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血管紧张素Ⅱ拮抗剂的复方制剂</w:t>
            </w:r>
          </w:p>
        </w:tc>
      </w:tr>
      <w:tr>
        <w:tblPrEx>
          <w:tblCellMar>
            <w:top w:w="0" w:type="dxa"/>
            <w:left w:w="108" w:type="dxa"/>
            <w:bottom w:w="0" w:type="dxa"/>
            <w:right w:w="108" w:type="dxa"/>
          </w:tblCellMar>
        </w:tblPrEx>
        <w:trPr>
          <w:trHeight w:val="91"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β受体阻滞剂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XC07</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β-受体阻滞剂</w:t>
            </w:r>
          </w:p>
        </w:tc>
      </w:tr>
      <w:tr>
        <w:tblPrEx>
          <w:tblCellMar>
            <w:top w:w="0" w:type="dxa"/>
            <w:left w:w="108" w:type="dxa"/>
            <w:bottom w:w="0" w:type="dxa"/>
            <w:right w:w="108" w:type="dxa"/>
          </w:tblCellMar>
        </w:tblPrEx>
        <w:trPr>
          <w:trHeight w:val="91"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其他心脏疾病用药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XC01E</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其他心脏疾病用药</w:t>
            </w:r>
          </w:p>
        </w:tc>
      </w:tr>
      <w:tr>
        <w:tblPrEx>
          <w:tblCellMar>
            <w:top w:w="0" w:type="dxa"/>
            <w:left w:w="108" w:type="dxa"/>
            <w:bottom w:w="0" w:type="dxa"/>
            <w:right w:w="108" w:type="dxa"/>
          </w:tblCellMar>
        </w:tblPrEx>
        <w:trPr>
          <w:trHeight w:val="91"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抗凝治疗药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XB01AE</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直接凝血酶抑制剂</w:t>
            </w:r>
          </w:p>
        </w:tc>
      </w:tr>
      <w:tr>
        <w:tblPrEx>
          <w:tblCellMar>
            <w:top w:w="0" w:type="dxa"/>
            <w:left w:w="108" w:type="dxa"/>
            <w:bottom w:w="0" w:type="dxa"/>
            <w:right w:w="108" w:type="dxa"/>
          </w:tblCellMar>
        </w:tblPrEx>
        <w:trPr>
          <w:trHeight w:val="91"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XB01AA</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维生素K拮抗剂</w:t>
            </w:r>
          </w:p>
        </w:tc>
      </w:tr>
      <w:tr>
        <w:tblPrEx>
          <w:tblCellMar>
            <w:top w:w="0" w:type="dxa"/>
            <w:left w:w="108" w:type="dxa"/>
            <w:bottom w:w="0" w:type="dxa"/>
            <w:right w:w="108" w:type="dxa"/>
          </w:tblCellMar>
        </w:tblPrEx>
        <w:trPr>
          <w:trHeight w:val="91"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XB01AF</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直接Xa因子抑制剂</w:t>
            </w:r>
          </w:p>
        </w:tc>
      </w:tr>
      <w:tr>
        <w:tblPrEx>
          <w:tblCellMar>
            <w:top w:w="0" w:type="dxa"/>
            <w:left w:w="108" w:type="dxa"/>
            <w:bottom w:w="0" w:type="dxa"/>
            <w:right w:w="108" w:type="dxa"/>
          </w:tblCellMar>
        </w:tblPrEx>
        <w:trPr>
          <w:trHeight w:val="91"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抗血小板聚集药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XB01AC</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血小板凝聚抑制剂，肝素除外</w:t>
            </w:r>
          </w:p>
        </w:tc>
      </w:tr>
      <w:tr>
        <w:tblPrEx>
          <w:tblCellMar>
            <w:top w:w="0" w:type="dxa"/>
            <w:left w:w="108" w:type="dxa"/>
            <w:bottom w:w="0" w:type="dxa"/>
            <w:right w:w="108" w:type="dxa"/>
          </w:tblCellMar>
        </w:tblPrEx>
        <w:trPr>
          <w:trHeight w:val="91"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利尿剂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XC03</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利尿剂</w:t>
            </w:r>
          </w:p>
        </w:tc>
      </w:tr>
      <w:tr>
        <w:tblPrEx>
          <w:tblCellMar>
            <w:top w:w="0" w:type="dxa"/>
            <w:left w:w="108" w:type="dxa"/>
            <w:bottom w:w="0" w:type="dxa"/>
            <w:right w:w="108" w:type="dxa"/>
          </w:tblCellMar>
        </w:tblPrEx>
        <w:trPr>
          <w:trHeight w:val="91"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抗心衰药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XA10BK</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钠葡萄糖协同转运蛋白2(SGLT-2)抑制剂</w:t>
            </w:r>
          </w:p>
        </w:tc>
      </w:tr>
      <w:tr>
        <w:tblPrEx>
          <w:tblCellMar>
            <w:top w:w="0" w:type="dxa"/>
            <w:left w:w="108" w:type="dxa"/>
            <w:bottom w:w="0" w:type="dxa"/>
            <w:right w:w="108" w:type="dxa"/>
          </w:tblCellMar>
        </w:tblPrEx>
        <w:trPr>
          <w:trHeight w:val="91"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心脏疾患的血管扩张药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XC01D</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心脏疾患的血管扩张药</w:t>
            </w:r>
          </w:p>
        </w:tc>
      </w:tr>
      <w:tr>
        <w:tblPrEx>
          <w:tblCellMar>
            <w:top w:w="0" w:type="dxa"/>
            <w:left w:w="108" w:type="dxa"/>
            <w:bottom w:w="0" w:type="dxa"/>
            <w:right w:w="108" w:type="dxa"/>
          </w:tblCellMar>
        </w:tblPrEx>
        <w:trPr>
          <w:trHeight w:val="91"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抗心律失常药</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XC01B</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Ⅰ类和Ⅲ类的抗心律失常药</w:t>
            </w:r>
          </w:p>
        </w:tc>
      </w:tr>
      <w:tr>
        <w:tblPrEx>
          <w:tblCellMar>
            <w:top w:w="0" w:type="dxa"/>
            <w:left w:w="108" w:type="dxa"/>
            <w:bottom w:w="0" w:type="dxa"/>
            <w:right w:w="108" w:type="dxa"/>
          </w:tblCellMar>
        </w:tblPrEx>
        <w:trPr>
          <w:trHeight w:val="91" w:hRule="atLeast"/>
        </w:trPr>
        <w:tc>
          <w:tcPr>
            <w:tcW w:w="743" w:type="dxa"/>
            <w:vMerge w:val="restart"/>
            <w:tcBorders>
              <w:top w:val="nil"/>
              <w:left w:val="single" w:color="auto"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29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医保目录医疗服务项目编码</w:t>
            </w:r>
          </w:p>
        </w:tc>
        <w:tc>
          <w:tcPr>
            <w:tcW w:w="30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1" w:hRule="atLeast"/>
        </w:trPr>
        <w:tc>
          <w:tcPr>
            <w:tcW w:w="743" w:type="dxa"/>
            <w:vMerge w:val="continue"/>
            <w:tcBorders>
              <w:top w:val="nil"/>
              <w:left w:val="single" w:color="auto"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电解质</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250304001</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钾测定</w:t>
            </w:r>
          </w:p>
        </w:tc>
      </w:tr>
      <w:tr>
        <w:tblPrEx>
          <w:tblCellMar>
            <w:top w:w="0" w:type="dxa"/>
            <w:left w:w="108" w:type="dxa"/>
            <w:bottom w:w="0" w:type="dxa"/>
            <w:right w:w="108" w:type="dxa"/>
          </w:tblCellMar>
        </w:tblPrEx>
        <w:trPr>
          <w:trHeight w:val="91" w:hRule="atLeast"/>
        </w:trPr>
        <w:tc>
          <w:tcPr>
            <w:tcW w:w="743" w:type="dxa"/>
            <w:vMerge w:val="continue"/>
            <w:tcBorders>
              <w:top w:val="nil"/>
              <w:left w:val="single" w:color="auto"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250304002</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钠测定</w:t>
            </w:r>
          </w:p>
        </w:tc>
      </w:tr>
      <w:tr>
        <w:tblPrEx>
          <w:tblCellMar>
            <w:top w:w="0" w:type="dxa"/>
            <w:left w:w="108" w:type="dxa"/>
            <w:bottom w:w="0" w:type="dxa"/>
            <w:right w:w="108" w:type="dxa"/>
          </w:tblCellMar>
        </w:tblPrEx>
        <w:trPr>
          <w:trHeight w:val="91" w:hRule="atLeast"/>
        </w:trPr>
        <w:tc>
          <w:tcPr>
            <w:tcW w:w="743" w:type="dxa"/>
            <w:vMerge w:val="continue"/>
            <w:tcBorders>
              <w:top w:val="nil"/>
              <w:left w:val="single" w:color="auto"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250304003</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氯测定</w:t>
            </w:r>
          </w:p>
        </w:tc>
      </w:tr>
      <w:tr>
        <w:tblPrEx>
          <w:tblCellMar>
            <w:top w:w="0" w:type="dxa"/>
            <w:left w:w="108" w:type="dxa"/>
            <w:bottom w:w="0" w:type="dxa"/>
            <w:right w:w="108" w:type="dxa"/>
          </w:tblCellMar>
        </w:tblPrEx>
        <w:trPr>
          <w:trHeight w:val="91" w:hRule="atLeast"/>
        </w:trPr>
        <w:tc>
          <w:tcPr>
            <w:tcW w:w="743" w:type="dxa"/>
            <w:vMerge w:val="continue"/>
            <w:tcBorders>
              <w:top w:val="nil"/>
              <w:left w:val="single" w:color="auto"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250304004</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钙测定</w:t>
            </w:r>
          </w:p>
        </w:tc>
      </w:tr>
      <w:tr>
        <w:tblPrEx>
          <w:tblCellMar>
            <w:top w:w="0" w:type="dxa"/>
            <w:left w:w="108" w:type="dxa"/>
            <w:bottom w:w="0" w:type="dxa"/>
            <w:right w:w="108" w:type="dxa"/>
          </w:tblCellMar>
        </w:tblPrEx>
        <w:trPr>
          <w:trHeight w:val="91" w:hRule="atLeast"/>
        </w:trPr>
        <w:tc>
          <w:tcPr>
            <w:tcW w:w="743" w:type="dxa"/>
            <w:vMerge w:val="continue"/>
            <w:tcBorders>
              <w:top w:val="nil"/>
              <w:left w:val="single" w:color="auto" w:sz="4" w:space="0"/>
              <w:bottom w:val="single" w:color="auto"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5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5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250304010</w:t>
            </w:r>
          </w:p>
        </w:tc>
        <w:tc>
          <w:tcPr>
            <w:tcW w:w="304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血清碳酸氢盐(HCO3)测定</w:t>
            </w:r>
          </w:p>
        </w:tc>
      </w:tr>
      <w:tr>
        <w:tblPrEx>
          <w:tblCellMar>
            <w:top w:w="0" w:type="dxa"/>
            <w:left w:w="108" w:type="dxa"/>
            <w:bottom w:w="0" w:type="dxa"/>
            <w:right w:w="108" w:type="dxa"/>
          </w:tblCellMar>
        </w:tblPrEx>
        <w:trPr>
          <w:trHeight w:val="91" w:hRule="atLeast"/>
        </w:trPr>
        <w:tc>
          <w:tcPr>
            <w:tcW w:w="743"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5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凝血功能</w:t>
            </w:r>
          </w:p>
        </w:tc>
        <w:tc>
          <w:tcPr>
            <w:tcW w:w="1950"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250203025</w:t>
            </w:r>
          </w:p>
        </w:tc>
        <w:tc>
          <w:tcPr>
            <w:tcW w:w="3043" w:type="dxa"/>
            <w:tcBorders>
              <w:top w:val="single" w:color="auto" w:sz="4" w:space="0"/>
              <w:left w:val="single" w:color="000000" w:sz="4" w:space="0"/>
              <w:bottom w:val="single" w:color="auto" w:sz="4" w:space="0"/>
              <w:right w:val="single" w:color="auto"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活化部分凝血活酶时间测定(APTT)</w:t>
            </w:r>
          </w:p>
        </w:tc>
      </w:tr>
      <w:tr>
        <w:tblPrEx>
          <w:tblCellMar>
            <w:top w:w="0" w:type="dxa"/>
            <w:left w:w="108" w:type="dxa"/>
            <w:bottom w:w="0" w:type="dxa"/>
            <w:right w:w="108" w:type="dxa"/>
          </w:tblCellMar>
        </w:tblPrEx>
        <w:trPr>
          <w:trHeight w:val="91" w:hRule="atLeast"/>
        </w:trPr>
        <w:tc>
          <w:tcPr>
            <w:tcW w:w="743" w:type="dxa"/>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55"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50" w:type="dxa"/>
            <w:tcBorders>
              <w:top w:val="single" w:color="auto"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250203020</w:t>
            </w:r>
          </w:p>
        </w:tc>
        <w:tc>
          <w:tcPr>
            <w:tcW w:w="3043" w:type="dxa"/>
            <w:tcBorders>
              <w:top w:val="single" w:color="auto"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血浆凝血酶原时间测定(PT)</w:t>
            </w:r>
          </w:p>
        </w:tc>
      </w:tr>
      <w:tr>
        <w:tblPrEx>
          <w:tblCellMar>
            <w:top w:w="0" w:type="dxa"/>
            <w:left w:w="108" w:type="dxa"/>
            <w:bottom w:w="0" w:type="dxa"/>
            <w:right w:w="108" w:type="dxa"/>
          </w:tblCellMar>
        </w:tblPrEx>
        <w:trPr>
          <w:trHeight w:val="91" w:hRule="atLeast"/>
        </w:trPr>
        <w:tc>
          <w:tcPr>
            <w:tcW w:w="743" w:type="dxa"/>
            <w:vMerge w:val="continue"/>
            <w:tcBorders>
              <w:top w:val="nil"/>
              <w:left w:val="single" w:color="auto"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250203030</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血浆纤维蛋白原测定</w:t>
            </w:r>
          </w:p>
        </w:tc>
      </w:tr>
      <w:tr>
        <w:tblPrEx>
          <w:tblCellMar>
            <w:top w:w="0" w:type="dxa"/>
            <w:left w:w="108" w:type="dxa"/>
            <w:bottom w:w="0" w:type="dxa"/>
            <w:right w:w="108" w:type="dxa"/>
          </w:tblCellMar>
        </w:tblPrEx>
        <w:trPr>
          <w:trHeight w:val="91" w:hRule="atLeast"/>
        </w:trPr>
        <w:tc>
          <w:tcPr>
            <w:tcW w:w="743" w:type="dxa"/>
            <w:vMerge w:val="continue"/>
            <w:tcBorders>
              <w:top w:val="nil"/>
              <w:left w:val="single" w:color="auto"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250203035</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凝血酶时间测定(TT)</w:t>
            </w:r>
          </w:p>
        </w:tc>
      </w:tr>
      <w:tr>
        <w:tblPrEx>
          <w:tblCellMar>
            <w:top w:w="0" w:type="dxa"/>
            <w:left w:w="108" w:type="dxa"/>
            <w:bottom w:w="0" w:type="dxa"/>
            <w:right w:w="108" w:type="dxa"/>
          </w:tblCellMar>
        </w:tblPrEx>
        <w:trPr>
          <w:trHeight w:val="91" w:hRule="atLeast"/>
        </w:trPr>
        <w:tc>
          <w:tcPr>
            <w:tcW w:w="743" w:type="dxa"/>
            <w:vMerge w:val="continue"/>
            <w:tcBorders>
              <w:top w:val="nil"/>
              <w:left w:val="single" w:color="auto"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55" w:type="dxa"/>
            <w:tcBorders>
              <w:top w:val="single" w:color="000000" w:sz="4" w:space="0"/>
              <w:left w:val="single" w:color="000000" w:sz="4" w:space="0"/>
              <w:bottom w:val="nil"/>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抗链球菌溶血素测定</w:t>
            </w:r>
          </w:p>
        </w:tc>
        <w:tc>
          <w:tcPr>
            <w:tcW w:w="1950" w:type="dxa"/>
            <w:tcBorders>
              <w:top w:val="single" w:color="000000" w:sz="4" w:space="0"/>
              <w:left w:val="single" w:color="000000" w:sz="4" w:space="0"/>
              <w:bottom w:val="nil"/>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250403043</w:t>
            </w:r>
          </w:p>
        </w:tc>
        <w:tc>
          <w:tcPr>
            <w:tcW w:w="3043" w:type="dxa"/>
            <w:tcBorders>
              <w:top w:val="single" w:color="000000" w:sz="4" w:space="0"/>
              <w:left w:val="single" w:color="000000" w:sz="4" w:space="0"/>
              <w:bottom w:val="nil"/>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抗链球菌溶血素测定(ASO)</w:t>
            </w:r>
          </w:p>
        </w:tc>
      </w:tr>
      <w:tr>
        <w:tblPrEx>
          <w:tblCellMar>
            <w:top w:w="0" w:type="dxa"/>
            <w:left w:w="108" w:type="dxa"/>
            <w:bottom w:w="0" w:type="dxa"/>
            <w:right w:w="108" w:type="dxa"/>
          </w:tblCellMar>
        </w:tblPrEx>
        <w:trPr>
          <w:trHeight w:val="91" w:hRule="atLeast"/>
        </w:trPr>
        <w:tc>
          <w:tcPr>
            <w:tcW w:w="743" w:type="dxa"/>
            <w:vMerge w:val="continue"/>
            <w:tcBorders>
              <w:top w:val="nil"/>
              <w:left w:val="single" w:color="auto"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心肌酶谱</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250306001</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血清肌酸激酶测定</w:t>
            </w:r>
          </w:p>
        </w:tc>
      </w:tr>
      <w:tr>
        <w:tblPrEx>
          <w:tblCellMar>
            <w:top w:w="0" w:type="dxa"/>
            <w:left w:w="108" w:type="dxa"/>
            <w:bottom w:w="0" w:type="dxa"/>
            <w:right w:w="108" w:type="dxa"/>
          </w:tblCellMar>
        </w:tblPrEx>
        <w:trPr>
          <w:trHeight w:val="91" w:hRule="atLeast"/>
        </w:trPr>
        <w:tc>
          <w:tcPr>
            <w:tcW w:w="743" w:type="dxa"/>
            <w:vMerge w:val="continue"/>
            <w:tcBorders>
              <w:top w:val="nil"/>
              <w:left w:val="single" w:color="auto"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250306005</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乳酸脱氢酶测定</w:t>
            </w:r>
          </w:p>
        </w:tc>
      </w:tr>
      <w:tr>
        <w:tblPrEx>
          <w:tblCellMar>
            <w:top w:w="0" w:type="dxa"/>
            <w:left w:w="108" w:type="dxa"/>
            <w:bottom w:w="0" w:type="dxa"/>
            <w:right w:w="108" w:type="dxa"/>
          </w:tblCellMar>
        </w:tblPrEx>
        <w:trPr>
          <w:trHeight w:val="91" w:hRule="atLeast"/>
        </w:trPr>
        <w:tc>
          <w:tcPr>
            <w:tcW w:w="743" w:type="dxa"/>
            <w:vMerge w:val="continue"/>
            <w:tcBorders>
              <w:top w:val="nil"/>
              <w:left w:val="single" w:color="auto"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250306002</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血清肌酸激酶－MB同工酶活性测定</w:t>
            </w:r>
          </w:p>
        </w:tc>
      </w:tr>
      <w:tr>
        <w:tblPrEx>
          <w:tblCellMar>
            <w:top w:w="0" w:type="dxa"/>
            <w:left w:w="108" w:type="dxa"/>
            <w:bottom w:w="0" w:type="dxa"/>
            <w:right w:w="108" w:type="dxa"/>
          </w:tblCellMar>
        </w:tblPrEx>
        <w:trPr>
          <w:trHeight w:val="91" w:hRule="atLeast"/>
        </w:trPr>
        <w:tc>
          <w:tcPr>
            <w:tcW w:w="743" w:type="dxa"/>
            <w:vMerge w:val="continue"/>
            <w:tcBorders>
              <w:top w:val="nil"/>
              <w:left w:val="single" w:color="auto"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肌钙蛋白</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250306008</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血清肌钙蛋白T测定</w:t>
            </w:r>
          </w:p>
        </w:tc>
      </w:tr>
      <w:tr>
        <w:tblPrEx>
          <w:tblCellMar>
            <w:top w:w="0" w:type="dxa"/>
            <w:left w:w="108" w:type="dxa"/>
            <w:bottom w:w="0" w:type="dxa"/>
            <w:right w:w="108" w:type="dxa"/>
          </w:tblCellMar>
        </w:tblPrEx>
        <w:trPr>
          <w:trHeight w:val="91" w:hRule="atLeast"/>
        </w:trPr>
        <w:tc>
          <w:tcPr>
            <w:tcW w:w="743" w:type="dxa"/>
            <w:vMerge w:val="continue"/>
            <w:tcBorders>
              <w:top w:val="nil"/>
              <w:left w:val="single" w:color="auto"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250306009</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血清肌钙蛋白Ⅰ测定</w:t>
            </w:r>
          </w:p>
        </w:tc>
      </w:tr>
      <w:tr>
        <w:tblPrEx>
          <w:tblCellMar>
            <w:top w:w="0" w:type="dxa"/>
            <w:left w:w="108" w:type="dxa"/>
            <w:bottom w:w="0" w:type="dxa"/>
            <w:right w:w="108" w:type="dxa"/>
          </w:tblCellMar>
        </w:tblPrEx>
        <w:trPr>
          <w:trHeight w:val="91" w:hRule="atLeast"/>
        </w:trPr>
        <w:tc>
          <w:tcPr>
            <w:tcW w:w="743" w:type="dxa"/>
            <w:vMerge w:val="continue"/>
            <w:tcBorders>
              <w:top w:val="nil"/>
              <w:left w:val="single" w:color="auto"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250306010</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血清肌红蛋白测定</w:t>
            </w:r>
          </w:p>
        </w:tc>
      </w:tr>
      <w:tr>
        <w:tblPrEx>
          <w:tblCellMar>
            <w:top w:w="0" w:type="dxa"/>
            <w:left w:w="108" w:type="dxa"/>
            <w:bottom w:w="0" w:type="dxa"/>
            <w:right w:w="108" w:type="dxa"/>
          </w:tblCellMar>
        </w:tblPrEx>
        <w:trPr>
          <w:trHeight w:val="91" w:hRule="atLeast"/>
        </w:trPr>
        <w:tc>
          <w:tcPr>
            <w:tcW w:w="743" w:type="dxa"/>
            <w:vMerge w:val="continue"/>
            <w:tcBorders>
              <w:top w:val="nil"/>
              <w:left w:val="single" w:color="auto"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BNP (NT-pro BNP)</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250306012</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B型钠尿肽(BNP)</w:t>
            </w:r>
          </w:p>
        </w:tc>
      </w:tr>
      <w:tr>
        <w:tblPrEx>
          <w:tblCellMar>
            <w:top w:w="0" w:type="dxa"/>
            <w:left w:w="108" w:type="dxa"/>
            <w:bottom w:w="0" w:type="dxa"/>
            <w:right w:w="108" w:type="dxa"/>
          </w:tblCellMar>
        </w:tblPrEx>
        <w:trPr>
          <w:trHeight w:val="91" w:hRule="atLeast"/>
        </w:trPr>
        <w:tc>
          <w:tcPr>
            <w:tcW w:w="743" w:type="dxa"/>
            <w:vMerge w:val="continue"/>
            <w:tcBorders>
              <w:top w:val="nil"/>
              <w:left w:val="single" w:color="auto"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250306013</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B型钠尿肽前体(PRO-BNP)测定</w:t>
            </w:r>
          </w:p>
        </w:tc>
      </w:tr>
      <w:tr>
        <w:tblPrEx>
          <w:tblCellMar>
            <w:top w:w="0" w:type="dxa"/>
            <w:left w:w="108" w:type="dxa"/>
            <w:bottom w:w="0" w:type="dxa"/>
            <w:right w:w="108" w:type="dxa"/>
          </w:tblCellMar>
        </w:tblPrEx>
        <w:trPr>
          <w:trHeight w:val="91" w:hRule="atLeast"/>
        </w:trPr>
        <w:tc>
          <w:tcPr>
            <w:tcW w:w="743" w:type="dxa"/>
            <w:vMerge w:val="continue"/>
            <w:tcBorders>
              <w:top w:val="nil"/>
              <w:left w:val="single" w:color="auto"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血沉</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250101008</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红细胞沉降率测定(ESR)</w:t>
            </w:r>
          </w:p>
        </w:tc>
      </w:tr>
      <w:tr>
        <w:tblPrEx>
          <w:tblCellMar>
            <w:top w:w="0" w:type="dxa"/>
            <w:left w:w="108" w:type="dxa"/>
            <w:bottom w:w="0" w:type="dxa"/>
            <w:right w:w="108" w:type="dxa"/>
          </w:tblCellMar>
        </w:tblPrEx>
        <w:trPr>
          <w:trHeight w:val="91" w:hRule="atLeast"/>
        </w:trPr>
        <w:tc>
          <w:tcPr>
            <w:tcW w:w="743" w:type="dxa"/>
            <w:vMerge w:val="continue"/>
            <w:tcBorders>
              <w:top w:val="nil"/>
              <w:left w:val="single" w:color="auto"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胸片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210102015</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数字化X线摄影(DR)</w:t>
            </w:r>
          </w:p>
        </w:tc>
      </w:tr>
      <w:tr>
        <w:tblPrEx>
          <w:tblCellMar>
            <w:top w:w="0" w:type="dxa"/>
            <w:left w:w="108" w:type="dxa"/>
            <w:bottom w:w="0" w:type="dxa"/>
            <w:right w:w="108" w:type="dxa"/>
          </w:tblCellMar>
        </w:tblPrEx>
        <w:trPr>
          <w:trHeight w:val="91" w:hRule="atLeast"/>
        </w:trPr>
        <w:tc>
          <w:tcPr>
            <w:tcW w:w="743" w:type="dxa"/>
            <w:vMerge w:val="continue"/>
            <w:tcBorders>
              <w:top w:val="nil"/>
              <w:left w:val="single" w:color="auto"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210102016</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计算机X线摄影(ComputedRadiography,CR)</w:t>
            </w:r>
          </w:p>
        </w:tc>
      </w:tr>
      <w:tr>
        <w:tblPrEx>
          <w:tblCellMar>
            <w:top w:w="0" w:type="dxa"/>
            <w:left w:w="108" w:type="dxa"/>
            <w:bottom w:w="0" w:type="dxa"/>
            <w:right w:w="108" w:type="dxa"/>
          </w:tblCellMar>
        </w:tblPrEx>
        <w:trPr>
          <w:trHeight w:val="91" w:hRule="atLeast"/>
        </w:trPr>
        <w:tc>
          <w:tcPr>
            <w:tcW w:w="743" w:type="dxa"/>
            <w:vMerge w:val="continue"/>
            <w:tcBorders>
              <w:top w:val="nil"/>
              <w:left w:val="single" w:color="auto"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心电图（常规、动态）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310701001</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常规心电图检查</w:t>
            </w:r>
          </w:p>
        </w:tc>
      </w:tr>
      <w:tr>
        <w:tblPrEx>
          <w:tblCellMar>
            <w:top w:w="0" w:type="dxa"/>
            <w:left w:w="108" w:type="dxa"/>
            <w:bottom w:w="0" w:type="dxa"/>
            <w:right w:w="108" w:type="dxa"/>
          </w:tblCellMar>
        </w:tblPrEx>
        <w:trPr>
          <w:trHeight w:val="91" w:hRule="atLeast"/>
        </w:trPr>
        <w:tc>
          <w:tcPr>
            <w:tcW w:w="743" w:type="dxa"/>
            <w:vMerge w:val="continue"/>
            <w:tcBorders>
              <w:top w:val="nil"/>
              <w:left w:val="single" w:color="auto"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310701003</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动态心电图</w:t>
            </w:r>
          </w:p>
        </w:tc>
      </w:tr>
      <w:tr>
        <w:tblPrEx>
          <w:tblCellMar>
            <w:top w:w="0" w:type="dxa"/>
            <w:left w:w="108" w:type="dxa"/>
            <w:bottom w:w="0" w:type="dxa"/>
            <w:right w:w="108" w:type="dxa"/>
          </w:tblCellMar>
        </w:tblPrEx>
        <w:trPr>
          <w:trHeight w:val="91" w:hRule="atLeast"/>
        </w:trPr>
        <w:tc>
          <w:tcPr>
            <w:tcW w:w="743" w:type="dxa"/>
            <w:vMerge w:val="continue"/>
            <w:tcBorders>
              <w:top w:val="nil"/>
              <w:left w:val="single" w:color="auto"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心脏超声</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220600004</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心脏彩色多普勒超声</w:t>
            </w:r>
          </w:p>
        </w:tc>
      </w:tr>
      <w:tr>
        <w:tblPrEx>
          <w:tblCellMar>
            <w:top w:w="0" w:type="dxa"/>
            <w:left w:w="108" w:type="dxa"/>
            <w:bottom w:w="0" w:type="dxa"/>
            <w:right w:w="108" w:type="dxa"/>
          </w:tblCellMar>
        </w:tblPrEx>
        <w:trPr>
          <w:trHeight w:val="91" w:hRule="atLeast"/>
        </w:trPr>
        <w:tc>
          <w:tcPr>
            <w:tcW w:w="743" w:type="dxa"/>
            <w:vMerge w:val="continue"/>
            <w:tcBorders>
              <w:top w:val="nil"/>
              <w:left w:val="single" w:color="auto"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50" w:type="dxa"/>
            <w:tcBorders>
              <w:top w:val="nil"/>
              <w:left w:val="nil"/>
              <w:bottom w:val="single" w:color="000000" w:sz="4" w:space="0"/>
              <w:right w:val="nil"/>
            </w:tcBorders>
            <w:shd w:val="clear" w:color="auto" w:fill="auto"/>
            <w:noWrap/>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220700006</w:t>
            </w:r>
          </w:p>
        </w:tc>
        <w:tc>
          <w:tcPr>
            <w:tcW w:w="30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室壁运动分析</w:t>
            </w:r>
          </w:p>
        </w:tc>
      </w:tr>
    </w:tbl>
    <w:p>
      <w:pPr>
        <w:spacing w:line="340" w:lineRule="exac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pPr>
        <w:tabs>
          <w:tab w:val="left" w:pos="737"/>
        </w:tabs>
        <w:spacing w:line="340" w:lineRule="exact"/>
        <w:rPr>
          <w:rFonts w:ascii="Times New Roman" w:hAnsi="Times New Roman" w:eastAsia="黑体"/>
          <w:color w:val="000000" w:themeColor="text1"/>
          <w:sz w:val="30"/>
          <w:szCs w:val="30"/>
          <w14:textFill>
            <w14:solidFill>
              <w14:schemeClr w14:val="tx1"/>
            </w14:solidFill>
          </w14:textFill>
        </w:rPr>
      </w:pPr>
      <w:r>
        <w:rPr>
          <w:rFonts w:hint="eastAsia" w:ascii="Times New Roman" w:hAnsi="Times New Roman" w:eastAsia="黑体"/>
          <w:color w:val="000000" w:themeColor="text1"/>
          <w:sz w:val="30"/>
          <w:szCs w:val="30"/>
          <w14:textFill>
            <w14:solidFill>
              <w14:schemeClr w14:val="tx1"/>
            </w14:solidFill>
          </w14:textFill>
        </w:rPr>
        <w:t>1</w:t>
      </w:r>
      <w:r>
        <w:rPr>
          <w:rFonts w:ascii="Times New Roman" w:hAnsi="Times New Roman" w:eastAsia="黑体"/>
          <w:color w:val="000000" w:themeColor="text1"/>
          <w:sz w:val="30"/>
          <w:szCs w:val="30"/>
          <w14:textFill>
            <w14:solidFill>
              <w14:schemeClr w14:val="tx1"/>
            </w14:solidFill>
          </w14:textFill>
        </w:rPr>
        <w:t>0.肝硬化</w:t>
      </w:r>
    </w:p>
    <w:tbl>
      <w:tblPr>
        <w:tblStyle w:val="4"/>
        <w:tblW w:w="8828" w:type="dxa"/>
        <w:tblInd w:w="93" w:type="dxa"/>
        <w:tblLayout w:type="fixed"/>
        <w:tblCellMar>
          <w:top w:w="0" w:type="dxa"/>
          <w:left w:w="108" w:type="dxa"/>
          <w:bottom w:w="0" w:type="dxa"/>
          <w:right w:w="108" w:type="dxa"/>
        </w:tblCellMar>
      </w:tblPr>
      <w:tblGrid>
        <w:gridCol w:w="758"/>
        <w:gridCol w:w="553"/>
        <w:gridCol w:w="1982"/>
        <w:gridCol w:w="2040"/>
        <w:gridCol w:w="3495"/>
      </w:tblGrid>
      <w:tr>
        <w:tblPrEx>
          <w:tblCellMar>
            <w:top w:w="0" w:type="dxa"/>
            <w:left w:w="108" w:type="dxa"/>
            <w:bottom w:w="0" w:type="dxa"/>
            <w:right w:w="108" w:type="dxa"/>
          </w:tblCellMar>
        </w:tblPrEx>
        <w:trPr>
          <w:trHeight w:val="90"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肝硬化</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K74.608</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肝炎后肝硬化</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K74.100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肝硬化</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K74.200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肝纤维化伴有肝硬化</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K74.300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原发性胆汁型肝硬化</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K74.300x005+I98.2*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原发性胆汁型肝硬化伴胃底静脉曲张</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K74.300x006+I98.3*</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原发性胆汁型肝硬化伴胃底静脉曲张破裂出血</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K74.300x007+I98.2*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原发性胆汁型肝硬化伴食管胃底静脉曲张</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K74.300x008+I98.3*</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原发性胆汁型肝硬化伴食管胃底静脉曲张破裂出血</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K74.301+I98.2*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原发性胆汁性肝硬化伴食管静脉曲张</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K74.302+I98.3*</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原发性胆汁性肝硬化伴食管静脉曲张破裂出血</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K74.400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继发性胆汁型肝硬化</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K74.500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胆汁型肝硬化</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K74.600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肝硬变</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K74.600x002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丙型肝炎肝硬化</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K74.600x003</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乙型肝炎肝硬化</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K74.600x021</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乙肝后肝硬化合并甲肝感染</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K74.612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混合型肝硬化</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K74.600x025</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乙肝后肝硬化合并戊肝感染</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K74.600x027</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丙肝后肝硬化合并戊肝感染</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K74.600x029</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乙丙肝炎后肝硬化合并甲肝感染</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K74.600x030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乙丁肝炎后肝硬化合并甲肝感染</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K74.600x031</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乙肝后肝硬化甲戊肝感染</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K74.600x034</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乙丙肝炎后肝硬化合并戊肝感染</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K74.614</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自身免疫性肝硬化</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K74.601</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特指肝硬化</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K74.602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乙型肝炎后肝硬化失代偿期</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K74.603</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丙型肝炎后肝硬化失代偿期</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K74.604</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自身免疫性肝炎后肝硬化失代偿期</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K74.605</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肝炎后肝硬化失代偿期</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K74.606</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混合型肝硬化失代偿期</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K74.607</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肝硬化失代偿期</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K74.610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结节性肝硬化</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K74.611</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门脉性肝硬化</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K74.613</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隐源性肝硬化</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K74.615+I98.3*</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肝硬化伴食管静脉曲张破裂出血</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K74.616+I98.2*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肝硬化伴食管静脉曲张</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K74.617+I98.3*</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肝硬化伴食管胃底静脉曲张破裂出血</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K74.618+I98.3*</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肝硬化伴胃底静脉曲张破裂出血</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K74.619+I98.2*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肝硬化伴食管胃底静脉曲张</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K74.620+I98.2*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肝硬化伴胃底静脉曲张</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B65.202+K77.0*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血吸虫病性肝硬化</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K76.101</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心源性肝硬化</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P78.803</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先天性肝硬化</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A52.705+K77.0*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梅毒性肝硬化</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K70.200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酒精性肝纤维化和肝硬化</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K70.201</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酒精性肝纤维化</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K70.300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酒精性肝硬化</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K70.303+I98.2*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酒精性肝硬化伴胃底静脉曲张</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K70.305+I98.3*</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酒精性肝硬化伴胃底静脉曲张破裂出血</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K70.304+I98.2*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酒精性肝硬化伴食管胃底静脉曲张</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K70.306+I98.3*</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酒精性肝硬化伴食管胃底静脉曲张破裂出血</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K70.301+I98.2*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酒精性肝硬化伴食管静脉曲张</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K70.302+I98.3*</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酒精性肝硬化伴食管静脉曲张破裂出血</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K71.700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中毒性肝病伴有肝纤维化和肝硬化</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K71.701</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药物性肝硬化</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K71.702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中毒性肝硬化</w:t>
            </w:r>
          </w:p>
        </w:tc>
      </w:tr>
      <w:tr>
        <w:tblPrEx>
          <w:tblCellMar>
            <w:top w:w="0" w:type="dxa"/>
            <w:left w:w="108" w:type="dxa"/>
            <w:bottom w:w="0" w:type="dxa"/>
            <w:right w:w="108" w:type="dxa"/>
          </w:tblCellMar>
        </w:tblPrEx>
        <w:trPr>
          <w:trHeight w:val="9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80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一、代偿期肝硬化需符合以下四项之一：</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（一）组织学符合肝硬化诊断；</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（二）内镜显示食管胃静脉曲张或消化道异位静脉曲张，除外非肝硬化性门静脉高压；</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（三）Ｂ超、LSM或CT等 影像学检查提示肝硬化或门静脉高压特征：如脾大、门静脉≥1.3cm，LSM测定符合不同病因的肝硬化诊断界值；</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（四）无组织学、内镜或影像学检查者，以下检查指标异常提示肝硬化（4条任2条）：</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①PLT&lt;100</w:t>
            </w:r>
            <w:r>
              <w:rPr>
                <w:rFonts w:ascii="Times New Roman" w:hAnsi="Times New Roman" w:eastAsia="Segoe UI Symbol" w:cs="Segoe UI Symbol"/>
                <w:color w:val="000000" w:themeColor="text1"/>
                <w:kern w:val="0"/>
                <w:szCs w:val="21"/>
                <w:lang w:bidi="ar"/>
                <w14:textFill>
                  <w14:solidFill>
                    <w14:schemeClr w14:val="tx1"/>
                  </w14:solidFill>
                </w14:textFill>
              </w:rPr>
              <w:t>*</w:t>
            </w:r>
            <w:r>
              <w:rPr>
                <w:rFonts w:ascii="Times New Roman" w:hAnsi="Times New Roman" w:eastAsia="方正仿宋_GBK" w:cs="方正仿宋_GBK"/>
                <w:color w:val="000000" w:themeColor="text1"/>
                <w:kern w:val="0"/>
                <w:szCs w:val="21"/>
                <w:lang w:bidi="ar"/>
                <w14:textFill>
                  <w14:solidFill>
                    <w14:schemeClr w14:val="tx1"/>
                  </w14:solidFill>
                </w14:textFill>
              </w:rPr>
              <w:t>10∧9/L，无其他原因可以解释；</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②血清白蛋白&lt;35g/L，排除营养不良或肾脏疾病等其他原因；</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③INR&gt;1.5或PT延长（停用溶栓或抗凝药7d以上）；</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④AST/PLT比率指数（APRI）：成人APRI评分&gt;2，排除降酶药物等对APRI的影响。</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二、肝硬化失代偿期需满足：在肝硬化基础上，出现门静脉高压并发症和（或）肝功能减退。</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（一）具备肝硬化的诊断依据；</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（二）出现门静脉高压相关并发症：腹水、食管胃底静脉曲张破裂出血、脓毒症、肝性脑病、肝肾综合征等。</w:t>
            </w:r>
          </w:p>
        </w:tc>
      </w:tr>
      <w:tr>
        <w:tblPrEx>
          <w:tblCellMar>
            <w:top w:w="0" w:type="dxa"/>
            <w:left w:w="108" w:type="dxa"/>
            <w:bottom w:w="0" w:type="dxa"/>
            <w:right w:w="108" w:type="dxa"/>
          </w:tblCellMar>
        </w:tblPrEx>
        <w:trPr>
          <w:trHeight w:val="90"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医保目录药品分类代码</w:t>
            </w:r>
          </w:p>
        </w:tc>
        <w:tc>
          <w:tcPr>
            <w:tcW w:w="3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病因治疗</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全身用抗病毒药</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XJ05</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全身用抗病毒药</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其他消化道及代谢用药（限代谢性肝病，如肝豆状核变性、血色病）</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XA16</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其他消化道及代谢用药</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利胆治疗药（限肝硬化合并胆汁淤积）</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XA05A</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利胆治疗药</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肝脏治疗药，抗脂肪肝药</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XA05B</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肝脏治疗药，抗脂肪肝药</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免疫调节药（限自身免疫性肝病）</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XL04AX</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其他免疫抑制剂</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抗吸虫药：驱虫药物（限血吸虫病和华支睾吸虫病）</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XP02B</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抗吸虫药</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对症治疗</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抗纤维化</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XL04AX</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其他免疫抑制剂</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预防及治疗肝性脑病等药物</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XA05B</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肝脏治疗药，抗脂肪肝药</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XA07A</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肠道抗感染药</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口服降门静脉压力药物</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XC07</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β-受体阻滞剂</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调节水电解质及酸碱平衡药</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XC03</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利尿剂</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XA12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矿物质补充剂</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抑酸剂（限套扎/组织胶术后、门脉高压性胃肠病）</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XA02BC</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质子泵抑制剂</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胃黏膜保护剂（限套扎/组织胶术后、门脉高压性胃肠病）</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XA02A</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抗酸药</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维生素K和其他止血药</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XB02B</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维生素K和其他止血药</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维生素B12和叶酸、集落刺激因子</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XB03B</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维生素B12和叶酸</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XL03AA</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集落刺激因子</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治疗便秘药物</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XA06</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治疗便秘药物</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单方调节血脂药：降脂药物（限合并高脂血症）</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XC10A</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单方调节血脂药</w:t>
            </w:r>
          </w:p>
        </w:tc>
      </w:tr>
      <w:tr>
        <w:tblPrEx>
          <w:tblCellMar>
            <w:top w:w="0" w:type="dxa"/>
            <w:left w:w="108" w:type="dxa"/>
            <w:bottom w:w="0" w:type="dxa"/>
            <w:right w:w="108" w:type="dxa"/>
          </w:tblCellMar>
        </w:tblPrEx>
        <w:trPr>
          <w:trHeight w:val="90"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 w:val="24"/>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医保目录医疗服务项目编码</w:t>
            </w:r>
          </w:p>
        </w:tc>
        <w:tc>
          <w:tcPr>
            <w:tcW w:w="3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血常规</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250101015</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血细胞分析</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尿常规</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250102024</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尿沉渣定量</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250102035</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尿液分析</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肝功能</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250305001</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血清总胆红素测定</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血清直接胆红素测定</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250305003</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血清间接胆红素测定</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250305007</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血清丙氨酸氨基转移酶测定</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250305008</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血清天门冬氨酸氨基转移酶测定</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250305009</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血清γ-谷氨酰基转移酶测定</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250305011</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血清碱性磷酸酶测定</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250301001</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血清总蛋白测定</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血清白蛋白测定</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250305005</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血清总胆汁酸测定</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肾功能</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250307001</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尿素测定</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肌酐测定</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250307005</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血清尿酸测定</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大便（隐血）常规</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250103001</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粪便常规</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250103002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隐血试验</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250601001</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粪寄生虫镜检</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电解质</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250304001</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钾测定</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钠测定</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250304003</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氯测定</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250304004</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钙测定</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250304005</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无机磷测定</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250304006</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镁测定</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血脂</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250303001</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血清总胆固醇测定</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血清甘油三酯测定</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250303004</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血清高密度脂蛋白胆固醇测定</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250303005</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血清低密度脂蛋白胆固醇测定</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乙肝两对半</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250403004</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乙型肝炎表面抗原测定(HBsAg)</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250403005</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乙型肝炎表面抗体测定(AntiHBs)</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250403006</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乙型肝炎e抗原测定(HBeAg)</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250403007</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乙型肝炎e抗体测定(AntiHBe)</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250403009</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乙型肝炎核心抗体测定(AntiHBc)</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血氨</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250305006</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血浆氨测定</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凝血功能</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250203020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血浆凝血酶原时间测定(PT)</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250203025</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活化部分凝血活酶时间测定(APTT)</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250203030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血浆纤维蛋白原测定</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250203035</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凝血酶时间测定(TT)</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血栓检测</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250203065</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纤维蛋白(原)降解产物测定(FDP)</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250203066</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血浆D-二聚体测定(D-Dimer)</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HBV_DNA检测（限乙肝）</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250403003</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乙型肝炎DNA测定</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HCV-RNA检测（限丙肝）</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250403013</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丙型肝炎RNA测定</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自身免疫性肝病+自身抗体谱+ANA抗体测（限自身免疫性肝病、医保基金支付不超过1次/年）</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250402039</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抗可溶性肝抗原/肝-胰抗原抗体(SLA/LP)测定</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250402040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抗肝肾微粒体抗体(LKM)测定</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250402007</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抗线粒体抗体测定(AMA)</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250402002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抗核抗体测定(ANA)</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250402036</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抗增殖细胞核抗原抗体(抗PCNA)测定</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250402009</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抗核糖体抗体测定</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250402003.10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抗核提取物抗体测定(抗SSA)</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250402003.20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抗核提取物抗体测定(抗SSB)</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250402003.30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抗核提取物抗体测定(抗JO－1)</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250402003.40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抗核提取物抗体测定(抗Sm)</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250402003.50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抗核提取物抗体测定(抗nRNP)</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250402003.60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抗核提取物抗体测定(抗ScL-70)</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250402003.70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抗核提取物抗体测定(抗着丝点)</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CGFQ1000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抗核小体抗体(AnuA)测定</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250402006</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抗双链DNA测定(抗dsDNA)</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CGFV1000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抗组蛋白抗体(AHA)测定</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250402025</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抗硬皮病抗体测定</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ANCA谱（限自身免疫性肝病、医保基金支付不超过1次/年）</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250402005</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抗中性粒细胞胞浆抗体测定(ANCA)</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250402005.10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抗中性粒细胞胞浆抗体测定(cANCA)</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250402005.20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抗中性粒细胞胞浆抗体测定(pANCA)</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抗中性粒细胞胞浆抗体（限自身免疫性肝病、医保基金支付不超过1次/年）</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250402005.30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抗中性粒细胞胞浆抗体测定(PR3-ANCA)</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250402005.40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抗中性粒细胞胞浆抗体测定(MPO-ANCA)</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免疫球蛋白（限自身免疫性肝病、医保基金支付不超过1次/年）</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250401023</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免疫球蛋白定量测定</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250401023.10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免疫球蛋白定量测定(IgA)</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250401023.20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免疫球蛋白定量测定(IgG)</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250401023.30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免疫球蛋白定量测定(IgM)</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250401023.40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免疫球蛋白定量测定(IgD)</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250401023.50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免疫球蛋白定量测定(IgE)</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lgG4（限自身免疫性肝炎、医保基金支付不超过1次/年）</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250401033</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免疫球蛋白亚类定量测定</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肿瘤异常凝血酶原</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250203084</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血清异常凝血酶原（PIVK-II）测定</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甲胎蛋白测定</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250404002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甲胎蛋白测定(AFP)</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腹部超声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220301001b</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彩色多普勒超声常规检查(腹部)</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220201002.20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B超常规检查(腹部)</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食管造影</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210103012</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食管造影</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胃镜</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310902005</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纤维胃十二指肠镜检查</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肝纤维化瞬时弹性</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A220302013</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肝纤维化瞬时弹性测定</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上腹部CT平扫（限AFP增高或者超声提示肝脏占位性质待定）</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EBAQT001</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上腹部X线计算机体层(CT)平扫</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上腹部CT增强扫描（限AFP增高或者超声提示肝脏占位性质待定）</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EBBQT001</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上腹部X线计算机体层(CT)增强扫描</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超声造影（限怀疑HCC）</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220302010</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脏器声学造影</w:t>
            </w:r>
          </w:p>
        </w:tc>
      </w:tr>
      <w:tr>
        <w:tblPrEx>
          <w:tblCellMar>
            <w:top w:w="0" w:type="dxa"/>
            <w:left w:w="108" w:type="dxa"/>
            <w:bottom w:w="0" w:type="dxa"/>
            <w:right w:w="108" w:type="dxa"/>
          </w:tblCellMar>
        </w:tblPrEx>
        <w:trPr>
          <w:trHeight w:val="9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5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220301001</w:t>
            </w:r>
          </w:p>
        </w:tc>
        <w:tc>
          <w:tcPr>
            <w:tcW w:w="3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彩色多普勒超声常规检查</w:t>
            </w:r>
          </w:p>
        </w:tc>
      </w:tr>
    </w:tbl>
    <w:p>
      <w:pPr>
        <w:spacing w:line="340" w:lineRule="exac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pPr>
        <w:tabs>
          <w:tab w:val="left" w:pos="737"/>
        </w:tabs>
        <w:spacing w:line="340" w:lineRule="exact"/>
        <w:jc w:val="left"/>
        <w:rPr>
          <w:rFonts w:ascii="Times New Roman" w:hAnsi="Times New Roman" w:eastAsia="黑体"/>
          <w:color w:val="000000" w:themeColor="text1"/>
          <w:sz w:val="30"/>
          <w:szCs w:val="30"/>
          <w14:textFill>
            <w14:solidFill>
              <w14:schemeClr w14:val="tx1"/>
            </w14:solidFill>
          </w14:textFill>
        </w:rPr>
      </w:pPr>
      <w:r>
        <w:rPr>
          <w:rFonts w:hint="eastAsia" w:ascii="Times New Roman" w:hAnsi="Times New Roman" w:eastAsia="黑体"/>
          <w:color w:val="000000" w:themeColor="text1"/>
          <w:sz w:val="30"/>
          <w:szCs w:val="30"/>
          <w14:textFill>
            <w14:solidFill>
              <w14:schemeClr w14:val="tx1"/>
            </w14:solidFill>
          </w14:textFill>
        </w:rPr>
        <w:t>1</w:t>
      </w:r>
      <w:r>
        <w:rPr>
          <w:rFonts w:ascii="Times New Roman" w:hAnsi="Times New Roman" w:eastAsia="黑体"/>
          <w:color w:val="000000" w:themeColor="text1"/>
          <w:sz w:val="30"/>
          <w:szCs w:val="30"/>
          <w14:textFill>
            <w14:solidFill>
              <w14:schemeClr w14:val="tx1"/>
            </w14:solidFill>
          </w14:textFill>
        </w:rPr>
        <w:t>1.脑卒中后遗症（脑梗死、脑出血、蛛网膜下腔出血后遗症、血管性痴呆）</w:t>
      </w:r>
    </w:p>
    <w:tbl>
      <w:tblPr>
        <w:tblStyle w:val="4"/>
        <w:tblW w:w="8691" w:type="dxa"/>
        <w:tblInd w:w="93" w:type="dxa"/>
        <w:tblLayout w:type="fixed"/>
        <w:tblCellMar>
          <w:top w:w="0" w:type="dxa"/>
          <w:left w:w="108" w:type="dxa"/>
          <w:bottom w:w="0" w:type="dxa"/>
          <w:right w:w="108" w:type="dxa"/>
        </w:tblCellMar>
      </w:tblPr>
      <w:tblGrid>
        <w:gridCol w:w="816"/>
        <w:gridCol w:w="1524"/>
        <w:gridCol w:w="1088"/>
        <w:gridCol w:w="2003"/>
        <w:gridCol w:w="3260"/>
      </w:tblGrid>
      <w:tr>
        <w:tblPrEx>
          <w:tblCellMar>
            <w:top w:w="0" w:type="dxa"/>
            <w:left w:w="108" w:type="dxa"/>
            <w:bottom w:w="0" w:type="dxa"/>
            <w:right w:w="108" w:type="dxa"/>
          </w:tblCellMar>
        </w:tblPrEx>
        <w:trPr>
          <w:trHeight w:val="145" w:hRule="atLeast"/>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26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脑卒中后遗症（脑梗死、脑出血、蛛网膜下腔出血后遗症、血管性痴呆）</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I69.100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脑内出血后遗症</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I69.100x001</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脑出血后遗症</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I69.300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脑梗死后遗症</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I69.400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脑卒中后遗症</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I69.800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脑血管病后遗症，其他和未特指</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I69.802</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脑血管病后遗症</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I69.801</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脑血栓后遗症</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I69.802</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脑血管病后遗症</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T90.300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脑神经损伤后遗症</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I69.000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蛛网膜下出血后遗症</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I69.000x001</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蛛网膜下腔出血后遗症</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F01.800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血管性痴呆，其他的</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F01.900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血管性痴呆</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F01.100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多发脑梗死性痴呆</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G45.800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短暂性大脑缺血性发作和相关的综合征，其他的</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Z50.101</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脑出血后物理康复训练</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Z50.501</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脑出血后语言康复训练</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I62.000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非创伤性硬膜下出血</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F06.300x021</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卒中后抑郁</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F06.400x003</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卒中后焦虑</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F06.810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卒中后精神病态</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F06.800x026</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血管性认知功能障碍</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F01.800x001</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出血性痴呆</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F01.901</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动脉硬化性痴呆</w:t>
            </w:r>
          </w:p>
        </w:tc>
      </w:tr>
      <w:tr>
        <w:tblPrEx>
          <w:tblCellMar>
            <w:top w:w="0" w:type="dxa"/>
            <w:left w:w="108" w:type="dxa"/>
            <w:bottom w:w="0" w:type="dxa"/>
            <w:right w:w="108" w:type="dxa"/>
          </w:tblCellMar>
        </w:tblPrEx>
        <w:trPr>
          <w:trHeight w:val="91"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78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急性起病或亚急性起病，经CT、MRI或CSF检查确诊的脑梗死、脑出血及蛛网膜下腔出血，临床表现为局灶性神经功能缺失（如肢体瘫痪、感觉障碍、颅神经障碍、失语等），或全脑弥漫性神经功能障碍（如昏迷）。经临床治疗一月后仍遗留以下症状和体征中任一条：</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一、意识障碍  Glasgow（GCS）昏迷量表评定＜8分。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二、运动障碍 中枢性肢瘫（一）肌力：Ⅲ级肌力及其以下；（二）肌张力：Ashworth痉挛量表评定＞1级；（三）平衡功能：Fugl-Meyery平衡量表评定＜14分或Berg平衡量表评定＜44分；（四）体感诱发电位</w:t>
            </w:r>
            <w:r>
              <w:rPr>
                <w:rFonts w:hint="eastAsia" w:ascii="Times New Roman" w:hAnsi="Times New Roman" w:eastAsia="方正仿宋_GBK" w:cs="方正仿宋_GBK"/>
                <w:color w:val="000000" w:themeColor="text1"/>
                <w:kern w:val="0"/>
                <w:szCs w:val="21"/>
                <w:lang w:val="en-US" w:eastAsia="zh-CN" w:bidi="ar"/>
                <w14:textFill>
                  <w14:solidFill>
                    <w14:schemeClr w14:val="tx1"/>
                  </w14:solidFill>
                </w14:textFill>
              </w:rPr>
              <w:t>或</w:t>
            </w:r>
            <w:r>
              <w:rPr>
                <w:rFonts w:ascii="Times New Roman" w:hAnsi="Times New Roman" w:eastAsia="方正仿宋_GBK" w:cs="方正仿宋_GBK"/>
                <w:color w:val="000000" w:themeColor="text1"/>
                <w:kern w:val="0"/>
                <w:szCs w:val="21"/>
                <w:lang w:bidi="ar"/>
                <w14:textFill>
                  <w14:solidFill>
                    <w14:schemeClr w14:val="tx1"/>
                  </w14:solidFill>
                </w14:textFill>
              </w:rPr>
              <w:t>运动诱发电位异常。</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三、语言障碍及吞咽障碍 （一）北京医科大学汉语失语成套测验（ABC）和北京医院汉语失语症检查法评分＜总分的85%；（二）洼田饮水试验评定＜4级；（三）脑干诱发电位异常。包括失读，失写，失听和构音及吞咽障碍等症状。</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四、认知障碍 （一）简易精神状态检查MMSE＜24分；（二）长谷川痴呆量表评分＜20分；韦氏记忆量表评分＜总分的85％；（三）包括失用和失认等症状。</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五、卒中后抑郁  症状学诊断和抑郁评分量表结合。卒中前无抑郁，卒中后发生抑郁，包括：抑郁评分量表：PHQ-9，评分＞10分；汉密尔顿抑郁评分量表，评分＞17分；Zung抑郁自评量表，评分＞60分。</w:t>
            </w:r>
          </w:p>
        </w:tc>
      </w:tr>
      <w:tr>
        <w:tblPrEx>
          <w:tblCellMar>
            <w:top w:w="0" w:type="dxa"/>
            <w:left w:w="108" w:type="dxa"/>
            <w:bottom w:w="0" w:type="dxa"/>
            <w:right w:w="108" w:type="dxa"/>
          </w:tblCellMar>
        </w:tblPrEx>
        <w:trPr>
          <w:trHeight w:val="91" w:hRule="atLeast"/>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2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医保目录药品分类代码</w:t>
            </w:r>
          </w:p>
        </w:tc>
        <w:tc>
          <w:tcPr>
            <w:tcW w:w="3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调节血脂类药</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XC10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调节血脂药</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抗血小板聚集药物</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XB01AC</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血小板凝聚抑制剂，肝素除外</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抗凝血药</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XB01AA</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维生素K拮抗剂</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XB01AE</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直接凝血酶抑制剂</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XB01AF</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直接Xa因子抑制剂</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抗痴呆药物</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XN06D</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抗痴呆药物</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抗抑郁药（限卒中后精神病态）</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XN06AA</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非选择性单胺重摄取抑制剂</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XN06AB</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选择性5-羟色胺再摄取抑制剂</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XN06AX</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其他抗抑郁药</w:t>
            </w:r>
          </w:p>
        </w:tc>
      </w:tr>
      <w:tr>
        <w:tblPrEx>
          <w:tblCellMar>
            <w:top w:w="0" w:type="dxa"/>
            <w:left w:w="108" w:type="dxa"/>
            <w:bottom w:w="0" w:type="dxa"/>
            <w:right w:w="108" w:type="dxa"/>
          </w:tblCellMar>
        </w:tblPrEx>
        <w:trPr>
          <w:trHeight w:val="91" w:hRule="atLeast"/>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Times New Roman" w:hAnsi="Times New Roman" w:eastAsia="方正黑体_GBK" w:cs="方正黑体_GBK"/>
                <w:color w:val="000000" w:themeColor="text1"/>
                <w:sz w:val="24"/>
                <w:lang w:eastAsia="zh-CN"/>
                <w14:textFill>
                  <w14:solidFill>
                    <w14:schemeClr w14:val="tx1"/>
                  </w14:solidFill>
                </w14:textFill>
              </w:rPr>
            </w:pPr>
            <w:r>
              <w:rPr>
                <w:rFonts w:hint="eastAsia" w:ascii="Times New Roman" w:hAnsi="Times New Roman" w:eastAsia="方正黑体_GBK" w:cs="方正黑体_GBK"/>
                <w:color w:val="000000" w:themeColor="text1"/>
                <w:kern w:val="0"/>
                <w:sz w:val="21"/>
                <w:szCs w:val="21"/>
                <w:lang w:eastAsia="zh-CN" w:bidi="ar"/>
                <w14:textFill>
                  <w14:solidFill>
                    <w14:schemeClr w14:val="tx1"/>
                  </w14:solidFill>
                </w14:textFill>
              </w:rPr>
              <w:t>诊疗项目</w:t>
            </w:r>
          </w:p>
        </w:tc>
        <w:tc>
          <w:tcPr>
            <w:tcW w:w="261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2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医保目录医疗服务项目编码</w:t>
            </w:r>
          </w:p>
        </w:tc>
        <w:tc>
          <w:tcPr>
            <w:tcW w:w="3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肝功能</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250305001</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血清总胆红素测定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250305002</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血清直接胆红素测定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250305003</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血清间接胆红素测定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250305007</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血清丙氨酸氨基转移酶测定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250305008</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血清天门冬氨酸氨基转移酶测定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250305009</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血清γ-谷氨酰基转移酶测定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250305011</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血清碱性磷酸酶测定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250301001</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血清总蛋白测定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250301002</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血清白蛋白测定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肾功能</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250307001</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尿素测定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250307002</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肌酐测定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250307003</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内生肌酐清除率试验</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250307005</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血清尿酸测定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血常规</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250101015</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血细胞分析</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血清肌酸激酶测定</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250306001</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血清肌酸激酶测定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血脂</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250303001</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血清总胆固醇测定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250303002</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血清甘油三酯测定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250303004</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血清高密度脂蛋白胆固醇测定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250303005</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血清低密度脂蛋白胆固醇测定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凝血功能</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250203020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血浆凝血酶原时间测定(PT)</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250203025</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活化部分凝血活酶时间测定(APTT)</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250203035</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凝血酶时间测定(TT)</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250203030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血浆纤维蛋白原测定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250203066</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血浆D-二聚体测定(D-Dimer)</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头部CT（医保基金支付不超过1次/年）</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210300001.01</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X线计算机体层(CT)平扫(颅脑)</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EBABP001</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头部X线计算机体层(CT)平扫</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头部MRI（医保基金支付不超过1次/年）</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210200001</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磁共振平扫</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ECCZX003</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磁共振单脏器弥散加权成像</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ECABA001</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颅脑磁共振成像</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颈动脉彩超（医保基金支付不超过2次/年）</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220302003</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颈部血管彩色多普勒超声</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220302003.10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颈部血管彩色多普勒超声(颈动脉)</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220302003.30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颈部血管彩色多普勒超声(椎动脉)</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TCD（医保基金支付不超过4次/年）</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220400001</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颅内多普勒血流图(TCD)</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220400001.03</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颅内多普勒血流图(TCD)转颈试验收取</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220400001.10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颅内多普勒血流图(TCD)(压颈试验)</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p>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卒中发生半年内使用以下项目(医保基金支付限半年内)</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吞咽障碍治疗</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340200003</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日常生活能力评定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340200037</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吞咽功能障碍训练</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MAGGK001</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吞咽功能障碍检查</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言语障碍治疗</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340200003</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日常生活能力评定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340200034</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言语训练</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MAGAZ001</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言语能力筛查</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340200036</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构音障碍训练</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认知障碍治疗（每种量表医保基金支付不超过4次/</w:t>
            </w:r>
            <w:r>
              <w:rPr>
                <w:rFonts w:hint="eastAsia" w:ascii="Times New Roman" w:hAnsi="Times New Roman" w:eastAsia="方正仿宋_GBK" w:cs="方正仿宋_GBK"/>
                <w:color w:val="000000" w:themeColor="text1"/>
                <w:kern w:val="0"/>
                <w:szCs w:val="21"/>
                <w:lang w:val="en-US" w:eastAsia="zh-CN" w:bidi="ar"/>
                <w14:textFill>
                  <w14:solidFill>
                    <w14:schemeClr w14:val="tx1"/>
                  </w14:solidFill>
                </w14:textFill>
              </w:rPr>
              <w:t>半</w:t>
            </w:r>
            <w:r>
              <w:rPr>
                <w:rFonts w:ascii="Times New Roman" w:hAnsi="Times New Roman" w:eastAsia="方正仿宋_GBK" w:cs="方正仿宋_GBK"/>
                <w:color w:val="000000" w:themeColor="text1"/>
                <w:kern w:val="0"/>
                <w:szCs w:val="21"/>
                <w:lang w:bidi="ar"/>
                <w14:textFill>
                  <w14:solidFill>
                    <w14:schemeClr w14:val="tx1"/>
                  </w14:solidFill>
                </w14:textFill>
              </w:rPr>
              <w:t>年）</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340200003</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日常生活能力评定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340200038</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认知知觉功能障碍训练</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011102010010000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临床量表评估（自评）</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011102010020000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临床量表评估（他评）</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运动治疗</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340200003</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日常生活能力评定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340200020及.XX</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运动疗法</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340200040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偏瘫肢体综合训练</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340200031</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作业疗法</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340200030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等速肌力训练</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心理治疗（每种量表医保基金支付不超过4次/</w:t>
            </w:r>
            <w:r>
              <w:rPr>
                <w:rFonts w:hint="eastAsia" w:ascii="Times New Roman" w:hAnsi="Times New Roman" w:eastAsia="方正仿宋_GBK" w:cs="方正仿宋_GBK"/>
                <w:color w:val="000000" w:themeColor="text1"/>
                <w:kern w:val="0"/>
                <w:szCs w:val="21"/>
                <w:lang w:val="en-US" w:eastAsia="zh-CN" w:bidi="ar"/>
                <w14:textFill>
                  <w14:solidFill>
                    <w14:schemeClr w14:val="tx1"/>
                  </w14:solidFill>
                </w14:textFill>
              </w:rPr>
              <w:t>半</w:t>
            </w:r>
            <w:r>
              <w:rPr>
                <w:rFonts w:ascii="Times New Roman" w:hAnsi="Times New Roman" w:eastAsia="方正仿宋_GBK" w:cs="方正仿宋_GBK"/>
                <w:color w:val="000000" w:themeColor="text1"/>
                <w:kern w:val="0"/>
                <w:szCs w:val="21"/>
                <w:lang w:bidi="ar"/>
                <w14:textFill>
                  <w14:solidFill>
                    <w14:schemeClr w14:val="tx1"/>
                  </w14:solidFill>
                </w14:textFill>
              </w:rPr>
              <w:t>年）</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011102010010000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临床量表评估（自评）</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011102010020000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临床量表评估（他评）</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311503023</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心理咨询</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311503024</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心理治疗</w:t>
            </w:r>
          </w:p>
        </w:tc>
      </w:tr>
    </w:tbl>
    <w:p>
      <w:pPr>
        <w:spacing w:line="340" w:lineRule="exac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pPr>
        <w:tabs>
          <w:tab w:val="left" w:pos="737"/>
        </w:tabs>
        <w:spacing w:line="340" w:lineRule="exact"/>
        <w:rPr>
          <w:rFonts w:ascii="Times New Roman" w:hAnsi="Times New Roman" w:eastAsia="黑体"/>
          <w:color w:val="000000" w:themeColor="text1"/>
          <w:sz w:val="30"/>
          <w:szCs w:val="30"/>
          <w14:textFill>
            <w14:solidFill>
              <w14:schemeClr w14:val="tx1"/>
            </w14:solidFill>
          </w14:textFill>
        </w:rPr>
      </w:pPr>
      <w:r>
        <w:rPr>
          <w:rFonts w:hint="eastAsia" w:ascii="Times New Roman" w:hAnsi="Times New Roman" w:eastAsia="黑体"/>
          <w:color w:val="000000" w:themeColor="text1"/>
          <w:sz w:val="30"/>
          <w:szCs w:val="30"/>
          <w14:textFill>
            <w14:solidFill>
              <w14:schemeClr w14:val="tx1"/>
            </w14:solidFill>
          </w14:textFill>
        </w:rPr>
        <w:t>1</w:t>
      </w:r>
      <w:r>
        <w:rPr>
          <w:rFonts w:ascii="Times New Roman" w:hAnsi="Times New Roman" w:eastAsia="黑体"/>
          <w:color w:val="000000" w:themeColor="text1"/>
          <w:sz w:val="30"/>
          <w:szCs w:val="30"/>
          <w14:textFill>
            <w14:solidFill>
              <w14:schemeClr w14:val="tx1"/>
            </w14:solidFill>
          </w14:textFill>
        </w:rPr>
        <w:t>2.帕金森病</w:t>
      </w:r>
    </w:p>
    <w:tbl>
      <w:tblPr>
        <w:tblStyle w:val="4"/>
        <w:tblW w:w="8691" w:type="dxa"/>
        <w:tblInd w:w="93" w:type="dxa"/>
        <w:tblLayout w:type="fixed"/>
        <w:tblCellMar>
          <w:top w:w="0" w:type="dxa"/>
          <w:left w:w="108" w:type="dxa"/>
          <w:bottom w:w="0" w:type="dxa"/>
          <w:right w:w="108" w:type="dxa"/>
        </w:tblCellMar>
      </w:tblPr>
      <w:tblGrid>
        <w:gridCol w:w="831"/>
        <w:gridCol w:w="2311"/>
        <w:gridCol w:w="2625"/>
        <w:gridCol w:w="2924"/>
      </w:tblGrid>
      <w:tr>
        <w:tblPrEx>
          <w:tblCellMar>
            <w:top w:w="0" w:type="dxa"/>
            <w:left w:w="108" w:type="dxa"/>
            <w:bottom w:w="0" w:type="dxa"/>
            <w:right w:w="108" w:type="dxa"/>
          </w:tblCellMar>
        </w:tblPrEx>
        <w:trPr>
          <w:trHeight w:val="413" w:hRule="atLeast"/>
        </w:trPr>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帕金森病</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G20.x00</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帕金森病</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G20.x00x005+F02.3*</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帕金森病性痴呆[震颤麻痹性痴呆]</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G20.x00x011</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早发型帕金森病</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G20.x02+F02.3*</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帕金森病性痴呆</w:t>
            </w:r>
          </w:p>
        </w:tc>
      </w:tr>
      <w:tr>
        <w:tblPrEx>
          <w:tblCellMar>
            <w:top w:w="0" w:type="dxa"/>
            <w:left w:w="108" w:type="dxa"/>
            <w:bottom w:w="0" w:type="dxa"/>
            <w:right w:w="108" w:type="dxa"/>
          </w:tblCellMar>
        </w:tblPrEx>
        <w:trPr>
          <w:trHeight w:val="91"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7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符合一和三或者二和三：</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一、符合帕金森病的诊断</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（一）运动减少：启动随意运动的速度缓慢。疾病进展后，重复性动作的运动速度及幅度均降低；</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（二）至少存在下列1项特征：</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1、肌肉僵直；</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2、静止性震颤4－6Hz；</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3、姿势不稳(非原发性视觉、前庭、小脑及本体感受功能障碍造成)。</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二、支持诊断帕金森病必须具备下列3项或3项以上的特征</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（一）单侧起病；</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（二）静止性震颤；</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（三）逐渐进展；</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（四）发病后多为持续性的不对称性受累；</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（五）对左旋多巴的治疗反应良好；</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（六）左旋多巴导致的严重的异动症；</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（七）左旋多巴的治疗效果持续5年或5年以上。</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三、必须排除非帕金森病：继发帕金森综合征或帕金森叠加综合征。</w:t>
            </w:r>
          </w:p>
        </w:tc>
      </w:tr>
      <w:tr>
        <w:tblPrEx>
          <w:tblCellMar>
            <w:top w:w="0" w:type="dxa"/>
            <w:left w:w="108" w:type="dxa"/>
            <w:bottom w:w="0" w:type="dxa"/>
            <w:right w:w="108" w:type="dxa"/>
          </w:tblCellMar>
        </w:tblPrEx>
        <w:trPr>
          <w:trHeight w:val="91" w:hRule="atLeast"/>
        </w:trPr>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医保目录药品分类代码</w:t>
            </w:r>
          </w:p>
        </w:tc>
        <w:tc>
          <w:tcPr>
            <w:tcW w:w="2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拟多巴胺类药物</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XN04BA</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多巴和其衍生物</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多巴胺受体激动剂</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XN04BC</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多巴胺激动剂</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抗胆碱能药</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XN04A</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抗胆碱能药</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单胺氧化酶B抑制剂</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XN04BD</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单胺氧化酶B抑制剂</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COMT抑制剂</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XN04BX</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其他多巴胺能药</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抗痴呆药物</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XN06D</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抗痴呆药物</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金刚烷衍生物</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XN04BB</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金刚烷衍生物</w:t>
            </w:r>
          </w:p>
        </w:tc>
      </w:tr>
      <w:tr>
        <w:tblPrEx>
          <w:tblCellMar>
            <w:top w:w="0" w:type="dxa"/>
            <w:left w:w="108" w:type="dxa"/>
            <w:bottom w:w="0" w:type="dxa"/>
            <w:right w:w="108" w:type="dxa"/>
          </w:tblCellMar>
        </w:tblPrEx>
        <w:trPr>
          <w:trHeight w:val="91" w:hRule="atLeast"/>
        </w:trPr>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2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2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医保目录医疗服务项目编码</w:t>
            </w:r>
          </w:p>
        </w:tc>
        <w:tc>
          <w:tcPr>
            <w:tcW w:w="2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肝功能</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250305001</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血清总胆红素测定</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250305002</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血清直接胆红素测定</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250305003</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血清间接胆红素测定</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250305007</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血清丙氨酸氨基转移酶测定</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250305008</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血清天门冬氨酸氨基转移酶测定</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250305009</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血清γ-谷氨酰基转移酶测定</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250305011</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血清碱性磷酸酶测定</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250301001</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血清总蛋白测定</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250301002</w:t>
            </w:r>
          </w:p>
        </w:tc>
        <w:tc>
          <w:tcPr>
            <w:tcW w:w="2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血清白蛋白测定</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肾功能</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250307001</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尿素测定</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250307002</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肌酐测定</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血清尿酸测定</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颅脑磁共振(医保基金支付不超过1次/年)</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ECABA001</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颅脑磁共振成像</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210200001</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磁共振平扫（颅脑）</w:t>
            </w:r>
          </w:p>
        </w:tc>
      </w:tr>
      <w:tr>
        <w:tblPrEx>
          <w:tblCellMar>
            <w:top w:w="0" w:type="dxa"/>
            <w:left w:w="108" w:type="dxa"/>
            <w:bottom w:w="0" w:type="dxa"/>
            <w:right w:w="108" w:type="dxa"/>
          </w:tblCellMar>
        </w:tblPrEx>
        <w:trPr>
          <w:trHeight w:val="9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 w:val="24"/>
                <w14:textFill>
                  <w14:solidFill>
                    <w14:schemeClr w14:val="tx1"/>
                  </w14:solidFill>
                </w14:textFill>
              </w:rPr>
            </w:pP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肌电图</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310100023</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肌电图</w:t>
            </w:r>
          </w:p>
        </w:tc>
      </w:tr>
    </w:tbl>
    <w:p>
      <w:pPr>
        <w:spacing w:line="340" w:lineRule="exac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pPr>
        <w:tabs>
          <w:tab w:val="left" w:pos="737"/>
        </w:tabs>
        <w:spacing w:line="340" w:lineRule="exact"/>
        <w:rPr>
          <w:rFonts w:ascii="Times New Roman" w:hAnsi="Times New Roman" w:eastAsia="黑体"/>
          <w:color w:val="000000" w:themeColor="text1"/>
          <w:sz w:val="30"/>
          <w:szCs w:val="30"/>
          <w14:textFill>
            <w14:solidFill>
              <w14:schemeClr w14:val="tx1"/>
            </w14:solidFill>
          </w14:textFill>
        </w:rPr>
      </w:pPr>
      <w:r>
        <w:rPr>
          <w:rFonts w:hint="eastAsia" w:ascii="Times New Roman" w:hAnsi="Times New Roman" w:eastAsia="黑体"/>
          <w:color w:val="000000" w:themeColor="text1"/>
          <w:sz w:val="30"/>
          <w:szCs w:val="30"/>
          <w14:textFill>
            <w14:solidFill>
              <w14:schemeClr w14:val="tx1"/>
            </w14:solidFill>
          </w14:textFill>
        </w:rPr>
        <w:t>1</w:t>
      </w:r>
      <w:r>
        <w:rPr>
          <w:rFonts w:ascii="Times New Roman" w:hAnsi="Times New Roman" w:eastAsia="黑体"/>
          <w:color w:val="000000" w:themeColor="text1"/>
          <w:sz w:val="30"/>
          <w:szCs w:val="30"/>
          <w14:textFill>
            <w14:solidFill>
              <w14:schemeClr w14:val="tx1"/>
            </w14:solidFill>
          </w14:textFill>
        </w:rPr>
        <w:t>3.肌萎缩侧索硬化症</w:t>
      </w:r>
    </w:p>
    <w:tbl>
      <w:tblPr>
        <w:tblStyle w:val="4"/>
        <w:tblW w:w="8691" w:type="dxa"/>
        <w:tblInd w:w="93" w:type="dxa"/>
        <w:tblLayout w:type="fixed"/>
        <w:tblCellMar>
          <w:top w:w="0" w:type="dxa"/>
          <w:left w:w="108" w:type="dxa"/>
          <w:bottom w:w="0" w:type="dxa"/>
          <w:right w:w="108" w:type="dxa"/>
        </w:tblCellMar>
      </w:tblPr>
      <w:tblGrid>
        <w:gridCol w:w="818"/>
        <w:gridCol w:w="3178"/>
        <w:gridCol w:w="1665"/>
        <w:gridCol w:w="3030"/>
      </w:tblGrid>
      <w:tr>
        <w:tblPrEx>
          <w:tblCellMar>
            <w:top w:w="0" w:type="dxa"/>
            <w:left w:w="108" w:type="dxa"/>
            <w:bottom w:w="0" w:type="dxa"/>
            <w:right w:w="108" w:type="dxa"/>
          </w:tblCellMar>
        </w:tblPrEx>
        <w:trPr>
          <w:trHeight w:val="91" w:hRule="atLeast"/>
        </w:trPr>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肌萎缩侧索硬化症</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G12.201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肌萎缩侧索硬化症(ALS)</w:t>
            </w:r>
          </w:p>
        </w:tc>
      </w:tr>
      <w:tr>
        <w:tblPrEx>
          <w:tblCellMar>
            <w:top w:w="0" w:type="dxa"/>
            <w:left w:w="108" w:type="dxa"/>
            <w:bottom w:w="0" w:type="dxa"/>
            <w:right w:w="108" w:type="dxa"/>
          </w:tblCellMar>
        </w:tblPrEx>
        <w:trPr>
          <w:trHeight w:val="91"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78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一、必须有下列神经症状和体征：</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（一）下运动神经元病损特征(包括目前临床表现正常、肌肉的肌电图异常)；</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（二）上运动神经元病损特征（可能被下运动神经元体征掩盖）；</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（三）病情逐步进展。</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二、根据上述3个特征，可作以下3个程度的诊断：</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（一）肯定ALS：全身4个区域(脑、颈、胸、腰骶神经支配区)的肌群中，3个区域有上、下运动神经元病损的症状和体征；</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（二）拟诊ALS：在2个区域有上、下运动神经元病损的症状和体征；</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（三）可能ALS：在1个区域有上、下运动神经元病损的体征，或在2个区域有下运动神经元病损的体征。</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三、除外下列疾病：</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（一）颈椎病；</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（二）脊髓空洞症；</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（三）下列运动神经元综合征： 1、多灶性运动神经病；2、脊髓型脊肌萎缩症；3、运动轴索性周围神经病；4、副瘤性运动神经元病；5、青年良性远端手肌萎缩症(平山病)；6、脊髓灰质炎后遗症；7、其他。</w:t>
            </w:r>
          </w:p>
        </w:tc>
      </w:tr>
      <w:tr>
        <w:tblPrEx>
          <w:tblCellMar>
            <w:top w:w="0" w:type="dxa"/>
            <w:left w:w="108" w:type="dxa"/>
            <w:bottom w:w="0" w:type="dxa"/>
            <w:right w:w="108" w:type="dxa"/>
          </w:tblCellMar>
        </w:tblPrEx>
        <w:trPr>
          <w:trHeight w:val="91" w:hRule="atLeast"/>
        </w:trPr>
        <w:tc>
          <w:tcPr>
            <w:tcW w:w="8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医保目录药品分类代码</w:t>
            </w:r>
          </w:p>
        </w:tc>
        <w:tc>
          <w:tcPr>
            <w:tcW w:w="3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镇痛药</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XN02</w:t>
            </w:r>
          </w:p>
        </w:tc>
        <w:tc>
          <w:tcPr>
            <w:tcW w:w="3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镇痛药</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其他神经系统药物</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XN07X</w:t>
            </w:r>
          </w:p>
        </w:tc>
        <w:tc>
          <w:tcPr>
            <w:tcW w:w="3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其他神经系统药物</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肌肉松弛药</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XM03</w:t>
            </w:r>
          </w:p>
        </w:tc>
        <w:tc>
          <w:tcPr>
            <w:tcW w:w="3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肌肉松弛药</w:t>
            </w:r>
          </w:p>
        </w:tc>
      </w:tr>
      <w:tr>
        <w:tblPrEx>
          <w:tblCellMar>
            <w:top w:w="0" w:type="dxa"/>
            <w:left w:w="108" w:type="dxa"/>
            <w:bottom w:w="0" w:type="dxa"/>
            <w:right w:w="108" w:type="dxa"/>
          </w:tblCellMar>
        </w:tblPrEx>
        <w:trPr>
          <w:trHeight w:val="91" w:hRule="atLeast"/>
        </w:trPr>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3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医保目录医疗服务项目编码</w:t>
            </w:r>
          </w:p>
        </w:tc>
        <w:tc>
          <w:tcPr>
            <w:tcW w:w="30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血常规</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250101015</w:t>
            </w:r>
          </w:p>
        </w:tc>
        <w:tc>
          <w:tcPr>
            <w:tcW w:w="3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血细胞分析</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肝功能</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血清总胆红素测定</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血清直接胆红素测定</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血清间接胆红素测定</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血清丙氨酸氨基转移酶测定</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血清天门冬氨酸氨基转移酶测定</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血清γ-谷氨酰基转移酶测定</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血清碱性磷酸酶测定</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血清总蛋白测定</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血清白蛋白测定</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肾功能</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250307001</w:t>
            </w:r>
          </w:p>
        </w:tc>
        <w:tc>
          <w:tcPr>
            <w:tcW w:w="3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尿素测定</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250307002</w:t>
            </w:r>
          </w:p>
        </w:tc>
        <w:tc>
          <w:tcPr>
            <w:tcW w:w="3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肌酐测定</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250307005</w:t>
            </w:r>
          </w:p>
        </w:tc>
        <w:tc>
          <w:tcPr>
            <w:tcW w:w="3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血清尿酸测定</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肌电图</w:t>
            </w:r>
          </w:p>
        </w:tc>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310100023</w:t>
            </w:r>
          </w:p>
        </w:tc>
        <w:tc>
          <w:tcPr>
            <w:tcW w:w="3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肌电图</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神经传导速度</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310100007</w:t>
            </w:r>
          </w:p>
        </w:tc>
        <w:tc>
          <w:tcPr>
            <w:tcW w:w="3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神经传导速度测定</w:t>
            </w:r>
          </w:p>
        </w:tc>
      </w:tr>
    </w:tbl>
    <w:p>
      <w:pPr>
        <w:spacing w:line="340" w:lineRule="exac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pPr>
        <w:tabs>
          <w:tab w:val="left" w:pos="737"/>
        </w:tabs>
        <w:spacing w:line="340" w:lineRule="exact"/>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1</w:t>
      </w:r>
      <w:r>
        <w:rPr>
          <w:rFonts w:ascii="Times New Roman" w:hAnsi="Times New Roman"/>
          <w:color w:val="000000" w:themeColor="text1"/>
          <w:sz w:val="30"/>
          <w:szCs w:val="30"/>
          <w14:textFill>
            <w14:solidFill>
              <w14:schemeClr w14:val="tx1"/>
            </w14:solidFill>
          </w14:textFill>
        </w:rPr>
        <w:t>4.</w:t>
      </w:r>
      <w:r>
        <w:rPr>
          <w:rFonts w:ascii="Times New Roman" w:hAnsi="Times New Roman" w:eastAsia="黑体"/>
          <w:color w:val="000000" w:themeColor="text1"/>
          <w:sz w:val="30"/>
          <w:szCs w:val="30"/>
          <w14:textFill>
            <w14:solidFill>
              <w14:schemeClr w14:val="tx1"/>
            </w14:solidFill>
          </w14:textFill>
        </w:rPr>
        <w:t>支气管哮喘</w:t>
      </w:r>
    </w:p>
    <w:tbl>
      <w:tblPr>
        <w:tblStyle w:val="4"/>
        <w:tblW w:w="8691" w:type="dxa"/>
        <w:tblInd w:w="93" w:type="dxa"/>
        <w:tblLayout w:type="fixed"/>
        <w:tblCellMar>
          <w:top w:w="0" w:type="dxa"/>
          <w:left w:w="108" w:type="dxa"/>
          <w:bottom w:w="0" w:type="dxa"/>
          <w:right w:w="108" w:type="dxa"/>
        </w:tblCellMar>
      </w:tblPr>
      <w:tblGrid>
        <w:gridCol w:w="728"/>
        <w:gridCol w:w="574"/>
        <w:gridCol w:w="1854"/>
        <w:gridCol w:w="1592"/>
        <w:gridCol w:w="3943"/>
      </w:tblGrid>
      <w:tr>
        <w:tblPrEx>
          <w:tblCellMar>
            <w:top w:w="0" w:type="dxa"/>
            <w:left w:w="108" w:type="dxa"/>
            <w:bottom w:w="0" w:type="dxa"/>
            <w:right w:w="108" w:type="dxa"/>
          </w:tblCellMar>
        </w:tblPrEx>
        <w:trPr>
          <w:trHeight w:val="91" w:hRule="atLeast"/>
        </w:trPr>
        <w:tc>
          <w:tcPr>
            <w:tcW w:w="7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支气管哮喘</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J45.003</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变态反应性支气管哮喘</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J45.007</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外源性支气管哮喘</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J45.900x001</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支气管哮喘</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J45.900x002</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难治性支气管哮喘</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J45.900x011</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支气管哮喘（完全控制）</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J45.900x012</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支气管哮喘（部分控制）</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J45.900x013</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支气管哮喘（未控制）</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J45.900x021</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支气管哮喘（急性发作期）</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J46.x00x008</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支气管哮喘（慢性持续期）</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J45.900x023</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支气管哮喘（临床缓解期）</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J45.900x031</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支气管哮喘（间歇发作）</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J46.x00x009</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支气管哮喘（轻度持续）</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J46.x00x010</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支气管哮喘（中度持续）</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J46.x01</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支气管哮喘，重度</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J45.903</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支气管哮喘，非危重</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J46.x00x002</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支气管哮喘急性发作（轻度）</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J46.x00x003</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支气管哮喘急性发作（中度）</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J46.x01</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支气管哮喘，重度</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J46.x02</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支气管哮喘，危重</w:t>
            </w:r>
          </w:p>
        </w:tc>
      </w:tr>
      <w:tr>
        <w:tblPrEx>
          <w:tblCellMar>
            <w:top w:w="0" w:type="dxa"/>
            <w:left w:w="108" w:type="dxa"/>
            <w:bottom w:w="0" w:type="dxa"/>
            <w:right w:w="108" w:type="dxa"/>
          </w:tblCellMar>
        </w:tblPrEx>
        <w:trPr>
          <w:trHeight w:val="91"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7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一、典型哮喘的临床症状和体征：</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（一）反复发作喘息、气急，伴或不伴胸闷或咳嗽，夜间及晨间多发，常与接触变应原、冷空气、物理、化学性刺激以及上呼吸道感染、运动等有关；</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（二）发作时双肺可闻及散在或弥漫性哮鸣音，呼气相延长；</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（三）上述症状和体征可经治疗缓解或自行缓解。</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二、不典型哮喘的临床症状和体征：以反复咳嗽或者胸闷为主要或者唯一症状，以夜间及晨间多发，常因接触变应原、冷空气、刺激物以及上呼吸道感染等诱发，无喘息、气息，双肺无哮鸣音。</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三、可变气流受限的客观检查：</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（一）支气管舒张试验阳性(吸入支气管舒张剂后，FEV1增加≥12％，且 FEV1绝对值增加≥200 ml)；</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（二）支气管激发试验阳性；</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（三）呼气流量峰值(peak expiratory flow，PEF)平均每日昼夜变异率(连续7d，每日PEF昼夜变异率之和／7)&gt;10％，或PEF周变异率{(2周内最高 PEF值-最低PEF值)／[(2周内最高PEF值+最低PEF)* 1／2]×100％}&gt;20％。</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四、符合上述症状和/或体征，同时具备气流受限客观检查中的任一条，并除外其他疾病所引起的喘息、气急、胸闷及咳嗽。</w:t>
            </w:r>
          </w:p>
        </w:tc>
      </w:tr>
      <w:tr>
        <w:tblPrEx>
          <w:tblCellMar>
            <w:top w:w="0" w:type="dxa"/>
            <w:left w:w="108" w:type="dxa"/>
            <w:bottom w:w="0" w:type="dxa"/>
            <w:right w:w="108" w:type="dxa"/>
          </w:tblCellMar>
        </w:tblPrEx>
        <w:trPr>
          <w:trHeight w:val="91" w:hRule="atLeast"/>
        </w:trPr>
        <w:tc>
          <w:tcPr>
            <w:tcW w:w="7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医保目录药品分类代码</w:t>
            </w:r>
          </w:p>
        </w:tc>
        <w:tc>
          <w:tcPr>
            <w:tcW w:w="3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支气管扩张类药物</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速效、短效、长效β2受体激动剂；长效β2受体激动剂联合长效抗胆碱能制剂（LABA+LAMA）；支气管扩张剂+抗炎复合制剂（ICS+LABA、ICS+LABA+LAMA）</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XR03A</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吸入的肾上腺素能类药</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短效、长效抗胆碱能制剂</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XR03B</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治疗阻塞性气道疾病的其他吸入药物</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皮质激素类</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XR01AD</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皮质激素类</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茶碱类药物</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XR03DA</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黄嘌呤类</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糖皮质激素类药物</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XH02</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全身用皮质激素类</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抗白三烯调节剂</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XR03DC</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白三烯受体拮抗剂</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速效、短效、长效支气管扩张剂</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XR03C</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全身用肾上腺素类药</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抗过敏药（限合并变应性鼻炎或过敏原检测阳性）</w:t>
            </w:r>
          </w:p>
        </w:tc>
        <w:tc>
          <w:tcPr>
            <w:tcW w:w="15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XR06</w:t>
            </w:r>
          </w:p>
        </w:tc>
        <w:tc>
          <w:tcPr>
            <w:tcW w:w="3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全身用抗组胺药</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脱敏治疗（限过敏原检测阳性）</w:t>
            </w: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3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抗IgE单克隆抗体（奥马珠单抗）</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XR03D</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治疗阻塞性气道疾病的其他全身用药物</w:t>
            </w:r>
          </w:p>
        </w:tc>
      </w:tr>
      <w:tr>
        <w:tblPrEx>
          <w:tblCellMar>
            <w:top w:w="0" w:type="dxa"/>
            <w:left w:w="108" w:type="dxa"/>
            <w:bottom w:w="0" w:type="dxa"/>
            <w:right w:w="108" w:type="dxa"/>
          </w:tblCellMar>
        </w:tblPrEx>
        <w:trPr>
          <w:trHeight w:val="91" w:hRule="atLeast"/>
        </w:trPr>
        <w:tc>
          <w:tcPr>
            <w:tcW w:w="728" w:type="dxa"/>
            <w:vMerge w:val="restart"/>
            <w:tcBorders>
              <w:top w:val="nil"/>
              <w:left w:val="single" w:color="auto"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5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医保目录医疗服务项目编码</w:t>
            </w:r>
          </w:p>
        </w:tc>
        <w:tc>
          <w:tcPr>
            <w:tcW w:w="3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1"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雾化吸入治疗（限急性发作期）</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ABK</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雾化吸入</w:t>
            </w:r>
          </w:p>
        </w:tc>
      </w:tr>
      <w:tr>
        <w:tblPrEx>
          <w:tblCellMar>
            <w:top w:w="0" w:type="dxa"/>
            <w:left w:w="108" w:type="dxa"/>
            <w:bottom w:w="0" w:type="dxa"/>
            <w:right w:w="108" w:type="dxa"/>
          </w:tblCellMar>
        </w:tblPrEx>
        <w:trPr>
          <w:trHeight w:val="91"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肺功能（肺通气功能测定、支气管激发试验、支气管舒张试验）</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310601001</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肺通气功能检查</w:t>
            </w:r>
          </w:p>
        </w:tc>
      </w:tr>
      <w:tr>
        <w:tblPrEx>
          <w:tblCellMar>
            <w:top w:w="0" w:type="dxa"/>
            <w:left w:w="108" w:type="dxa"/>
            <w:bottom w:w="0" w:type="dxa"/>
            <w:right w:w="108" w:type="dxa"/>
          </w:tblCellMar>
        </w:tblPrEx>
        <w:trPr>
          <w:trHeight w:val="91"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310601010</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支气管激发试验</w:t>
            </w:r>
          </w:p>
        </w:tc>
      </w:tr>
      <w:tr>
        <w:tblPrEx>
          <w:tblCellMar>
            <w:top w:w="0" w:type="dxa"/>
            <w:left w:w="108" w:type="dxa"/>
            <w:bottom w:w="0" w:type="dxa"/>
            <w:right w:w="108" w:type="dxa"/>
          </w:tblCellMar>
        </w:tblPrEx>
        <w:trPr>
          <w:trHeight w:val="91" w:hRule="atLeast"/>
        </w:trPr>
        <w:tc>
          <w:tcPr>
            <w:tcW w:w="728" w:type="dxa"/>
            <w:vMerge w:val="continue"/>
            <w:tcBorders>
              <w:top w:val="nil"/>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28" w:type="dxa"/>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310601012</w:t>
            </w:r>
          </w:p>
        </w:tc>
        <w:tc>
          <w:tcPr>
            <w:tcW w:w="394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支气管舒张试验</w:t>
            </w:r>
          </w:p>
        </w:tc>
      </w:tr>
      <w:tr>
        <w:tblPrEx>
          <w:tblCellMar>
            <w:top w:w="0" w:type="dxa"/>
            <w:left w:w="108" w:type="dxa"/>
            <w:bottom w:w="0" w:type="dxa"/>
            <w:right w:w="108" w:type="dxa"/>
          </w:tblCellMar>
        </w:tblPrEx>
        <w:trPr>
          <w:trHeight w:val="91" w:hRule="atLeast"/>
        </w:trPr>
        <w:tc>
          <w:tcPr>
            <w:tcW w:w="72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28"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胸片</w:t>
            </w:r>
          </w:p>
        </w:tc>
        <w:tc>
          <w:tcPr>
            <w:tcW w:w="1592"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210102015</w:t>
            </w:r>
          </w:p>
        </w:tc>
        <w:tc>
          <w:tcPr>
            <w:tcW w:w="394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数字化X线摄影(DR)</w:t>
            </w:r>
          </w:p>
        </w:tc>
      </w:tr>
      <w:tr>
        <w:tblPrEx>
          <w:tblCellMar>
            <w:top w:w="0" w:type="dxa"/>
            <w:left w:w="108" w:type="dxa"/>
            <w:bottom w:w="0" w:type="dxa"/>
            <w:right w:w="108" w:type="dxa"/>
          </w:tblCellMar>
        </w:tblPrEx>
        <w:trPr>
          <w:trHeight w:val="91" w:hRule="atLeast"/>
        </w:trPr>
        <w:tc>
          <w:tcPr>
            <w:tcW w:w="728"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28" w:type="dxa"/>
            <w:gridSpan w:val="2"/>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210102016</w:t>
            </w:r>
          </w:p>
        </w:tc>
        <w:tc>
          <w:tcPr>
            <w:tcW w:w="394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计算机X线摄影(ComputedRadiography,CR)</w:t>
            </w:r>
          </w:p>
        </w:tc>
      </w:tr>
      <w:tr>
        <w:tblPrEx>
          <w:tblCellMar>
            <w:top w:w="0" w:type="dxa"/>
            <w:left w:w="108" w:type="dxa"/>
            <w:bottom w:w="0" w:type="dxa"/>
            <w:right w:w="108" w:type="dxa"/>
          </w:tblCellMar>
        </w:tblPrEx>
        <w:trPr>
          <w:trHeight w:val="91"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呼出气一氧化氮（FeNO）</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FJE02407</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呼出气一氧化氮测定</w:t>
            </w:r>
          </w:p>
        </w:tc>
      </w:tr>
      <w:tr>
        <w:tblPrEx>
          <w:tblCellMar>
            <w:top w:w="0" w:type="dxa"/>
            <w:left w:w="108" w:type="dxa"/>
            <w:bottom w:w="0" w:type="dxa"/>
            <w:right w:w="108" w:type="dxa"/>
          </w:tblCellMar>
        </w:tblPrEx>
        <w:trPr>
          <w:trHeight w:val="91"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诱导痰和痰白细胞分类检查</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250101010</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白细胞分类计数(DC)</w:t>
            </w:r>
          </w:p>
        </w:tc>
      </w:tr>
      <w:tr>
        <w:tblPrEx>
          <w:tblCellMar>
            <w:top w:w="0" w:type="dxa"/>
            <w:left w:w="108" w:type="dxa"/>
            <w:bottom w:w="0" w:type="dxa"/>
            <w:right w:w="108" w:type="dxa"/>
          </w:tblCellMar>
        </w:tblPrEx>
        <w:trPr>
          <w:trHeight w:val="91"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血常规</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250101015</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血细胞分析</w:t>
            </w:r>
          </w:p>
        </w:tc>
      </w:tr>
      <w:tr>
        <w:tblPrEx>
          <w:tblCellMar>
            <w:top w:w="0" w:type="dxa"/>
            <w:left w:w="108" w:type="dxa"/>
            <w:bottom w:w="0" w:type="dxa"/>
            <w:right w:w="108" w:type="dxa"/>
          </w:tblCellMar>
        </w:tblPrEx>
        <w:trPr>
          <w:trHeight w:val="91"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免疫球蛋白</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250401023.50</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免疫球蛋白定量测定(IgE)</w:t>
            </w:r>
          </w:p>
        </w:tc>
      </w:tr>
      <w:tr>
        <w:tblPrEx>
          <w:tblCellMar>
            <w:top w:w="0" w:type="dxa"/>
            <w:left w:w="108" w:type="dxa"/>
            <w:bottom w:w="0" w:type="dxa"/>
            <w:right w:w="108" w:type="dxa"/>
          </w:tblCellMar>
        </w:tblPrEx>
        <w:trPr>
          <w:trHeight w:val="91"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胸部CT</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EBAJT001</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胸部X线计算机体层(CT)平扫</w:t>
            </w:r>
          </w:p>
        </w:tc>
      </w:tr>
      <w:tr>
        <w:tblPrEx>
          <w:tblCellMar>
            <w:top w:w="0" w:type="dxa"/>
            <w:left w:w="108" w:type="dxa"/>
            <w:bottom w:w="0" w:type="dxa"/>
            <w:right w:w="108" w:type="dxa"/>
          </w:tblCellMar>
        </w:tblPrEx>
        <w:trPr>
          <w:trHeight w:val="91"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过敏原测定</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250405001</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总IgE测定</w:t>
            </w:r>
          </w:p>
        </w:tc>
      </w:tr>
      <w:tr>
        <w:tblPrEx>
          <w:tblCellMar>
            <w:top w:w="0" w:type="dxa"/>
            <w:left w:w="108" w:type="dxa"/>
            <w:bottom w:w="0" w:type="dxa"/>
            <w:right w:w="108" w:type="dxa"/>
          </w:tblCellMar>
        </w:tblPrEx>
        <w:trPr>
          <w:trHeight w:val="91"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250405002</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吸入物变应原筛查</w:t>
            </w:r>
          </w:p>
        </w:tc>
      </w:tr>
      <w:tr>
        <w:tblPrEx>
          <w:tblCellMar>
            <w:top w:w="0" w:type="dxa"/>
            <w:left w:w="108" w:type="dxa"/>
            <w:bottom w:w="0" w:type="dxa"/>
            <w:right w:w="108" w:type="dxa"/>
          </w:tblCellMar>
        </w:tblPrEx>
        <w:trPr>
          <w:trHeight w:val="91"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250405003</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食入物变应原筛查</w:t>
            </w:r>
          </w:p>
        </w:tc>
      </w:tr>
      <w:tr>
        <w:tblPrEx>
          <w:tblCellMar>
            <w:top w:w="0" w:type="dxa"/>
            <w:left w:w="108" w:type="dxa"/>
            <w:bottom w:w="0" w:type="dxa"/>
            <w:right w:w="108" w:type="dxa"/>
          </w:tblCellMar>
        </w:tblPrEx>
        <w:trPr>
          <w:trHeight w:val="91"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250405004</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特殊变应原(多价变应原)筛查</w:t>
            </w:r>
          </w:p>
        </w:tc>
      </w:tr>
      <w:tr>
        <w:tblPrEx>
          <w:tblCellMar>
            <w:top w:w="0" w:type="dxa"/>
            <w:left w:w="108" w:type="dxa"/>
            <w:bottom w:w="0" w:type="dxa"/>
            <w:right w:w="108" w:type="dxa"/>
          </w:tblCellMar>
        </w:tblPrEx>
        <w:trPr>
          <w:trHeight w:val="91"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250405004.10</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特殊变应原(多价变应原)筛查(混合虫螨)</w:t>
            </w:r>
          </w:p>
        </w:tc>
      </w:tr>
      <w:tr>
        <w:tblPrEx>
          <w:tblCellMar>
            <w:top w:w="0" w:type="dxa"/>
            <w:left w:w="108" w:type="dxa"/>
            <w:bottom w:w="0" w:type="dxa"/>
            <w:right w:w="108" w:type="dxa"/>
          </w:tblCellMar>
        </w:tblPrEx>
        <w:trPr>
          <w:trHeight w:val="91"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250405004.20</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特殊变应原(多价变应原)筛查(混合霉菌)</w:t>
            </w:r>
          </w:p>
        </w:tc>
      </w:tr>
      <w:tr>
        <w:tblPrEx>
          <w:tblCellMar>
            <w:top w:w="0" w:type="dxa"/>
            <w:left w:w="108" w:type="dxa"/>
            <w:bottom w:w="0" w:type="dxa"/>
            <w:right w:w="108" w:type="dxa"/>
          </w:tblCellMar>
        </w:tblPrEx>
        <w:trPr>
          <w:trHeight w:val="91"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250405004.30</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特殊变应原(多价变应原)筛查(多价动物毛)</w:t>
            </w:r>
          </w:p>
        </w:tc>
      </w:tr>
      <w:tr>
        <w:tblPrEx>
          <w:tblCellMar>
            <w:top w:w="0" w:type="dxa"/>
            <w:left w:w="108" w:type="dxa"/>
            <w:bottom w:w="0" w:type="dxa"/>
            <w:right w:w="108" w:type="dxa"/>
          </w:tblCellMar>
        </w:tblPrEx>
        <w:trPr>
          <w:trHeight w:val="91"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250405005</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专项变应原(单价变应原)筛查</w:t>
            </w:r>
          </w:p>
        </w:tc>
      </w:tr>
      <w:tr>
        <w:tblPrEx>
          <w:tblCellMar>
            <w:top w:w="0" w:type="dxa"/>
            <w:left w:w="108" w:type="dxa"/>
            <w:bottom w:w="0" w:type="dxa"/>
            <w:right w:w="108" w:type="dxa"/>
          </w:tblCellMar>
        </w:tblPrEx>
        <w:trPr>
          <w:trHeight w:val="91"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250405005.10</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专项变应原(单价变应原)筛查(牛奶)</w:t>
            </w:r>
          </w:p>
        </w:tc>
      </w:tr>
      <w:tr>
        <w:tblPrEx>
          <w:tblCellMar>
            <w:top w:w="0" w:type="dxa"/>
            <w:left w:w="108" w:type="dxa"/>
            <w:bottom w:w="0" w:type="dxa"/>
            <w:right w:w="108" w:type="dxa"/>
          </w:tblCellMar>
        </w:tblPrEx>
        <w:trPr>
          <w:trHeight w:val="91"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250405005.20</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专项变应原(单价变应原)筛查(蛋清)</w:t>
            </w:r>
          </w:p>
        </w:tc>
      </w:tr>
      <w:tr>
        <w:tblPrEx>
          <w:tblCellMar>
            <w:top w:w="0" w:type="dxa"/>
            <w:left w:w="108" w:type="dxa"/>
            <w:bottom w:w="0" w:type="dxa"/>
            <w:right w:w="108" w:type="dxa"/>
          </w:tblCellMar>
        </w:tblPrEx>
        <w:trPr>
          <w:trHeight w:val="91"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250405006</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嗜酸细胞阳离子蛋白(ECP)测定</w:t>
            </w:r>
          </w:p>
        </w:tc>
      </w:tr>
      <w:tr>
        <w:tblPrEx>
          <w:tblCellMar>
            <w:top w:w="0" w:type="dxa"/>
            <w:left w:w="108" w:type="dxa"/>
            <w:bottom w:w="0" w:type="dxa"/>
            <w:right w:w="108" w:type="dxa"/>
          </w:tblCellMar>
        </w:tblPrEx>
        <w:trPr>
          <w:trHeight w:val="91"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250405007</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循环免疫复合物(CIC)测定</w:t>
            </w:r>
          </w:p>
        </w:tc>
      </w:tr>
      <w:tr>
        <w:tblPrEx>
          <w:tblCellMar>
            <w:top w:w="0" w:type="dxa"/>
            <w:left w:w="108" w:type="dxa"/>
            <w:bottom w:w="0" w:type="dxa"/>
            <w:right w:w="108" w:type="dxa"/>
          </w:tblCellMar>
        </w:tblPrEx>
        <w:trPr>
          <w:trHeight w:val="91"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250405008</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脱敏免疫球蛋白IgG测定</w:t>
            </w:r>
          </w:p>
        </w:tc>
      </w:tr>
      <w:tr>
        <w:tblPrEx>
          <w:tblCellMar>
            <w:top w:w="0" w:type="dxa"/>
            <w:left w:w="108" w:type="dxa"/>
            <w:bottom w:w="0" w:type="dxa"/>
            <w:right w:w="108" w:type="dxa"/>
          </w:tblCellMar>
        </w:tblPrEx>
        <w:trPr>
          <w:trHeight w:val="91"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250405009</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脱敏免疫球蛋白IgG4测定</w:t>
            </w:r>
          </w:p>
        </w:tc>
      </w:tr>
      <w:tr>
        <w:tblPrEx>
          <w:tblCellMar>
            <w:top w:w="0" w:type="dxa"/>
            <w:left w:w="108" w:type="dxa"/>
            <w:bottom w:w="0" w:type="dxa"/>
            <w:right w:w="108" w:type="dxa"/>
          </w:tblCellMar>
        </w:tblPrEx>
        <w:trPr>
          <w:trHeight w:val="91"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皮肤敏感试验</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250405002</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吸入物变应原筛查</w:t>
            </w:r>
          </w:p>
        </w:tc>
      </w:tr>
      <w:tr>
        <w:tblPrEx>
          <w:tblCellMar>
            <w:top w:w="0" w:type="dxa"/>
            <w:left w:w="108" w:type="dxa"/>
            <w:bottom w:w="0" w:type="dxa"/>
            <w:right w:w="108" w:type="dxa"/>
          </w:tblCellMar>
        </w:tblPrEx>
        <w:trPr>
          <w:trHeight w:val="91"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动脉血气分析（限病情危重或急性发作时）</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310602006</w:t>
            </w:r>
          </w:p>
        </w:tc>
        <w:tc>
          <w:tcPr>
            <w:tcW w:w="3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血气分析</w:t>
            </w:r>
          </w:p>
        </w:tc>
      </w:tr>
    </w:tbl>
    <w:p>
      <w:pPr>
        <w:spacing w:line="340" w:lineRule="exac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pPr>
        <w:tabs>
          <w:tab w:val="left" w:pos="737"/>
        </w:tabs>
        <w:spacing w:line="340" w:lineRule="exact"/>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1</w:t>
      </w:r>
      <w:r>
        <w:rPr>
          <w:rFonts w:ascii="Times New Roman" w:hAnsi="Times New Roman"/>
          <w:color w:val="000000" w:themeColor="text1"/>
          <w:sz w:val="30"/>
          <w:szCs w:val="30"/>
          <w14:textFill>
            <w14:solidFill>
              <w14:schemeClr w14:val="tx1"/>
            </w14:solidFill>
          </w14:textFill>
        </w:rPr>
        <w:t>5.</w:t>
      </w:r>
      <w:r>
        <w:rPr>
          <w:rFonts w:ascii="Times New Roman" w:hAnsi="Times New Roman" w:eastAsia="黑体"/>
          <w:color w:val="000000" w:themeColor="text1"/>
          <w:sz w:val="30"/>
          <w:szCs w:val="30"/>
          <w14:textFill>
            <w14:solidFill>
              <w14:schemeClr w14:val="tx1"/>
            </w14:solidFill>
          </w14:textFill>
        </w:rPr>
        <w:t>慢性阻塞性肺疾病</w:t>
      </w:r>
    </w:p>
    <w:tbl>
      <w:tblPr>
        <w:tblStyle w:val="4"/>
        <w:tblW w:w="8691" w:type="dxa"/>
        <w:tblInd w:w="93" w:type="dxa"/>
        <w:tblLayout w:type="fixed"/>
        <w:tblCellMar>
          <w:top w:w="0" w:type="dxa"/>
          <w:left w:w="108" w:type="dxa"/>
          <w:bottom w:w="0" w:type="dxa"/>
          <w:right w:w="108" w:type="dxa"/>
        </w:tblCellMar>
      </w:tblPr>
      <w:tblGrid>
        <w:gridCol w:w="653"/>
        <w:gridCol w:w="646"/>
        <w:gridCol w:w="1947"/>
        <w:gridCol w:w="1485"/>
        <w:gridCol w:w="3960"/>
      </w:tblGrid>
      <w:tr>
        <w:tblPrEx>
          <w:tblCellMar>
            <w:top w:w="0" w:type="dxa"/>
            <w:left w:w="108" w:type="dxa"/>
            <w:bottom w:w="0" w:type="dxa"/>
            <w:right w:w="108" w:type="dxa"/>
          </w:tblCellMar>
        </w:tblPrEx>
        <w:trPr>
          <w:trHeight w:val="91" w:hRule="atLeast"/>
        </w:trPr>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25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1"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慢性阻塞性肺疾病</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J44.000</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慢性阻塞性肺病伴有急性下呼吸道感染</w:t>
            </w:r>
          </w:p>
        </w:tc>
      </w:tr>
      <w:tr>
        <w:tblPrEx>
          <w:tblCellMar>
            <w:top w:w="0" w:type="dxa"/>
            <w:left w:w="108" w:type="dxa"/>
            <w:bottom w:w="0" w:type="dxa"/>
            <w:right w:w="108" w:type="dxa"/>
          </w:tblCellMar>
        </w:tblPrEx>
        <w:trPr>
          <w:trHeight w:val="91"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J44.100</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慢性阻塞性肺病伴有急性加重</w:t>
            </w:r>
          </w:p>
        </w:tc>
      </w:tr>
      <w:tr>
        <w:tblPrEx>
          <w:tblCellMar>
            <w:top w:w="0" w:type="dxa"/>
            <w:left w:w="108" w:type="dxa"/>
            <w:bottom w:w="0" w:type="dxa"/>
            <w:right w:w="108" w:type="dxa"/>
          </w:tblCellMar>
        </w:tblPrEx>
        <w:trPr>
          <w:trHeight w:val="91"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J44.800</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慢性阻塞性肺病，其他特指的</w:t>
            </w:r>
          </w:p>
        </w:tc>
      </w:tr>
      <w:tr>
        <w:tblPrEx>
          <w:tblCellMar>
            <w:top w:w="0" w:type="dxa"/>
            <w:left w:w="108" w:type="dxa"/>
            <w:bottom w:w="0" w:type="dxa"/>
            <w:right w:w="108" w:type="dxa"/>
          </w:tblCellMar>
        </w:tblPrEx>
        <w:trPr>
          <w:trHeight w:val="91"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J44.900</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慢性阻塞性肺病</w:t>
            </w:r>
          </w:p>
        </w:tc>
      </w:tr>
      <w:tr>
        <w:tblPrEx>
          <w:tblCellMar>
            <w:top w:w="0" w:type="dxa"/>
            <w:left w:w="108" w:type="dxa"/>
            <w:bottom w:w="0" w:type="dxa"/>
            <w:right w:w="108" w:type="dxa"/>
          </w:tblCellMar>
        </w:tblPrEx>
        <w:trPr>
          <w:trHeight w:val="91"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J44.900x002</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慢性阻塞性肺疾病I级</w:t>
            </w:r>
          </w:p>
        </w:tc>
      </w:tr>
      <w:tr>
        <w:tblPrEx>
          <w:tblCellMar>
            <w:top w:w="0" w:type="dxa"/>
            <w:left w:w="108" w:type="dxa"/>
            <w:bottom w:w="0" w:type="dxa"/>
            <w:right w:w="108" w:type="dxa"/>
          </w:tblCellMar>
        </w:tblPrEx>
        <w:trPr>
          <w:trHeight w:val="91"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J44.900x003</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慢性阻塞性肺疾病II级</w:t>
            </w:r>
          </w:p>
        </w:tc>
      </w:tr>
      <w:tr>
        <w:tblPrEx>
          <w:tblCellMar>
            <w:top w:w="0" w:type="dxa"/>
            <w:left w:w="108" w:type="dxa"/>
            <w:bottom w:w="0" w:type="dxa"/>
            <w:right w:w="108" w:type="dxa"/>
          </w:tblCellMar>
        </w:tblPrEx>
        <w:trPr>
          <w:trHeight w:val="91"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J44.900x004</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慢性阻塞性肺疾病III级</w:t>
            </w:r>
          </w:p>
        </w:tc>
      </w:tr>
      <w:tr>
        <w:tblPrEx>
          <w:tblCellMar>
            <w:top w:w="0" w:type="dxa"/>
            <w:left w:w="108" w:type="dxa"/>
            <w:bottom w:w="0" w:type="dxa"/>
            <w:right w:w="108" w:type="dxa"/>
          </w:tblCellMar>
        </w:tblPrEx>
        <w:trPr>
          <w:trHeight w:val="91"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J44.900x005</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慢性阻塞性肺疾病IV级</w:t>
            </w:r>
          </w:p>
        </w:tc>
      </w:tr>
      <w:tr>
        <w:tblPrEx>
          <w:tblCellMar>
            <w:top w:w="0" w:type="dxa"/>
            <w:left w:w="108" w:type="dxa"/>
            <w:bottom w:w="0" w:type="dxa"/>
            <w:right w:w="108" w:type="dxa"/>
          </w:tblCellMar>
        </w:tblPrEx>
        <w:trPr>
          <w:trHeight w:val="91"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80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一、患者具有慢性呼吸道症状（如呼吸困难，慢性咳嗽或咳痰），可有复发性下呼吸道感染史和（或）有接触该疾病危险因素史。其中危险因素包括吸烟、接触烟雾粉尘等。</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二、体征：典型者有桶状胸，胸廓呼吸运动减弱，语音震颤减弱，叩诊呈过清音，心浊音界缩小或消失，肝浊音界下移，听诊呼吸音减弱。以上体征不需要全部具备。</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三、胸部影像学：以下两项符合其中一项。</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（一）肺CT可见以下征象：慢支炎、肺气肿表现，或有肺大疱；</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（二）胸片可见以下征象：肺野透光度增加，周围血管影象减少、变细，膈肌低平，活动度减弱，肋间隙增宽，心影狭长，或有肺大疱。</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四、肺功能：吸入支气管扩张剂后，FEV1与FVC的比值＜0.7。</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符合第四项，及一至三项以上任意一项，并排除支气管哮喘等可引起上述症状的其他疾病，可诊断慢性阻塞性肺疾病。</w:t>
            </w:r>
          </w:p>
        </w:tc>
      </w:tr>
      <w:tr>
        <w:tblPrEx>
          <w:tblCellMar>
            <w:top w:w="0" w:type="dxa"/>
            <w:left w:w="108" w:type="dxa"/>
            <w:bottom w:w="0" w:type="dxa"/>
            <w:right w:w="108" w:type="dxa"/>
          </w:tblCellMar>
        </w:tblPrEx>
        <w:trPr>
          <w:trHeight w:val="91" w:hRule="atLeast"/>
        </w:trPr>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2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医保目录药品分类代码</w:t>
            </w:r>
          </w:p>
        </w:tc>
        <w:tc>
          <w:tcPr>
            <w:tcW w:w="3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1"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支气管扩张类药物</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抗结核药物速效、短效、长效β2受体激动剂；长效β2受体激动剂联合长效抗胆碱能制剂（LABA+LAMA）；支气管扩张剂+抗炎复合制剂（ICS+LABA、ICS+LABA+LAMA）</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XR03A</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吸入的肾上腺素能类药</w:t>
            </w:r>
          </w:p>
        </w:tc>
      </w:tr>
      <w:tr>
        <w:tblPrEx>
          <w:tblCellMar>
            <w:top w:w="0" w:type="dxa"/>
            <w:left w:w="108" w:type="dxa"/>
            <w:bottom w:w="0" w:type="dxa"/>
            <w:right w:w="108" w:type="dxa"/>
          </w:tblCellMar>
        </w:tblPrEx>
        <w:trPr>
          <w:trHeight w:val="91"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短效、长效抗胆碱能制剂</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XR03B</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治疗阻塞性气道疾病的其他吸入药物</w:t>
            </w:r>
          </w:p>
        </w:tc>
      </w:tr>
      <w:tr>
        <w:tblPrEx>
          <w:tblCellMar>
            <w:top w:w="0" w:type="dxa"/>
            <w:left w:w="108" w:type="dxa"/>
            <w:bottom w:w="0" w:type="dxa"/>
            <w:right w:w="108" w:type="dxa"/>
          </w:tblCellMar>
        </w:tblPrEx>
        <w:trPr>
          <w:trHeight w:val="91"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茶碱类药物</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XR03DA</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黄嘌呤类</w:t>
            </w:r>
          </w:p>
        </w:tc>
      </w:tr>
      <w:tr>
        <w:tblPrEx>
          <w:tblCellMar>
            <w:top w:w="0" w:type="dxa"/>
            <w:left w:w="108" w:type="dxa"/>
            <w:bottom w:w="0" w:type="dxa"/>
            <w:right w:w="108" w:type="dxa"/>
          </w:tblCellMar>
        </w:tblPrEx>
        <w:trPr>
          <w:trHeight w:val="91"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糖皮质激素类药物</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XH02</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全身用皮质激素类</w:t>
            </w:r>
          </w:p>
        </w:tc>
      </w:tr>
      <w:tr>
        <w:tblPrEx>
          <w:tblCellMar>
            <w:top w:w="0" w:type="dxa"/>
            <w:left w:w="108" w:type="dxa"/>
            <w:bottom w:w="0" w:type="dxa"/>
            <w:right w:w="108" w:type="dxa"/>
          </w:tblCellMar>
        </w:tblPrEx>
        <w:trPr>
          <w:trHeight w:val="91"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XR01AD</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皮质激素类</w:t>
            </w:r>
          </w:p>
        </w:tc>
      </w:tr>
      <w:tr>
        <w:tblPrEx>
          <w:tblCellMar>
            <w:top w:w="0" w:type="dxa"/>
            <w:left w:w="108" w:type="dxa"/>
            <w:bottom w:w="0" w:type="dxa"/>
            <w:right w:w="108" w:type="dxa"/>
          </w:tblCellMar>
        </w:tblPrEx>
        <w:trPr>
          <w:trHeight w:val="91"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止咳祛痰类药物：黏痰溶解剂，黏痰调节剂，表面活性剂，多糖纤维素分解剂，含有分解脱氧核糖核酸的酶类</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XR05C</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不含复方镇咳药的祛痰药</w:t>
            </w:r>
          </w:p>
        </w:tc>
      </w:tr>
      <w:tr>
        <w:tblPrEx>
          <w:tblCellMar>
            <w:top w:w="0" w:type="dxa"/>
            <w:left w:w="108" w:type="dxa"/>
            <w:bottom w:w="0" w:type="dxa"/>
            <w:right w:w="108" w:type="dxa"/>
          </w:tblCellMar>
        </w:tblPrEx>
        <w:trPr>
          <w:trHeight w:val="91" w:hRule="atLeast"/>
        </w:trPr>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抗菌类药物：限合并肺炎或呼吸道的细菌感染时选用适当的抗菌药物（依据病人所在地常见病原菌及其药物敏感情况选用抗生素治疗）</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XJ01</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全身用抗菌药</w:t>
            </w:r>
          </w:p>
        </w:tc>
      </w:tr>
      <w:tr>
        <w:tblPrEx>
          <w:tblCellMar>
            <w:top w:w="0" w:type="dxa"/>
            <w:left w:w="108" w:type="dxa"/>
            <w:bottom w:w="0" w:type="dxa"/>
            <w:right w:w="108" w:type="dxa"/>
          </w:tblCellMar>
        </w:tblPrEx>
        <w:trPr>
          <w:trHeight w:val="91" w:hRule="atLeast"/>
        </w:trPr>
        <w:tc>
          <w:tcPr>
            <w:tcW w:w="65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259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医保目录医疗服务项目编码</w:t>
            </w:r>
          </w:p>
        </w:tc>
        <w:tc>
          <w:tcPr>
            <w:tcW w:w="3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1" w:hRule="atLeast"/>
        </w:trPr>
        <w:tc>
          <w:tcPr>
            <w:tcW w:w="653"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雾化吸入治疗</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ABK</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雾化吸入</w:t>
            </w:r>
          </w:p>
        </w:tc>
      </w:tr>
      <w:tr>
        <w:tblPrEx>
          <w:tblCellMar>
            <w:top w:w="0" w:type="dxa"/>
            <w:left w:w="108" w:type="dxa"/>
            <w:bottom w:w="0" w:type="dxa"/>
            <w:right w:w="108" w:type="dxa"/>
          </w:tblCellMar>
        </w:tblPrEx>
        <w:trPr>
          <w:trHeight w:val="91" w:hRule="atLeast"/>
        </w:trPr>
        <w:tc>
          <w:tcPr>
            <w:tcW w:w="653"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血常规</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250101015</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血细胞分析</w:t>
            </w:r>
          </w:p>
        </w:tc>
      </w:tr>
      <w:tr>
        <w:tblPrEx>
          <w:tblCellMar>
            <w:top w:w="0" w:type="dxa"/>
            <w:left w:w="108" w:type="dxa"/>
            <w:bottom w:w="0" w:type="dxa"/>
            <w:right w:w="108" w:type="dxa"/>
          </w:tblCellMar>
        </w:tblPrEx>
        <w:trPr>
          <w:trHeight w:val="91" w:hRule="atLeast"/>
        </w:trPr>
        <w:tc>
          <w:tcPr>
            <w:tcW w:w="653"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胸片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210102015</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数字化X线摄影(DR)</w:t>
            </w:r>
          </w:p>
        </w:tc>
      </w:tr>
      <w:tr>
        <w:tblPrEx>
          <w:tblCellMar>
            <w:top w:w="0" w:type="dxa"/>
            <w:left w:w="108" w:type="dxa"/>
            <w:bottom w:w="0" w:type="dxa"/>
            <w:right w:w="108" w:type="dxa"/>
          </w:tblCellMar>
        </w:tblPrEx>
        <w:trPr>
          <w:trHeight w:val="91" w:hRule="atLeast"/>
        </w:trPr>
        <w:tc>
          <w:tcPr>
            <w:tcW w:w="653"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210102016</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计算机X线摄影(ComputedRadiography,CR)</w:t>
            </w:r>
          </w:p>
        </w:tc>
      </w:tr>
      <w:tr>
        <w:tblPrEx>
          <w:tblCellMar>
            <w:top w:w="0" w:type="dxa"/>
            <w:left w:w="108" w:type="dxa"/>
            <w:bottom w:w="0" w:type="dxa"/>
            <w:right w:w="108" w:type="dxa"/>
          </w:tblCellMar>
        </w:tblPrEx>
        <w:trPr>
          <w:trHeight w:val="91" w:hRule="atLeast"/>
        </w:trPr>
        <w:tc>
          <w:tcPr>
            <w:tcW w:w="653"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痰白细胞分类计数</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250101010</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白细胞分类计数(DC)</w:t>
            </w:r>
          </w:p>
        </w:tc>
      </w:tr>
      <w:tr>
        <w:tblPrEx>
          <w:tblCellMar>
            <w:top w:w="0" w:type="dxa"/>
            <w:left w:w="108" w:type="dxa"/>
            <w:bottom w:w="0" w:type="dxa"/>
            <w:right w:w="108" w:type="dxa"/>
          </w:tblCellMar>
        </w:tblPrEx>
        <w:trPr>
          <w:trHeight w:val="91" w:hRule="atLeast"/>
        </w:trPr>
        <w:tc>
          <w:tcPr>
            <w:tcW w:w="653"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痰微生物检测（包括痰涂片/痰培养及药敏试验</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2505</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临床微生物学检查</w:t>
            </w:r>
          </w:p>
        </w:tc>
      </w:tr>
      <w:tr>
        <w:tblPrEx>
          <w:tblCellMar>
            <w:top w:w="0" w:type="dxa"/>
            <w:left w:w="108" w:type="dxa"/>
            <w:bottom w:w="0" w:type="dxa"/>
            <w:right w:w="108" w:type="dxa"/>
          </w:tblCellMar>
        </w:tblPrEx>
        <w:trPr>
          <w:trHeight w:val="91" w:hRule="atLeast"/>
        </w:trPr>
        <w:tc>
          <w:tcPr>
            <w:tcW w:w="653"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呼吸道病原体核酸或抗体检测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感染免疫学检测</w:t>
            </w:r>
          </w:p>
        </w:tc>
      </w:tr>
      <w:tr>
        <w:tblPrEx>
          <w:tblCellMar>
            <w:top w:w="0" w:type="dxa"/>
            <w:left w:w="108" w:type="dxa"/>
            <w:bottom w:w="0" w:type="dxa"/>
            <w:right w:w="108" w:type="dxa"/>
          </w:tblCellMar>
        </w:tblPrEx>
        <w:trPr>
          <w:trHeight w:val="91" w:hRule="atLeast"/>
        </w:trPr>
        <w:tc>
          <w:tcPr>
            <w:tcW w:w="653"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肺功能检查（肺通气功能检查、支气管舒张试验）</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310601001</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肺通气功能检查</w:t>
            </w:r>
          </w:p>
        </w:tc>
      </w:tr>
      <w:tr>
        <w:tblPrEx>
          <w:tblCellMar>
            <w:top w:w="0" w:type="dxa"/>
            <w:left w:w="108" w:type="dxa"/>
            <w:bottom w:w="0" w:type="dxa"/>
            <w:right w:w="108" w:type="dxa"/>
          </w:tblCellMar>
        </w:tblPrEx>
        <w:trPr>
          <w:trHeight w:val="91" w:hRule="atLeast"/>
        </w:trPr>
        <w:tc>
          <w:tcPr>
            <w:tcW w:w="653"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310601012</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支气管舒张试验</w:t>
            </w:r>
          </w:p>
        </w:tc>
      </w:tr>
      <w:tr>
        <w:tblPrEx>
          <w:tblCellMar>
            <w:top w:w="0" w:type="dxa"/>
            <w:left w:w="108" w:type="dxa"/>
            <w:bottom w:w="0" w:type="dxa"/>
            <w:right w:w="108" w:type="dxa"/>
          </w:tblCellMar>
        </w:tblPrEx>
        <w:trPr>
          <w:trHeight w:val="91" w:hRule="atLeast"/>
        </w:trPr>
        <w:tc>
          <w:tcPr>
            <w:tcW w:w="653"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C反应蛋白（限急性加重期查）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250401025</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C—反应蛋白测定(CRP)</w:t>
            </w:r>
          </w:p>
        </w:tc>
      </w:tr>
      <w:tr>
        <w:tblPrEx>
          <w:tblCellMar>
            <w:top w:w="0" w:type="dxa"/>
            <w:left w:w="108" w:type="dxa"/>
            <w:bottom w:w="0" w:type="dxa"/>
            <w:right w:w="108" w:type="dxa"/>
          </w:tblCellMar>
        </w:tblPrEx>
        <w:trPr>
          <w:trHeight w:val="91" w:hRule="atLeast"/>
        </w:trPr>
        <w:tc>
          <w:tcPr>
            <w:tcW w:w="653"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降钙素原（限急性加重期查）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250310054</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降钙素原检测</w:t>
            </w:r>
          </w:p>
        </w:tc>
      </w:tr>
      <w:tr>
        <w:tblPrEx>
          <w:tblCellMar>
            <w:top w:w="0" w:type="dxa"/>
            <w:left w:w="108" w:type="dxa"/>
            <w:bottom w:w="0" w:type="dxa"/>
            <w:right w:w="108" w:type="dxa"/>
          </w:tblCellMar>
        </w:tblPrEx>
        <w:trPr>
          <w:trHeight w:val="91" w:hRule="atLeast"/>
        </w:trPr>
        <w:tc>
          <w:tcPr>
            <w:tcW w:w="653"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G试验，GM试验（考虑合并真菌感染时）</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250501040</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真菌D-葡聚糖检测</w:t>
            </w:r>
          </w:p>
        </w:tc>
      </w:tr>
      <w:tr>
        <w:tblPrEx>
          <w:tblCellMar>
            <w:top w:w="0" w:type="dxa"/>
            <w:left w:w="108" w:type="dxa"/>
            <w:bottom w:w="0" w:type="dxa"/>
            <w:right w:w="108" w:type="dxa"/>
          </w:tblCellMar>
        </w:tblPrEx>
        <w:trPr>
          <w:trHeight w:val="91" w:hRule="atLeast"/>
        </w:trPr>
        <w:tc>
          <w:tcPr>
            <w:tcW w:w="653"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250403094</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真菌抗体和抗原测定</w:t>
            </w:r>
          </w:p>
        </w:tc>
      </w:tr>
      <w:tr>
        <w:tblPrEx>
          <w:tblCellMar>
            <w:top w:w="0" w:type="dxa"/>
            <w:left w:w="108" w:type="dxa"/>
            <w:bottom w:w="0" w:type="dxa"/>
            <w:right w:w="108" w:type="dxa"/>
          </w:tblCellMar>
        </w:tblPrEx>
        <w:trPr>
          <w:trHeight w:val="91" w:hRule="atLeast"/>
        </w:trPr>
        <w:tc>
          <w:tcPr>
            <w:tcW w:w="653"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肺部CT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EBAJT001</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胸部X线计算机体层(CT)平扫</w:t>
            </w:r>
          </w:p>
        </w:tc>
      </w:tr>
      <w:tr>
        <w:tblPrEx>
          <w:tblCellMar>
            <w:top w:w="0" w:type="dxa"/>
            <w:left w:w="108" w:type="dxa"/>
            <w:bottom w:w="0" w:type="dxa"/>
            <w:right w:w="108" w:type="dxa"/>
          </w:tblCellMar>
        </w:tblPrEx>
        <w:trPr>
          <w:trHeight w:val="91" w:hRule="atLeast"/>
        </w:trPr>
        <w:tc>
          <w:tcPr>
            <w:tcW w:w="653"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血气分析</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310602006</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血气分析</w:t>
            </w:r>
          </w:p>
        </w:tc>
      </w:tr>
    </w:tbl>
    <w:p>
      <w:pPr>
        <w:spacing w:line="340" w:lineRule="exac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pPr>
        <w:tabs>
          <w:tab w:val="left" w:pos="737"/>
        </w:tabs>
        <w:spacing w:line="340" w:lineRule="exact"/>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1</w:t>
      </w:r>
      <w:r>
        <w:rPr>
          <w:rFonts w:ascii="Times New Roman" w:hAnsi="Times New Roman"/>
          <w:color w:val="000000" w:themeColor="text1"/>
          <w:sz w:val="30"/>
          <w:szCs w:val="30"/>
          <w14:textFill>
            <w14:solidFill>
              <w14:schemeClr w14:val="tx1"/>
            </w14:solidFill>
          </w14:textFill>
        </w:rPr>
        <w:t>6.</w:t>
      </w:r>
      <w:r>
        <w:rPr>
          <w:rFonts w:ascii="Times New Roman" w:hAnsi="Times New Roman" w:eastAsia="黑体"/>
          <w:color w:val="000000" w:themeColor="text1"/>
          <w:sz w:val="30"/>
          <w:szCs w:val="30"/>
          <w14:textFill>
            <w14:solidFill>
              <w14:schemeClr w14:val="tx1"/>
            </w14:solidFill>
          </w14:textFill>
        </w:rPr>
        <w:t>慢性肺源性心脏病</w:t>
      </w:r>
    </w:p>
    <w:tbl>
      <w:tblPr>
        <w:tblStyle w:val="4"/>
        <w:tblW w:w="8691" w:type="dxa"/>
        <w:tblInd w:w="93" w:type="dxa"/>
        <w:tblLayout w:type="fixed"/>
        <w:tblCellMar>
          <w:top w:w="0" w:type="dxa"/>
          <w:left w:w="108" w:type="dxa"/>
          <w:bottom w:w="0" w:type="dxa"/>
          <w:right w:w="108" w:type="dxa"/>
        </w:tblCellMar>
      </w:tblPr>
      <w:tblGrid>
        <w:gridCol w:w="792"/>
        <w:gridCol w:w="1147"/>
        <w:gridCol w:w="2208"/>
        <w:gridCol w:w="1591"/>
        <w:gridCol w:w="2953"/>
      </w:tblGrid>
      <w:tr>
        <w:tblPrEx>
          <w:tblCellMar>
            <w:top w:w="0" w:type="dxa"/>
            <w:left w:w="108" w:type="dxa"/>
            <w:bottom w:w="0" w:type="dxa"/>
            <w:right w:w="108" w:type="dxa"/>
          </w:tblCellMar>
        </w:tblPrEx>
        <w:trPr>
          <w:trHeight w:val="91" w:hRule="atLeast"/>
        </w:trPr>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1"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慢性肺源性心脏病</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I27.900x002</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慢性肺源性心脏病</w:t>
            </w:r>
          </w:p>
        </w:tc>
      </w:tr>
      <w:tr>
        <w:tblPrEx>
          <w:tblCellMar>
            <w:top w:w="0" w:type="dxa"/>
            <w:left w:w="108" w:type="dxa"/>
            <w:bottom w:w="0" w:type="dxa"/>
            <w:right w:w="108" w:type="dxa"/>
          </w:tblCellMar>
        </w:tblPrEx>
        <w:trPr>
          <w:trHeight w:val="91"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78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一、有慢性阻塞性肺疾病、慢性支气管炎、肺气肿及其它慢性肺胸疾病或慢性肺血管疾病史。</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二、存在活动后呼吸困难、乏力，劳动耐力下降。</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三、出现肺动脉压增高、右心室增大或右心功能不全的征象，如颈静脉怒张、P2＞A2、剑突下心脏搏动增强、肝大压痛、肝颈静脉回流征阳性、下肢水肿等。</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四、心电图和X线胸片提示肺心病：</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（一）胸部Ｘ线表现：</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1、右肺下动脉干扩张，横径≥15mm，右肺下动脉横径下气管横径比值≥1.07，动态观察较原右肺下动脉干增宽2mm以上；</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2、右心室增大（结合不同体位判断）。</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（二）心电图诊断标准：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1、额面平均电轴≥+90°；</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2、V1R/S≥1；</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3、重度顺钟向转位V5R/S≤1；</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4、RV1＋SV5≥1.05Mv；</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5、AVRR/S或R/Q≥1；</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6、V1－3呈QS、Qr、qr（需除外心肌梗死）</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7、肺型P波：电压≥0.22mV，或电压≥0.22mV，呈尖峰型，结合P电轴＞＋80°，或当低电压时P电压＞1/2R，呈尖峰型，结合电轴＞＋80°。</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五、超声心动图提示有肺动脉增宽和右心增大、肥厚。</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具备第一和五条，并符合二至四条中任何一条，并除外其它疾病（风湿性心脏病、心肌病等）所致的右心改变。</w:t>
            </w:r>
          </w:p>
        </w:tc>
      </w:tr>
      <w:tr>
        <w:tblPrEx>
          <w:tblCellMar>
            <w:top w:w="0" w:type="dxa"/>
            <w:left w:w="108" w:type="dxa"/>
            <w:bottom w:w="0" w:type="dxa"/>
            <w:right w:w="108" w:type="dxa"/>
          </w:tblCellMar>
        </w:tblPrEx>
        <w:trPr>
          <w:trHeight w:val="91" w:hRule="atLeast"/>
        </w:trPr>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药品目录</w:t>
            </w: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医保目录药品分类代码</w:t>
            </w:r>
          </w:p>
        </w:tc>
        <w:tc>
          <w:tcPr>
            <w:tcW w:w="2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1"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利尿剂</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XC03</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利尿剂</w:t>
            </w:r>
          </w:p>
        </w:tc>
      </w:tr>
      <w:tr>
        <w:tblPrEx>
          <w:tblCellMar>
            <w:top w:w="0" w:type="dxa"/>
            <w:left w:w="108" w:type="dxa"/>
            <w:bottom w:w="0" w:type="dxa"/>
            <w:right w:w="108" w:type="dxa"/>
          </w:tblCellMar>
        </w:tblPrEx>
        <w:trPr>
          <w:trHeight w:val="91"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正性肌力药物</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XC01A</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强心苷</w:t>
            </w:r>
          </w:p>
        </w:tc>
      </w:tr>
      <w:tr>
        <w:tblPrEx>
          <w:tblCellMar>
            <w:top w:w="0" w:type="dxa"/>
            <w:left w:w="108" w:type="dxa"/>
            <w:bottom w:w="0" w:type="dxa"/>
            <w:right w:w="108" w:type="dxa"/>
          </w:tblCellMar>
        </w:tblPrEx>
        <w:trPr>
          <w:trHeight w:val="91"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支气管扩张剂</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XR03</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用于阻塞性气道疾病的药物</w:t>
            </w:r>
          </w:p>
        </w:tc>
      </w:tr>
      <w:tr>
        <w:tblPrEx>
          <w:tblCellMar>
            <w:top w:w="0" w:type="dxa"/>
            <w:left w:w="108" w:type="dxa"/>
            <w:bottom w:w="0" w:type="dxa"/>
            <w:right w:w="108" w:type="dxa"/>
          </w:tblCellMar>
        </w:tblPrEx>
        <w:trPr>
          <w:trHeight w:val="91"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p>
        </w:tc>
        <w:tc>
          <w:tcPr>
            <w:tcW w:w="1591" w:type="dxa"/>
            <w:tcBorders>
              <w:top w:val="nil"/>
              <w:left w:val="nil"/>
              <w:bottom w:val="nil"/>
              <w:right w:val="nil"/>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XR01AD</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皮质激素类</w:t>
            </w:r>
          </w:p>
        </w:tc>
      </w:tr>
      <w:tr>
        <w:tblPrEx>
          <w:tblCellMar>
            <w:top w:w="0" w:type="dxa"/>
            <w:left w:w="108" w:type="dxa"/>
            <w:bottom w:w="0" w:type="dxa"/>
            <w:right w:w="108" w:type="dxa"/>
          </w:tblCellMar>
        </w:tblPrEx>
        <w:trPr>
          <w:trHeight w:val="91"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止咳祛痰类药物</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黏痰溶解剂</w:t>
            </w:r>
          </w:p>
        </w:tc>
        <w:tc>
          <w:tcPr>
            <w:tcW w:w="1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XR05C</w:t>
            </w:r>
          </w:p>
        </w:tc>
        <w:tc>
          <w:tcPr>
            <w:tcW w:w="2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不含复方镇咳药的祛痰药</w:t>
            </w:r>
          </w:p>
        </w:tc>
      </w:tr>
      <w:tr>
        <w:tblPrEx>
          <w:tblCellMar>
            <w:top w:w="0" w:type="dxa"/>
            <w:left w:w="108" w:type="dxa"/>
            <w:bottom w:w="0" w:type="dxa"/>
            <w:right w:w="108" w:type="dxa"/>
          </w:tblCellMar>
        </w:tblPrEx>
        <w:trPr>
          <w:trHeight w:val="91"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黏痰调节剂</w:t>
            </w: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91"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表面活性剂</w:t>
            </w: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91"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多糖纤维素分解剂</w:t>
            </w: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91"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抗菌类药物：限合并肺炎或呼吸道的细菌感染时选用适当的抗菌药物。</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XJ01</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全身用抗菌药</w:t>
            </w:r>
          </w:p>
        </w:tc>
      </w:tr>
      <w:tr>
        <w:tblPrEx>
          <w:tblCellMar>
            <w:top w:w="0" w:type="dxa"/>
            <w:left w:w="108" w:type="dxa"/>
            <w:bottom w:w="0" w:type="dxa"/>
            <w:right w:w="108" w:type="dxa"/>
          </w:tblCellMar>
        </w:tblPrEx>
        <w:trPr>
          <w:trHeight w:val="91" w:hRule="atLeast"/>
        </w:trPr>
        <w:tc>
          <w:tcPr>
            <w:tcW w:w="79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医保目录医疗服务项目编码</w:t>
            </w:r>
          </w:p>
        </w:tc>
        <w:tc>
          <w:tcPr>
            <w:tcW w:w="29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1" w:hRule="atLeast"/>
        </w:trPr>
        <w:tc>
          <w:tcPr>
            <w:tcW w:w="792"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雾化吸入治疗</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ABK</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雾化吸入</w:t>
            </w:r>
          </w:p>
        </w:tc>
      </w:tr>
      <w:tr>
        <w:tblPrEx>
          <w:tblCellMar>
            <w:top w:w="0" w:type="dxa"/>
            <w:left w:w="108" w:type="dxa"/>
            <w:bottom w:w="0" w:type="dxa"/>
            <w:right w:w="108" w:type="dxa"/>
          </w:tblCellMar>
        </w:tblPrEx>
        <w:trPr>
          <w:trHeight w:val="91" w:hRule="atLeast"/>
        </w:trPr>
        <w:tc>
          <w:tcPr>
            <w:tcW w:w="792"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血常规</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250101015</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血细胞分析</w:t>
            </w:r>
          </w:p>
        </w:tc>
      </w:tr>
      <w:tr>
        <w:tblPrEx>
          <w:tblCellMar>
            <w:top w:w="0" w:type="dxa"/>
            <w:left w:w="108" w:type="dxa"/>
            <w:bottom w:w="0" w:type="dxa"/>
            <w:right w:w="108" w:type="dxa"/>
          </w:tblCellMar>
        </w:tblPrEx>
        <w:trPr>
          <w:trHeight w:val="91" w:hRule="atLeast"/>
        </w:trPr>
        <w:tc>
          <w:tcPr>
            <w:tcW w:w="792"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C反应蛋白</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250401025</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C—反应蛋白测定(CRP)</w:t>
            </w:r>
          </w:p>
        </w:tc>
      </w:tr>
      <w:tr>
        <w:tblPrEx>
          <w:tblCellMar>
            <w:top w:w="0" w:type="dxa"/>
            <w:left w:w="108" w:type="dxa"/>
            <w:bottom w:w="0" w:type="dxa"/>
            <w:right w:w="108" w:type="dxa"/>
          </w:tblCellMar>
        </w:tblPrEx>
        <w:trPr>
          <w:trHeight w:val="91" w:hRule="atLeast"/>
        </w:trPr>
        <w:tc>
          <w:tcPr>
            <w:tcW w:w="792"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心衰标志物</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250306012</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B型钠尿肽(BNP)</w:t>
            </w:r>
          </w:p>
        </w:tc>
      </w:tr>
      <w:tr>
        <w:tblPrEx>
          <w:tblCellMar>
            <w:top w:w="0" w:type="dxa"/>
            <w:left w:w="108" w:type="dxa"/>
            <w:bottom w:w="0" w:type="dxa"/>
            <w:right w:w="108" w:type="dxa"/>
          </w:tblCellMar>
        </w:tblPrEx>
        <w:trPr>
          <w:trHeight w:val="91" w:hRule="atLeast"/>
        </w:trPr>
        <w:tc>
          <w:tcPr>
            <w:tcW w:w="792"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250306013</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B型钠尿肽前体(PRO-BNP)测定</w:t>
            </w:r>
          </w:p>
        </w:tc>
      </w:tr>
      <w:tr>
        <w:tblPrEx>
          <w:tblCellMar>
            <w:top w:w="0" w:type="dxa"/>
            <w:left w:w="108" w:type="dxa"/>
            <w:bottom w:w="0" w:type="dxa"/>
            <w:right w:w="108" w:type="dxa"/>
          </w:tblCellMar>
        </w:tblPrEx>
        <w:trPr>
          <w:trHeight w:val="91" w:hRule="atLeast"/>
        </w:trPr>
        <w:tc>
          <w:tcPr>
            <w:tcW w:w="792"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降钙素原</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250310054</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降钙素原检测</w:t>
            </w:r>
          </w:p>
        </w:tc>
      </w:tr>
      <w:tr>
        <w:tblPrEx>
          <w:tblCellMar>
            <w:top w:w="0" w:type="dxa"/>
            <w:left w:w="108" w:type="dxa"/>
            <w:bottom w:w="0" w:type="dxa"/>
            <w:right w:w="108" w:type="dxa"/>
          </w:tblCellMar>
        </w:tblPrEx>
        <w:trPr>
          <w:trHeight w:val="91" w:hRule="atLeast"/>
        </w:trPr>
        <w:tc>
          <w:tcPr>
            <w:tcW w:w="792"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动脉血气分析</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310602006</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血气分析</w:t>
            </w:r>
          </w:p>
        </w:tc>
      </w:tr>
      <w:tr>
        <w:tblPrEx>
          <w:tblCellMar>
            <w:top w:w="0" w:type="dxa"/>
            <w:left w:w="108" w:type="dxa"/>
            <w:bottom w:w="0" w:type="dxa"/>
            <w:right w:w="108" w:type="dxa"/>
          </w:tblCellMar>
        </w:tblPrEx>
        <w:trPr>
          <w:trHeight w:val="91" w:hRule="atLeast"/>
        </w:trPr>
        <w:tc>
          <w:tcPr>
            <w:tcW w:w="792"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电解质</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250304001</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钾测定</w:t>
            </w:r>
          </w:p>
        </w:tc>
      </w:tr>
      <w:tr>
        <w:tblPrEx>
          <w:tblCellMar>
            <w:top w:w="0" w:type="dxa"/>
            <w:left w:w="108" w:type="dxa"/>
            <w:bottom w:w="0" w:type="dxa"/>
            <w:right w:w="108" w:type="dxa"/>
          </w:tblCellMar>
        </w:tblPrEx>
        <w:trPr>
          <w:trHeight w:val="91" w:hRule="atLeast"/>
        </w:trPr>
        <w:tc>
          <w:tcPr>
            <w:tcW w:w="792"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250304002</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钠测定</w:t>
            </w:r>
          </w:p>
        </w:tc>
      </w:tr>
      <w:tr>
        <w:tblPrEx>
          <w:tblCellMar>
            <w:top w:w="0" w:type="dxa"/>
            <w:left w:w="108" w:type="dxa"/>
            <w:bottom w:w="0" w:type="dxa"/>
            <w:right w:w="108" w:type="dxa"/>
          </w:tblCellMar>
        </w:tblPrEx>
        <w:trPr>
          <w:trHeight w:val="91" w:hRule="atLeast"/>
        </w:trPr>
        <w:tc>
          <w:tcPr>
            <w:tcW w:w="792"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250304003</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氯测定</w:t>
            </w:r>
          </w:p>
        </w:tc>
      </w:tr>
      <w:tr>
        <w:tblPrEx>
          <w:tblCellMar>
            <w:top w:w="0" w:type="dxa"/>
            <w:left w:w="108" w:type="dxa"/>
            <w:bottom w:w="0" w:type="dxa"/>
            <w:right w:w="108" w:type="dxa"/>
          </w:tblCellMar>
        </w:tblPrEx>
        <w:trPr>
          <w:trHeight w:val="91" w:hRule="atLeast"/>
        </w:trPr>
        <w:tc>
          <w:tcPr>
            <w:tcW w:w="792"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250304004</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钙测定</w:t>
            </w:r>
          </w:p>
        </w:tc>
      </w:tr>
      <w:tr>
        <w:tblPrEx>
          <w:tblCellMar>
            <w:top w:w="0" w:type="dxa"/>
            <w:left w:w="108" w:type="dxa"/>
            <w:bottom w:w="0" w:type="dxa"/>
            <w:right w:w="108" w:type="dxa"/>
          </w:tblCellMar>
        </w:tblPrEx>
        <w:trPr>
          <w:trHeight w:val="91" w:hRule="atLeast"/>
        </w:trPr>
        <w:tc>
          <w:tcPr>
            <w:tcW w:w="792"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250304005</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无机磷测定</w:t>
            </w:r>
          </w:p>
        </w:tc>
      </w:tr>
      <w:tr>
        <w:tblPrEx>
          <w:tblCellMar>
            <w:top w:w="0" w:type="dxa"/>
            <w:left w:w="108" w:type="dxa"/>
            <w:bottom w:w="0" w:type="dxa"/>
            <w:right w:w="108" w:type="dxa"/>
          </w:tblCellMar>
        </w:tblPrEx>
        <w:trPr>
          <w:trHeight w:val="91" w:hRule="atLeast"/>
        </w:trPr>
        <w:tc>
          <w:tcPr>
            <w:tcW w:w="792"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250304006</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镁测定</w:t>
            </w:r>
          </w:p>
        </w:tc>
      </w:tr>
      <w:tr>
        <w:tblPrEx>
          <w:tblCellMar>
            <w:top w:w="0" w:type="dxa"/>
            <w:left w:w="108" w:type="dxa"/>
            <w:bottom w:w="0" w:type="dxa"/>
            <w:right w:w="108" w:type="dxa"/>
          </w:tblCellMar>
        </w:tblPrEx>
        <w:trPr>
          <w:trHeight w:val="91" w:hRule="atLeast"/>
        </w:trPr>
        <w:tc>
          <w:tcPr>
            <w:tcW w:w="792"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250304010</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血清碳酸氢盐(HCO3)测定</w:t>
            </w:r>
          </w:p>
        </w:tc>
      </w:tr>
      <w:tr>
        <w:tblPrEx>
          <w:tblCellMar>
            <w:top w:w="0" w:type="dxa"/>
            <w:left w:w="108" w:type="dxa"/>
            <w:bottom w:w="0" w:type="dxa"/>
            <w:right w:w="108" w:type="dxa"/>
          </w:tblCellMar>
        </w:tblPrEx>
        <w:trPr>
          <w:trHeight w:val="91" w:hRule="atLeast"/>
        </w:trPr>
        <w:tc>
          <w:tcPr>
            <w:tcW w:w="792"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D二聚体</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250203066</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血浆D-二聚体测定(D-Dimer)</w:t>
            </w:r>
          </w:p>
        </w:tc>
      </w:tr>
      <w:tr>
        <w:tblPrEx>
          <w:tblCellMar>
            <w:top w:w="0" w:type="dxa"/>
            <w:left w:w="108" w:type="dxa"/>
            <w:bottom w:w="0" w:type="dxa"/>
            <w:right w:w="108" w:type="dxa"/>
          </w:tblCellMar>
        </w:tblPrEx>
        <w:trPr>
          <w:trHeight w:val="91" w:hRule="atLeast"/>
        </w:trPr>
        <w:tc>
          <w:tcPr>
            <w:tcW w:w="792"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痰微生物检测（包括痰涂片/痰培养及药敏试验，呼吸道病原体核酸或抗体检测）</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2505</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临床微生物学检查</w:t>
            </w:r>
          </w:p>
        </w:tc>
      </w:tr>
      <w:tr>
        <w:tblPrEx>
          <w:tblCellMar>
            <w:top w:w="0" w:type="dxa"/>
            <w:left w:w="108" w:type="dxa"/>
            <w:bottom w:w="0" w:type="dxa"/>
            <w:right w:w="108" w:type="dxa"/>
          </w:tblCellMar>
        </w:tblPrEx>
        <w:trPr>
          <w:trHeight w:val="91" w:hRule="atLeast"/>
        </w:trPr>
        <w:tc>
          <w:tcPr>
            <w:tcW w:w="792"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G试验</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250501040</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真菌D-葡聚糖检测</w:t>
            </w:r>
          </w:p>
        </w:tc>
      </w:tr>
      <w:tr>
        <w:tblPrEx>
          <w:tblCellMar>
            <w:top w:w="0" w:type="dxa"/>
            <w:left w:w="108" w:type="dxa"/>
            <w:bottom w:w="0" w:type="dxa"/>
            <w:right w:w="108" w:type="dxa"/>
          </w:tblCellMar>
        </w:tblPrEx>
        <w:trPr>
          <w:trHeight w:val="91" w:hRule="atLeast"/>
        </w:trPr>
        <w:tc>
          <w:tcPr>
            <w:tcW w:w="792"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GM试验（必要时，不除外合并真菌感染时）</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250403094</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真菌抗体和抗原测定</w:t>
            </w:r>
          </w:p>
        </w:tc>
      </w:tr>
      <w:tr>
        <w:tblPrEx>
          <w:tblCellMar>
            <w:top w:w="0" w:type="dxa"/>
            <w:left w:w="108" w:type="dxa"/>
            <w:bottom w:w="0" w:type="dxa"/>
            <w:right w:w="108" w:type="dxa"/>
          </w:tblCellMar>
        </w:tblPrEx>
        <w:trPr>
          <w:trHeight w:val="91" w:hRule="atLeast"/>
        </w:trPr>
        <w:tc>
          <w:tcPr>
            <w:tcW w:w="792"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5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胸片</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210102015</w:t>
            </w:r>
          </w:p>
        </w:tc>
        <w:tc>
          <w:tcPr>
            <w:tcW w:w="2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数字化X线摄影(DR)</w:t>
            </w:r>
          </w:p>
        </w:tc>
      </w:tr>
      <w:tr>
        <w:tblPrEx>
          <w:tblCellMar>
            <w:top w:w="0" w:type="dxa"/>
            <w:left w:w="108" w:type="dxa"/>
            <w:bottom w:w="0" w:type="dxa"/>
            <w:right w:w="108" w:type="dxa"/>
          </w:tblCellMar>
        </w:tblPrEx>
        <w:trPr>
          <w:trHeight w:val="91" w:hRule="atLeast"/>
        </w:trPr>
        <w:tc>
          <w:tcPr>
            <w:tcW w:w="792"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55"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210102016</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计算机X线摄影(ComputedRadiography,CR)</w:t>
            </w:r>
          </w:p>
        </w:tc>
      </w:tr>
      <w:tr>
        <w:tblPrEx>
          <w:tblCellMar>
            <w:top w:w="0" w:type="dxa"/>
            <w:left w:w="108" w:type="dxa"/>
            <w:bottom w:w="0" w:type="dxa"/>
            <w:right w:w="108" w:type="dxa"/>
          </w:tblCellMar>
        </w:tblPrEx>
        <w:trPr>
          <w:trHeight w:val="91" w:hRule="atLeast"/>
        </w:trPr>
        <w:tc>
          <w:tcPr>
            <w:tcW w:w="792"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心电图</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310701001</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常规心电图检查</w:t>
            </w:r>
          </w:p>
        </w:tc>
      </w:tr>
      <w:tr>
        <w:tblPrEx>
          <w:tblCellMar>
            <w:top w:w="0" w:type="dxa"/>
            <w:left w:w="108" w:type="dxa"/>
            <w:bottom w:w="0" w:type="dxa"/>
            <w:right w:w="108" w:type="dxa"/>
          </w:tblCellMar>
        </w:tblPrEx>
        <w:trPr>
          <w:trHeight w:val="91" w:hRule="atLeast"/>
        </w:trPr>
        <w:tc>
          <w:tcPr>
            <w:tcW w:w="792"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心脏超声</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220600004</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心脏彩色多普勒超声</w:t>
            </w:r>
          </w:p>
        </w:tc>
      </w:tr>
      <w:tr>
        <w:tblPrEx>
          <w:tblCellMar>
            <w:top w:w="0" w:type="dxa"/>
            <w:left w:w="108" w:type="dxa"/>
            <w:bottom w:w="0" w:type="dxa"/>
            <w:right w:w="108" w:type="dxa"/>
          </w:tblCellMar>
        </w:tblPrEx>
        <w:trPr>
          <w:trHeight w:val="91" w:hRule="atLeast"/>
        </w:trPr>
        <w:tc>
          <w:tcPr>
            <w:tcW w:w="792"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肺部CT</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EBAJT001</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胸部X线计算机体层(CT)平扫</w:t>
            </w:r>
          </w:p>
        </w:tc>
      </w:tr>
    </w:tbl>
    <w:p>
      <w:pPr>
        <w:spacing w:line="340" w:lineRule="exac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pPr>
        <w:tabs>
          <w:tab w:val="left" w:pos="737"/>
        </w:tabs>
        <w:spacing w:line="340" w:lineRule="exact"/>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1</w:t>
      </w:r>
      <w:r>
        <w:rPr>
          <w:rFonts w:ascii="Times New Roman" w:hAnsi="Times New Roman"/>
          <w:color w:val="000000" w:themeColor="text1"/>
          <w:sz w:val="30"/>
          <w:szCs w:val="30"/>
          <w14:textFill>
            <w14:solidFill>
              <w14:schemeClr w14:val="tx1"/>
            </w14:solidFill>
          </w14:textFill>
        </w:rPr>
        <w:t>7.</w:t>
      </w:r>
      <w:r>
        <w:rPr>
          <w:rFonts w:ascii="Times New Roman" w:hAnsi="Times New Roman" w:eastAsia="黑体"/>
          <w:color w:val="000000" w:themeColor="text1"/>
          <w:sz w:val="30"/>
          <w:szCs w:val="30"/>
          <w14:textFill>
            <w14:solidFill>
              <w14:schemeClr w14:val="tx1"/>
            </w14:solidFill>
          </w14:textFill>
        </w:rPr>
        <w:t>结核病</w:t>
      </w:r>
    </w:p>
    <w:tbl>
      <w:tblPr>
        <w:tblStyle w:val="4"/>
        <w:tblW w:w="8691" w:type="dxa"/>
        <w:tblInd w:w="93" w:type="dxa"/>
        <w:tblLayout w:type="autofit"/>
        <w:tblCellMar>
          <w:top w:w="0" w:type="dxa"/>
          <w:left w:w="108" w:type="dxa"/>
          <w:bottom w:w="0" w:type="dxa"/>
          <w:right w:w="108" w:type="dxa"/>
        </w:tblCellMar>
      </w:tblPr>
      <w:tblGrid>
        <w:gridCol w:w="773"/>
        <w:gridCol w:w="2625"/>
        <w:gridCol w:w="1618"/>
        <w:gridCol w:w="3675"/>
      </w:tblGrid>
      <w:tr>
        <w:tblPrEx>
          <w:tblCellMar>
            <w:top w:w="0" w:type="dxa"/>
            <w:left w:w="108" w:type="dxa"/>
            <w:bottom w:w="0" w:type="dxa"/>
            <w:right w:w="108" w:type="dxa"/>
          </w:tblCellMar>
        </w:tblPrEx>
        <w:trPr>
          <w:trHeight w:val="90" w:hRule="atLeast"/>
        </w:trPr>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结核病</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A15.000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肺结核，经显微镜下痰检查证实，伴有或不伴有痰培养</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A15.100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肺结核，仅经痰培养所证实</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A15.200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肺结核，经组织学所证实</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A15.300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肺结核，经证实的</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A15.300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肺结核，经证实的</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A15.300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肺结核，经证实的</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A15.400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胸腔内淋巴结结核，经细菌学和组织学所证实</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A15.500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喉、气管和支气管结核，经细菌学和组织学所证实</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A15.600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结核性胸膜炎，经细菌学和组织学所证实</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A15.700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原发性呼吸道结核，经细菌学和组织学所证实</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A15.800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呼吸道结核，经细菌学和组织学所证实，其他的</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A16.000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肺结核，细菌学和组织学检查为阴性</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A16.100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肺结核，未做细菌学和组织学检查</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A16.200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肺结核，未提及细菌学或组织学的证实</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A16.300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胸腔内淋巴结结核，未提及细菌学或组织学的证实</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A16.400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喉、气管和支气管结核，未提及细菌学或组织学的证实</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A16.500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结核性胸膜炎，未提及细菌学或组织学的证实</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A16.700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原发性呼吸道结核，未提及细菌学或组织学的证实</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A16.800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呼吸道结核，未提及细菌学或组织学的证实，其他的</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A16.900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呼吸道结核</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A17.800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神经系统的其他结核</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A18.000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骨和关节的结核</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A18.100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泌尿生殖系统的结核</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A18.200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结核性周围淋巴结病</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A18.300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肠、腹膜和肠系膜淋巴结的结核</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A18.400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皮肤和皮下组织的结核</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A18.500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眼结核</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A18.800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器官的结核，其他特指的</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A19.000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单个特指部位的急性粟粒型结核</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B20.001</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人类免疫缺陷病毒病性结核菌感染</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B20.002</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人类免疫缺陷病毒病性颈淋巴结结核</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B20.003</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人类免疫缺陷病毒病性肺结核</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B20.004</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人类免疫缺陷病毒病性结核性胸膜炎</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B20.005</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人类免疫缺陷病毒病性肠结核</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B20.006</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人类免疫缺陷病毒病性结核性腹膜炎</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O98.000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结核并发于妊娠、分娩和产褥期</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O98.001</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妊娠合并结核病</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P37.000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先天性结核病</w:t>
            </w:r>
          </w:p>
        </w:tc>
      </w:tr>
      <w:tr>
        <w:tblPrEx>
          <w:tblCellMar>
            <w:top w:w="0" w:type="dxa"/>
            <w:left w:w="108" w:type="dxa"/>
            <w:bottom w:w="0" w:type="dxa"/>
            <w:right w:w="108" w:type="dxa"/>
          </w:tblCellMar>
        </w:tblPrEx>
        <w:trPr>
          <w:trHeight w:val="9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79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楷体_GBK" w:cs="方正楷体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一、结核病</w:t>
            </w:r>
            <w:r>
              <w:rPr>
                <w:rFonts w:hint="eastAsia" w:ascii="Times New Roman" w:hAnsi="Times New Roman" w:eastAsia="方正仿宋_GBK" w:cs="方正仿宋_GBK"/>
                <w:color w:val="000000" w:themeColor="text1"/>
                <w:kern w:val="0"/>
                <w:szCs w:val="21"/>
                <w:highlight w:val="none"/>
                <w:lang w:eastAsia="zh-CN" w:bidi="ar"/>
                <w14:textFill>
                  <w14:solidFill>
                    <w14:schemeClr w14:val="tx1"/>
                  </w14:solidFill>
                </w14:textFill>
              </w:rPr>
              <w:t>诊断标准</w:t>
            </w:r>
            <w:r>
              <w:rPr>
                <w:rFonts w:hint="eastAsia" w:ascii="Times New Roman" w:hAnsi="Times New Roman" w:eastAsia="方正仿宋_GBK" w:cs="方正仿宋_GBK"/>
                <w:color w:val="000000" w:themeColor="text1"/>
                <w:kern w:val="0"/>
                <w:szCs w:val="21"/>
                <w:highlight w:val="none"/>
                <w:lang w:bidi="ar"/>
                <w14:textFill>
                  <w14:solidFill>
                    <w14:schemeClr w14:val="tx1"/>
                  </w14:solidFill>
                </w14:textFill>
              </w:rPr>
              <w:br w:type="textWrapping"/>
            </w:r>
            <w:r>
              <w:rPr>
                <w:rFonts w:hint="eastAsia" w:ascii="Times New Roman" w:hAnsi="Times New Roman" w:eastAsia="方正仿宋_GBK" w:cs="方正仿宋_GBK"/>
                <w:color w:val="000000" w:themeColor="text1"/>
                <w:kern w:val="0"/>
                <w:szCs w:val="21"/>
                <w:lang w:bidi="ar"/>
                <w14:textFill>
                  <w14:solidFill>
                    <w14:schemeClr w14:val="tx1"/>
                  </w14:solidFill>
                </w14:textFill>
              </w:rPr>
              <w:t>1.根据中华人民共和国卫生行业标准《结核病分类（WS196-2017）》和《肺结核诊断（WS288-2017）》的标准，由二级及以上医疗机构出具盖鲜章的结核病诊断病历。</w:t>
            </w:r>
            <w:r>
              <w:rPr>
                <w:rFonts w:hint="eastAsia"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hint="eastAsia" w:ascii="Times New Roman" w:hAnsi="Times New Roman" w:eastAsia="方正仿宋_GBK" w:cs="方正仿宋_GBK"/>
                <w:color w:val="000000" w:themeColor="text1"/>
                <w:kern w:val="0"/>
                <w:szCs w:val="21"/>
                <w:lang w:bidi="ar"/>
                <w14:textFill>
                  <w14:solidFill>
                    <w14:schemeClr w14:val="tx1"/>
                  </w14:solidFill>
                </w14:textFill>
              </w:rPr>
              <w:t>2.具有结核病相关的临床症状和体征，结核分枝杆菌病原学、病理学、影像学等检查有活动性结核的证据，医疗机构提供相应病原学、病理学、影像学报告。</w:t>
            </w:r>
            <w:r>
              <w:rPr>
                <w:rFonts w:hint="eastAsia"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hint="eastAsia" w:ascii="Times New Roman" w:hAnsi="Times New Roman" w:eastAsia="方正仿宋_GBK" w:cs="方正仿宋_GBK"/>
                <w:color w:val="000000" w:themeColor="text1"/>
                <w:kern w:val="0"/>
                <w:szCs w:val="21"/>
                <w:lang w:bidi="ar"/>
                <w14:textFill>
                  <w14:solidFill>
                    <w14:schemeClr w14:val="tx1"/>
                  </w14:solidFill>
                </w14:textFill>
              </w:rPr>
              <w:t>3.包含肺结核和肺外结核。肺结核指病变发生在肺、气管、支气管和胸膜等部位。肺外结核指病变发生在肺以外的器官和部位。如淋巴结、骨、关节、泌尿生殖系统、消化系统、中枢神经系统等部位。</w:t>
            </w:r>
            <w:r>
              <w:rPr>
                <w:rFonts w:hint="eastAsia"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hint="eastAsia" w:ascii="Times New Roman" w:hAnsi="Times New Roman" w:eastAsia="方正仿宋_GBK" w:cs="方正仿宋_GBK"/>
                <w:color w:val="000000" w:themeColor="text1"/>
                <w:kern w:val="0"/>
                <w:szCs w:val="21"/>
                <w:lang w:bidi="ar"/>
                <w14:textFill>
                  <w14:solidFill>
                    <w14:schemeClr w14:val="tx1"/>
                  </w14:solidFill>
                </w14:textFill>
              </w:rPr>
              <w:t>二、结核病特病待遇有效期为1年，1年后终止特病待遇，如需继续治疗需按以下标准重新办理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1.二级及以上医疗机构出具盖鲜章的结核病病历，由经治医生注明“患者需继续服用抗结核药物，申请续办结核病特病”。</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2.二级及以上医疗机构提供患者最新的影像学报告。</w:t>
            </w:r>
          </w:p>
        </w:tc>
      </w:tr>
      <w:tr>
        <w:tblPrEx>
          <w:tblCellMar>
            <w:top w:w="0" w:type="dxa"/>
            <w:left w:w="108" w:type="dxa"/>
            <w:bottom w:w="0" w:type="dxa"/>
            <w:right w:w="108" w:type="dxa"/>
          </w:tblCellMar>
        </w:tblPrEx>
        <w:trPr>
          <w:trHeight w:val="90" w:hRule="atLeast"/>
        </w:trPr>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医保目录药品分类代码</w:t>
            </w:r>
          </w:p>
        </w:tc>
        <w:tc>
          <w:tcPr>
            <w:tcW w:w="3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抗结核药物</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XJ01G</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氨基糖苷类抗菌药</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XJ01MA</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氟喹诺酮类</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XJ01XX</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其他抗菌药</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XJ04</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抗分枝杆菌药</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药物副作用导致的肝损害相关治疗</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XA05</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胆和肝治疗药</w:t>
            </w:r>
          </w:p>
        </w:tc>
      </w:tr>
      <w:tr>
        <w:tblPrEx>
          <w:tblCellMar>
            <w:top w:w="0" w:type="dxa"/>
            <w:left w:w="108" w:type="dxa"/>
            <w:bottom w:w="0" w:type="dxa"/>
            <w:right w:w="108" w:type="dxa"/>
          </w:tblCellMar>
        </w:tblPrEx>
        <w:trPr>
          <w:trHeight w:val="90" w:hRule="atLeast"/>
        </w:trPr>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医保目录医疗服务项目编码</w:t>
            </w:r>
          </w:p>
        </w:tc>
        <w:tc>
          <w:tcPr>
            <w:tcW w:w="3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心电图</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310701001</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常规心电图检查</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血常规</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250101015</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血细胞分析</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尿常规</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250102035</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尿液分析</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肝功能</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250305001</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血清总胆红素测定</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250305002</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血清直接胆红素测定</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250305003</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血清间接胆红素测定</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250305007</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血清丙氨酸氨基转移酶测定</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250305008</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血清天门冬氨酸氨基转移酶测定</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250305009</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血清γ-谷氨酰基转移酶测定</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250305011</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血清碱性磷酸酶测定</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250301001</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血清总蛋白测定</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250301002</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血清白蛋白测定</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250301006</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血清前白蛋白测定</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肾功能</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250307005</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血清尿酸测定</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250307001</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尿素测定</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250307002</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肌酐测定</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甲状腺功能</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250310001</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血清促甲状腺激素测定(TSH)</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250310011</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血清三碘甲状原氨酸(T3)测定</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250310010</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血清甲状腺素(T4)测定</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血糖</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250302001</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葡萄糖测定</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电解质</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250304001</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钾测定</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250304002</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钠测定</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250304003</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氯测定</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250304004</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钙测定</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250304005</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无机磷测定</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经纤支镜检查和治疗</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310605006</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经纤支镜肺泡灌洗诊疗术</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病原学检查</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250501002</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结核菌涂片检查</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250501013</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结核菌培养</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250502004a</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结核菌药敏试验</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250403065</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各类病原体DNA测定</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280000001q</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结核感染T细胞检测</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280000005</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结核分枝杆菌直接检测(MTD)</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280000015</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核酸多聚酶链反应检查诊断</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280000001p</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结核分枝杆菌耐药基因检测</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X线检查、CT平扫或增强、B超、彩超（限结核部位）</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2101</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X线检查</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340" w:lineRule="exact"/>
              <w:jc w:val="center"/>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2103</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X线计算机体层(CT)扫描</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340" w:lineRule="exact"/>
              <w:jc w:val="center"/>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nil"/>
              <w:left w:val="nil"/>
              <w:bottom w:val="nil"/>
              <w:right w:val="nil"/>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w:t>
            </w:r>
          </w:p>
        </w:tc>
        <w:tc>
          <w:tcPr>
            <w:tcW w:w="3675" w:type="dxa"/>
            <w:tcBorders>
              <w:top w:val="single" w:color="000000" w:sz="4" w:space="0"/>
              <w:left w:val="single" w:color="000000" w:sz="4" w:space="0"/>
              <w:bottom w:val="nil"/>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X线计算机体层检查</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340" w:lineRule="exact"/>
              <w:jc w:val="center"/>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2202</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B超</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340" w:lineRule="exact"/>
              <w:jc w:val="center"/>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220301</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普通彩色多普勒超声检查</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磁共振平扫或增强（限骨或中枢神经系统结核）</w:t>
            </w:r>
          </w:p>
        </w:tc>
        <w:tc>
          <w:tcPr>
            <w:tcW w:w="161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2102</w:t>
            </w:r>
          </w:p>
        </w:tc>
        <w:tc>
          <w:tcPr>
            <w:tcW w:w="367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磁共振扫描(MRI)</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EC</w:t>
            </w:r>
          </w:p>
        </w:tc>
        <w:tc>
          <w:tcPr>
            <w:tcW w:w="367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磁共振检查</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心电图</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310701001</w:t>
            </w:r>
          </w:p>
        </w:tc>
        <w:tc>
          <w:tcPr>
            <w:tcW w:w="367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常规心电图检查</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视力（限使用链霉素、乙胺丁醇类药物且怀疑视力受损的患者）</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310300053</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眼底照相</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310300056</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眼底检查</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310300005</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视野检查</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310300068</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视诱发电位(VEP)</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310300064</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光学相干断层成相(OCT)</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听力（限使用氨基糖苷类药物且怀疑听力受损的患者）</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310401002</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纯音听阈测定</w:t>
            </w:r>
          </w:p>
        </w:tc>
      </w:tr>
      <w:tr>
        <w:tblPrEx>
          <w:tblCellMar>
            <w:top w:w="0" w:type="dxa"/>
            <w:left w:w="108" w:type="dxa"/>
            <w:bottom w:w="0" w:type="dxa"/>
            <w:right w:w="108" w:type="dxa"/>
          </w:tblCellMar>
        </w:tblPrEx>
        <w:trPr>
          <w:trHeight w:val="9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310401015</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耳声发射检查</w:t>
            </w:r>
          </w:p>
        </w:tc>
      </w:tr>
    </w:tbl>
    <w:p>
      <w:pPr>
        <w:spacing w:line="340" w:lineRule="exac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pPr>
        <w:tabs>
          <w:tab w:val="left" w:pos="737"/>
        </w:tabs>
        <w:spacing w:line="340" w:lineRule="exact"/>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1</w:t>
      </w:r>
      <w:r>
        <w:rPr>
          <w:rFonts w:ascii="Times New Roman" w:hAnsi="Times New Roman"/>
          <w:color w:val="000000" w:themeColor="text1"/>
          <w:sz w:val="30"/>
          <w:szCs w:val="30"/>
          <w14:textFill>
            <w14:solidFill>
              <w14:schemeClr w14:val="tx1"/>
            </w14:solidFill>
          </w14:textFill>
        </w:rPr>
        <w:t>8.</w:t>
      </w:r>
      <w:r>
        <w:rPr>
          <w:rFonts w:ascii="Times New Roman" w:hAnsi="Times New Roman" w:eastAsia="黑体"/>
          <w:color w:val="000000" w:themeColor="text1"/>
          <w:sz w:val="30"/>
          <w:szCs w:val="30"/>
          <w14:textFill>
            <w14:solidFill>
              <w14:schemeClr w14:val="tx1"/>
            </w14:solidFill>
          </w14:textFill>
        </w:rPr>
        <w:t>慢性乙型肝炎病毒感染</w:t>
      </w:r>
    </w:p>
    <w:tbl>
      <w:tblPr>
        <w:tblStyle w:val="4"/>
        <w:tblW w:w="8691" w:type="dxa"/>
        <w:tblInd w:w="93" w:type="dxa"/>
        <w:tblLayout w:type="fixed"/>
        <w:tblCellMar>
          <w:top w:w="0" w:type="dxa"/>
          <w:left w:w="108" w:type="dxa"/>
          <w:bottom w:w="0" w:type="dxa"/>
          <w:right w:w="108" w:type="dxa"/>
        </w:tblCellMar>
      </w:tblPr>
      <w:tblGrid>
        <w:gridCol w:w="711"/>
        <w:gridCol w:w="2452"/>
        <w:gridCol w:w="2005"/>
        <w:gridCol w:w="3523"/>
      </w:tblGrid>
      <w:tr>
        <w:tblPrEx>
          <w:tblCellMar>
            <w:top w:w="0" w:type="dxa"/>
            <w:left w:w="108" w:type="dxa"/>
            <w:bottom w:w="0" w:type="dxa"/>
            <w:right w:w="108" w:type="dxa"/>
          </w:tblCellMar>
        </w:tblPrEx>
        <w:trPr>
          <w:trHeight w:val="91"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2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慢性乙型肝炎病毒感染</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B18.000</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慢性乙型病毒性肝炎，伴有δ因子</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B18.100</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慢性乙型病毒性肝炎，不伴有δ因子</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B18.100x001</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病毒性肝炎乙型慢性重型</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B18.100x007</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病毒性肝炎乙型慢性淤胆型</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B18.101</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慢性活动型乙型病毒性肝炎</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B18.102</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慢性迁延型乙型病毒性肝炎</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B18.104</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慢性轻度乙型病毒性肝炎</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B18.105</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慢性中度乙型病毒性肝炎</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B18.106</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慢性重度乙型病毒性肝炎</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B18.107</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慢性乙型病毒性肝炎</w:t>
            </w:r>
          </w:p>
        </w:tc>
      </w:tr>
      <w:tr>
        <w:tblPrEx>
          <w:tblCellMar>
            <w:top w:w="0" w:type="dxa"/>
            <w:left w:w="108" w:type="dxa"/>
            <w:bottom w:w="0" w:type="dxa"/>
            <w:right w:w="108" w:type="dxa"/>
          </w:tblCellMar>
        </w:tblPrEx>
        <w:trPr>
          <w:trHeight w:val="91"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7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eastAsia="方正楷体_GBK" w:cs="方正楷体_GBK"/>
                <w:b/>
                <w:bCs/>
                <w:color w:val="000000" w:themeColor="text1"/>
                <w:szCs w:val="21"/>
                <w14:textFill>
                  <w14:solidFill>
                    <w14:schemeClr w14:val="tx1"/>
                  </w14:solidFill>
                </w14:textFill>
              </w:rPr>
            </w:pPr>
            <w:r>
              <w:rPr>
                <w:rFonts w:hint="eastAsia" w:ascii="Times New Roman" w:hAnsi="Times New Roman" w:eastAsia="方正仿宋_GBK" w:cs="方正仿宋_GBK"/>
                <w:b w:val="0"/>
                <w:bCs w:val="0"/>
                <w:color w:val="000000" w:themeColor="text1"/>
                <w:kern w:val="0"/>
                <w:szCs w:val="21"/>
                <w:lang w:bidi="ar"/>
                <w14:textFill>
                  <w14:solidFill>
                    <w14:schemeClr w14:val="tx1"/>
                  </w14:solidFill>
                </w14:textFill>
              </w:rPr>
              <w:t>符合以下三项中一项即可：</w:t>
            </w:r>
            <w:r>
              <w:rPr>
                <w:rFonts w:hint="eastAsia" w:ascii="Times New Roman" w:hAnsi="Times New Roman" w:eastAsia="方正仿宋_GBK" w:cs="方正仿宋_GBK"/>
                <w:b w:val="0"/>
                <w:bCs w:val="0"/>
                <w:color w:val="000000" w:themeColor="text1"/>
                <w:kern w:val="0"/>
                <w:szCs w:val="21"/>
                <w:lang w:bidi="ar"/>
                <w14:textFill>
                  <w14:solidFill>
                    <w14:schemeClr w14:val="tx1"/>
                  </w14:solidFill>
                </w14:textFill>
              </w:rPr>
              <w:br w:type="textWrapping"/>
            </w:r>
            <w:r>
              <w:rPr>
                <w:rFonts w:hint="eastAsia" w:ascii="Times New Roman" w:hAnsi="Times New Roman" w:eastAsia="方正仿宋_GBK" w:cs="方正仿宋_GBK"/>
                <w:b w:val="0"/>
                <w:bCs w:val="0"/>
                <w:color w:val="000000" w:themeColor="text1"/>
                <w:kern w:val="0"/>
                <w:szCs w:val="21"/>
                <w:lang w:bidi="ar"/>
                <w14:textFill>
                  <w14:solidFill>
                    <w14:schemeClr w14:val="tx1"/>
                  </w14:solidFill>
                </w14:textFill>
              </w:rPr>
              <w:t>一、血清HBV DNA阳性、ALT低于正常高值患者，如有以下情形之一：</w:t>
            </w:r>
            <w:r>
              <w:rPr>
                <w:rFonts w:hint="eastAsia" w:ascii="Times New Roman" w:hAnsi="Times New Roman" w:eastAsia="方正仿宋_GBK" w:cs="方正仿宋_GBK"/>
                <w:b w:val="0"/>
                <w:bCs w:val="0"/>
                <w:color w:val="000000" w:themeColor="text1"/>
                <w:kern w:val="0"/>
                <w:szCs w:val="21"/>
                <w:lang w:bidi="ar"/>
                <w14:textFill>
                  <w14:solidFill>
                    <w14:schemeClr w14:val="tx1"/>
                  </w14:solidFill>
                </w14:textFill>
              </w:rPr>
              <w:br w:type="textWrapping"/>
            </w:r>
            <w:r>
              <w:rPr>
                <w:rFonts w:hint="eastAsia" w:ascii="Times New Roman" w:hAnsi="Times New Roman" w:eastAsia="方正仿宋_GBK" w:cs="方正仿宋_GBK"/>
                <w:b w:val="0"/>
                <w:bCs w:val="0"/>
                <w:color w:val="000000" w:themeColor="text1"/>
                <w:kern w:val="0"/>
                <w:szCs w:val="21"/>
                <w:lang w:bidi="ar"/>
                <w14:textFill>
                  <w14:solidFill>
                    <w14:schemeClr w14:val="tx1"/>
                  </w14:solidFill>
                </w14:textFill>
              </w:rPr>
              <w:t>1.无创指标或肝组织学检查，提示肝脏存在明显炎症（≥G2）或纤维化（≥S2）；</w:t>
            </w:r>
            <w:r>
              <w:rPr>
                <w:rFonts w:hint="eastAsia" w:ascii="Times New Roman" w:hAnsi="Times New Roman" w:eastAsia="方正仿宋_GBK" w:cs="方正仿宋_GBK"/>
                <w:b w:val="0"/>
                <w:bCs w:val="0"/>
                <w:color w:val="000000" w:themeColor="text1"/>
                <w:kern w:val="0"/>
                <w:szCs w:val="21"/>
                <w:lang w:bidi="ar"/>
                <w14:textFill>
                  <w14:solidFill>
                    <w14:schemeClr w14:val="tx1"/>
                  </w14:solidFill>
                </w14:textFill>
              </w:rPr>
              <w:br w:type="textWrapping"/>
            </w:r>
            <w:r>
              <w:rPr>
                <w:rFonts w:hint="eastAsia" w:ascii="Times New Roman" w:hAnsi="Times New Roman" w:eastAsia="方正仿宋_GBK" w:cs="方正仿宋_GBK"/>
                <w:b w:val="0"/>
                <w:bCs w:val="0"/>
                <w:color w:val="000000" w:themeColor="text1"/>
                <w:kern w:val="0"/>
                <w:szCs w:val="21"/>
                <w:lang w:bidi="ar"/>
                <w14:textFill>
                  <w14:solidFill>
                    <w14:schemeClr w14:val="tx1"/>
                  </w14:solidFill>
                </w14:textFill>
              </w:rPr>
              <w:t>2.有乙肝肝炎肝硬化或HCC家族史；</w:t>
            </w:r>
            <w:r>
              <w:rPr>
                <w:rFonts w:hint="eastAsia" w:ascii="Times New Roman" w:hAnsi="Times New Roman" w:eastAsia="方正仿宋_GBK" w:cs="方正仿宋_GBK"/>
                <w:b w:val="0"/>
                <w:bCs w:val="0"/>
                <w:color w:val="000000" w:themeColor="text1"/>
                <w:kern w:val="0"/>
                <w:szCs w:val="21"/>
                <w:lang w:bidi="ar"/>
                <w14:textFill>
                  <w14:solidFill>
                    <w14:schemeClr w14:val="tx1"/>
                  </w14:solidFill>
                </w14:textFill>
              </w:rPr>
              <w:br w:type="textWrapping"/>
            </w:r>
            <w:r>
              <w:rPr>
                <w:rFonts w:hint="eastAsia" w:ascii="Times New Roman" w:hAnsi="Times New Roman" w:eastAsia="方正仿宋_GBK" w:cs="方正仿宋_GBK"/>
                <w:b w:val="0"/>
                <w:bCs w:val="0"/>
                <w:color w:val="000000" w:themeColor="text1"/>
                <w:kern w:val="0"/>
                <w:szCs w:val="21"/>
                <w:lang w:bidi="ar"/>
                <w14:textFill>
                  <w14:solidFill>
                    <w14:schemeClr w14:val="tx1"/>
                  </w14:solidFill>
                </w14:textFill>
              </w:rPr>
              <w:t>3.年龄&gt;30岁；</w:t>
            </w:r>
            <w:r>
              <w:rPr>
                <w:rFonts w:hint="eastAsia" w:ascii="Times New Roman" w:hAnsi="Times New Roman" w:eastAsia="方正仿宋_GBK" w:cs="方正仿宋_GBK"/>
                <w:b w:val="0"/>
                <w:bCs w:val="0"/>
                <w:color w:val="000000" w:themeColor="text1"/>
                <w:kern w:val="0"/>
                <w:szCs w:val="21"/>
                <w:lang w:bidi="ar"/>
                <w14:textFill>
                  <w14:solidFill>
                    <w14:schemeClr w14:val="tx1"/>
                  </w14:solidFill>
                </w14:textFill>
              </w:rPr>
              <w:br w:type="textWrapping"/>
            </w:r>
            <w:r>
              <w:rPr>
                <w:rFonts w:hint="eastAsia" w:ascii="Times New Roman" w:hAnsi="Times New Roman" w:eastAsia="方正仿宋_GBK" w:cs="方正仿宋_GBK"/>
                <w:b w:val="0"/>
                <w:bCs w:val="0"/>
                <w:color w:val="000000" w:themeColor="text1"/>
                <w:kern w:val="0"/>
                <w:szCs w:val="21"/>
                <w:lang w:bidi="ar"/>
                <w14:textFill>
                  <w14:solidFill>
                    <w14:schemeClr w14:val="tx1"/>
                  </w14:solidFill>
                </w14:textFill>
              </w:rPr>
              <w:t>4.有HBV相关的肝外表现（肾小球肾炎、血管炎、结节性多动脉炎、周围神经病变等）。</w:t>
            </w:r>
            <w:r>
              <w:rPr>
                <w:rFonts w:hint="eastAsia" w:ascii="Times New Roman" w:hAnsi="Times New Roman" w:eastAsia="方正仿宋_GBK" w:cs="方正仿宋_GBK"/>
                <w:b w:val="0"/>
                <w:bCs w:val="0"/>
                <w:color w:val="000000" w:themeColor="text1"/>
                <w:kern w:val="0"/>
                <w:szCs w:val="21"/>
                <w:lang w:bidi="ar"/>
                <w14:textFill>
                  <w14:solidFill>
                    <w14:schemeClr w14:val="tx1"/>
                  </w14:solidFill>
                </w14:textFill>
              </w:rPr>
              <w:br w:type="textWrapping"/>
            </w:r>
            <w:r>
              <w:rPr>
                <w:rFonts w:hint="eastAsia" w:ascii="Times New Roman" w:hAnsi="Times New Roman" w:eastAsia="方正仿宋_GBK" w:cs="方正仿宋_GBK"/>
                <w:b w:val="0"/>
                <w:bCs w:val="0"/>
                <w:color w:val="000000" w:themeColor="text1"/>
                <w:kern w:val="0"/>
                <w:szCs w:val="21"/>
                <w:lang w:bidi="ar"/>
                <w14:textFill>
                  <w14:solidFill>
                    <w14:schemeClr w14:val="tx1"/>
                  </w14:solidFill>
                </w14:textFill>
              </w:rPr>
              <w:t>二、血清HBV DNA阳性、 ALT持续异常（＞ ULN）且排除其他原因所致者。</w:t>
            </w:r>
            <w:r>
              <w:rPr>
                <w:rFonts w:hint="eastAsia" w:ascii="Times New Roman" w:hAnsi="Times New Roman" w:eastAsia="方正仿宋_GBK" w:cs="方正仿宋_GBK"/>
                <w:b w:val="0"/>
                <w:bCs w:val="0"/>
                <w:color w:val="000000" w:themeColor="text1"/>
                <w:kern w:val="0"/>
                <w:szCs w:val="21"/>
                <w:lang w:bidi="ar"/>
                <w14:textFill>
                  <w14:solidFill>
                    <w14:schemeClr w14:val="tx1"/>
                  </w14:solidFill>
                </w14:textFill>
              </w:rPr>
              <w:br w:type="textWrapping"/>
            </w:r>
            <w:r>
              <w:rPr>
                <w:rFonts w:hint="eastAsia" w:ascii="Times New Roman" w:hAnsi="Times New Roman" w:eastAsia="方正仿宋_GBK" w:cs="方正仿宋_GBK"/>
                <w:b w:val="0"/>
                <w:bCs w:val="0"/>
                <w:color w:val="000000" w:themeColor="text1"/>
                <w:kern w:val="0"/>
                <w:szCs w:val="21"/>
                <w:lang w:bidi="ar"/>
                <w14:textFill>
                  <w14:solidFill>
                    <w14:schemeClr w14:val="tx1"/>
                  </w14:solidFill>
                </w14:textFill>
              </w:rPr>
              <w:t>三、HBsAg阳性，有以下情况之一：</w:t>
            </w:r>
            <w:r>
              <w:rPr>
                <w:rFonts w:hint="eastAsia" w:ascii="Times New Roman" w:hAnsi="Times New Roman" w:eastAsia="方正仿宋_GBK" w:cs="方正仿宋_GBK"/>
                <w:b w:val="0"/>
                <w:bCs w:val="0"/>
                <w:color w:val="000000" w:themeColor="text1"/>
                <w:kern w:val="0"/>
                <w:szCs w:val="21"/>
                <w:lang w:bidi="ar"/>
                <w14:textFill>
                  <w14:solidFill>
                    <w14:schemeClr w14:val="tx1"/>
                  </w14:solidFill>
                </w14:textFill>
              </w:rPr>
              <w:br w:type="textWrapping"/>
            </w:r>
            <w:r>
              <w:rPr>
                <w:rFonts w:hint="eastAsia" w:ascii="Times New Roman" w:hAnsi="Times New Roman" w:eastAsia="方正仿宋_GBK" w:cs="方正仿宋_GBK"/>
                <w:b w:val="0"/>
                <w:bCs w:val="0"/>
                <w:color w:val="000000" w:themeColor="text1"/>
                <w:kern w:val="0"/>
                <w:szCs w:val="21"/>
                <w:lang w:bidi="ar"/>
                <w14:textFill>
                  <w14:solidFill>
                    <w14:schemeClr w14:val="tx1"/>
                  </w14:solidFill>
                </w14:textFill>
              </w:rPr>
              <w:t>1.失代偿期肝硬化；</w:t>
            </w:r>
            <w:r>
              <w:rPr>
                <w:rFonts w:hint="eastAsia" w:ascii="Times New Roman" w:hAnsi="Times New Roman" w:eastAsia="方正仿宋_GBK" w:cs="方正仿宋_GBK"/>
                <w:b w:val="0"/>
                <w:bCs w:val="0"/>
                <w:color w:val="000000" w:themeColor="text1"/>
                <w:kern w:val="0"/>
                <w:szCs w:val="21"/>
                <w:lang w:bidi="ar"/>
                <w14:textFill>
                  <w14:solidFill>
                    <w14:schemeClr w14:val="tx1"/>
                  </w14:solidFill>
                </w14:textFill>
              </w:rPr>
              <w:br w:type="textWrapping"/>
            </w:r>
            <w:r>
              <w:rPr>
                <w:rFonts w:hint="eastAsia" w:ascii="Times New Roman" w:hAnsi="Times New Roman" w:eastAsia="方正仿宋_GBK" w:cs="方正仿宋_GBK"/>
                <w:b w:val="0"/>
                <w:bCs w:val="0"/>
                <w:color w:val="000000" w:themeColor="text1"/>
                <w:kern w:val="0"/>
                <w:szCs w:val="21"/>
                <w:lang w:bidi="ar"/>
                <w14:textFill>
                  <w14:solidFill>
                    <w14:schemeClr w14:val="tx1"/>
                  </w14:solidFill>
                </w14:textFill>
              </w:rPr>
              <w:t>2.肝衰竭；</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3.肝移植；</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4.HBV相关HCC；</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5.接受化疗治疗、靶向药物及免疫抑制剂治疗；</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6.合并HCV感染，使用DAA治疗。</w:t>
            </w:r>
          </w:p>
        </w:tc>
      </w:tr>
      <w:tr>
        <w:tblPrEx>
          <w:tblCellMar>
            <w:top w:w="0" w:type="dxa"/>
            <w:left w:w="108" w:type="dxa"/>
            <w:bottom w:w="0" w:type="dxa"/>
            <w:right w:w="108" w:type="dxa"/>
          </w:tblCellMar>
        </w:tblPrEx>
        <w:trPr>
          <w:trHeight w:val="91"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2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医保目录药品分类代码</w:t>
            </w:r>
          </w:p>
        </w:tc>
        <w:tc>
          <w:tcPr>
            <w:tcW w:w="3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病因治疗</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XJ05</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全身用抗病毒药</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XL03AB</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干扰素类</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对症治疗</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XA05A</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胆治疗药</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XA16</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其他消化道及代谢用药</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XA05B</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肝脏治疗药，抗脂肪肝药</w:t>
            </w:r>
          </w:p>
        </w:tc>
      </w:tr>
      <w:tr>
        <w:tblPrEx>
          <w:tblCellMar>
            <w:top w:w="0" w:type="dxa"/>
            <w:left w:w="108" w:type="dxa"/>
            <w:bottom w:w="0" w:type="dxa"/>
            <w:right w:w="108" w:type="dxa"/>
          </w:tblCellMar>
        </w:tblPrEx>
        <w:trPr>
          <w:trHeight w:val="91"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2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2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医保目录医疗服务项目编码</w:t>
            </w:r>
          </w:p>
        </w:tc>
        <w:tc>
          <w:tcPr>
            <w:tcW w:w="35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血常规</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250101015</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血细胞分析</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尿常规</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250102035</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尿液分析</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肝功能</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250305001</w:t>
            </w:r>
          </w:p>
        </w:tc>
        <w:tc>
          <w:tcPr>
            <w:tcW w:w="3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血清总胆红素测定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250305002</w:t>
            </w:r>
          </w:p>
        </w:tc>
        <w:tc>
          <w:tcPr>
            <w:tcW w:w="3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血清直接胆红素测定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250305003</w:t>
            </w:r>
          </w:p>
        </w:tc>
        <w:tc>
          <w:tcPr>
            <w:tcW w:w="3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血清间接胆红素测定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250305007</w:t>
            </w:r>
          </w:p>
        </w:tc>
        <w:tc>
          <w:tcPr>
            <w:tcW w:w="3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血清丙氨酸氨基转移酶测定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250305008</w:t>
            </w:r>
          </w:p>
        </w:tc>
        <w:tc>
          <w:tcPr>
            <w:tcW w:w="3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血清天门冬氨酸氨基转移酶测定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250305009</w:t>
            </w:r>
          </w:p>
        </w:tc>
        <w:tc>
          <w:tcPr>
            <w:tcW w:w="3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血清γ-谷氨酰基转移酶测定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250305011</w:t>
            </w:r>
          </w:p>
        </w:tc>
        <w:tc>
          <w:tcPr>
            <w:tcW w:w="3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血清碱性磷酸酶测定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250301001</w:t>
            </w:r>
          </w:p>
        </w:tc>
        <w:tc>
          <w:tcPr>
            <w:tcW w:w="3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血清总蛋白测定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250301002</w:t>
            </w:r>
          </w:p>
        </w:tc>
        <w:tc>
          <w:tcPr>
            <w:tcW w:w="3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血清白蛋白测定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250305005</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血清总胆汁酸测定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肾功能</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250307001</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尿素测定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250307002</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肌酐测定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250307009</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β2微球蛋白测定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甲状腺功能</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250310001</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血清促甲状腺激素测定(TSH)</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250310010</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血清甲状腺素(T4)测定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250310011</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血清三碘甲状原氨酸(T3)测定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电解质</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250304001</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钾测定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250304002</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钠测定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250304003</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氯测定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250304004</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钙测定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250304005</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无机磷测定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肝纤维化检测</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250305018</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血清Ⅳ型胶原测定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250305019</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血清Ⅲ型胶原测定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250305020</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血清层粘连蛋白测定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250305022</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血清透明质酸酶测定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HBV_DNA检测</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250403003</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乙型肝炎DNA测定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抗核抗体测定</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250402002</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抗核抗体测定(ANA)</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甲胎蛋白测定</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250404002</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甲胎蛋白测定(AFP)</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乙肝两对半（定性、定量）</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250403004</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乙型肝炎表面抗原测定(HBsAg)</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250403005</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乙型肝炎表面抗体测定(AntiHBs)</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250403006</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乙型肝炎e抗原测定(HBeAg)</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250403007</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乙型肝炎e抗体测定(AntiHBe)</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250403009</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乙型肝炎核心抗体测定(AntiHBc)</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骨密度（医保基金支付不超过1次/年）</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230200055</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骨密度测定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腹部超声</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220301001b</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彩色多普勒超声常规检查(腹部)</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220201002.20</w:t>
            </w:r>
          </w:p>
        </w:tc>
        <w:tc>
          <w:tcPr>
            <w:tcW w:w="3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B超常规检查(腹部)</w:t>
            </w:r>
          </w:p>
        </w:tc>
      </w:tr>
    </w:tbl>
    <w:p>
      <w:pPr>
        <w:spacing w:line="340" w:lineRule="exac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pPr>
        <w:tabs>
          <w:tab w:val="left" w:pos="737"/>
        </w:tabs>
        <w:spacing w:line="340" w:lineRule="exact"/>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1</w:t>
      </w:r>
      <w:r>
        <w:rPr>
          <w:rFonts w:ascii="Times New Roman" w:hAnsi="Times New Roman"/>
          <w:color w:val="000000" w:themeColor="text1"/>
          <w:sz w:val="30"/>
          <w:szCs w:val="30"/>
          <w14:textFill>
            <w14:solidFill>
              <w14:schemeClr w14:val="tx1"/>
            </w14:solidFill>
          </w14:textFill>
        </w:rPr>
        <w:t>9.</w:t>
      </w:r>
      <w:r>
        <w:rPr>
          <w:rFonts w:ascii="Times New Roman" w:hAnsi="Times New Roman" w:eastAsia="黑体"/>
          <w:color w:val="000000" w:themeColor="text1"/>
          <w:sz w:val="30"/>
          <w:szCs w:val="30"/>
          <w14:textFill>
            <w14:solidFill>
              <w14:schemeClr w14:val="tx1"/>
            </w14:solidFill>
          </w14:textFill>
        </w:rPr>
        <w:t>丙型肝炎</w:t>
      </w:r>
    </w:p>
    <w:tbl>
      <w:tblPr>
        <w:tblStyle w:val="4"/>
        <w:tblW w:w="8798" w:type="dxa"/>
        <w:tblInd w:w="93" w:type="dxa"/>
        <w:tblLayout w:type="fixed"/>
        <w:tblCellMar>
          <w:top w:w="0" w:type="dxa"/>
          <w:left w:w="108" w:type="dxa"/>
          <w:bottom w:w="0" w:type="dxa"/>
          <w:right w:w="108" w:type="dxa"/>
        </w:tblCellMar>
      </w:tblPr>
      <w:tblGrid>
        <w:gridCol w:w="771"/>
        <w:gridCol w:w="2788"/>
        <w:gridCol w:w="1969"/>
        <w:gridCol w:w="3270"/>
      </w:tblGrid>
      <w:tr>
        <w:tblPrEx>
          <w:tblCellMar>
            <w:top w:w="0" w:type="dxa"/>
            <w:left w:w="108" w:type="dxa"/>
            <w:bottom w:w="0" w:type="dxa"/>
            <w:right w:w="108" w:type="dxa"/>
          </w:tblCellMar>
        </w:tblPrEx>
        <w:trPr>
          <w:trHeight w:val="91" w:hRule="atLeast"/>
        </w:trPr>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2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丙型肝炎</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B18.200</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慢性丙型病毒性肝炎</w:t>
            </w:r>
          </w:p>
        </w:tc>
      </w:tr>
      <w:tr>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B18.200x009</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病毒性肝炎丙型慢性淤疸型</w:t>
            </w:r>
          </w:p>
        </w:tc>
      </w:tr>
      <w:tr>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B18.200x011</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慢性活动性丙型病毒性肝炎</w:t>
            </w:r>
          </w:p>
        </w:tc>
      </w:tr>
      <w:tr>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B18.200x012</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慢性迁延性丙型病毒性肝炎</w:t>
            </w:r>
          </w:p>
        </w:tc>
      </w:tr>
      <w:tr>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B18.201</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慢性黄疸型丙型病毒性肝炎</w:t>
            </w:r>
          </w:p>
        </w:tc>
      </w:tr>
      <w:tr>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B18.202</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慢性轻度丙型病毒性肝炎</w:t>
            </w:r>
          </w:p>
        </w:tc>
      </w:tr>
      <w:tr>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B18.203</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慢性中度丙型病毒性肝炎</w:t>
            </w:r>
          </w:p>
        </w:tc>
      </w:tr>
      <w:tr>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B18.204</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慢性重度丙型病毒性肝炎</w:t>
            </w:r>
          </w:p>
        </w:tc>
      </w:tr>
      <w:tr>
        <w:tblPrEx>
          <w:tblCellMar>
            <w:top w:w="0" w:type="dxa"/>
            <w:left w:w="108" w:type="dxa"/>
            <w:bottom w:w="0" w:type="dxa"/>
            <w:right w:w="108" w:type="dxa"/>
          </w:tblCellMar>
        </w:tblPrEx>
        <w:trPr>
          <w:trHeight w:val="91"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80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HCV-RNA阳性（启动治疗后有效期为6个月，6个月后终止特病待遇，再次感染或复发后需要重新办理）</w:t>
            </w:r>
          </w:p>
        </w:tc>
      </w:tr>
      <w:tr>
        <w:tblPrEx>
          <w:tblCellMar>
            <w:top w:w="0" w:type="dxa"/>
            <w:left w:w="108" w:type="dxa"/>
            <w:bottom w:w="0" w:type="dxa"/>
            <w:right w:w="108" w:type="dxa"/>
          </w:tblCellMar>
        </w:tblPrEx>
        <w:trPr>
          <w:trHeight w:val="91" w:hRule="atLeast"/>
        </w:trPr>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医保目录药品分类代码</w:t>
            </w:r>
          </w:p>
        </w:tc>
        <w:tc>
          <w:tcPr>
            <w:tcW w:w="3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抗丙肝病毒治疗</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XJ05</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全身用抗病毒药（DAA）</w:t>
            </w:r>
          </w:p>
        </w:tc>
      </w:tr>
      <w:tr>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XL03AB</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干扰素（限对DAA治疗无效）</w:t>
            </w:r>
          </w:p>
        </w:tc>
      </w:tr>
      <w:tr>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对症治疗</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XA05A</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胆治疗药</w:t>
            </w:r>
          </w:p>
        </w:tc>
      </w:tr>
      <w:tr>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XA16</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其他消化道及代谢用药</w:t>
            </w:r>
          </w:p>
        </w:tc>
      </w:tr>
      <w:tr>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XA05B</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肝脏治疗药，抗脂肪肝药</w:t>
            </w:r>
          </w:p>
        </w:tc>
      </w:tr>
      <w:tr>
        <w:tblPrEx>
          <w:tblCellMar>
            <w:top w:w="0" w:type="dxa"/>
            <w:left w:w="108" w:type="dxa"/>
            <w:bottom w:w="0" w:type="dxa"/>
            <w:right w:w="108" w:type="dxa"/>
          </w:tblCellMar>
        </w:tblPrEx>
        <w:trPr>
          <w:trHeight w:val="91" w:hRule="atLeast"/>
        </w:trPr>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27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医保目录医疗服务项目编码</w:t>
            </w:r>
          </w:p>
        </w:tc>
        <w:tc>
          <w:tcPr>
            <w:tcW w:w="32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血常规</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250101015</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血细胞分析</w:t>
            </w:r>
          </w:p>
        </w:tc>
      </w:tr>
      <w:tr>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尿常规</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250102035</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尿液分析</w:t>
            </w:r>
          </w:p>
        </w:tc>
      </w:tr>
      <w:tr>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肝功能</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250305001</w:t>
            </w:r>
          </w:p>
        </w:tc>
        <w:tc>
          <w:tcPr>
            <w:tcW w:w="3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血清总胆红素测定</w:t>
            </w:r>
          </w:p>
        </w:tc>
      </w:tr>
      <w:tr>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250305002</w:t>
            </w:r>
          </w:p>
        </w:tc>
        <w:tc>
          <w:tcPr>
            <w:tcW w:w="3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血清直接胆红素测定</w:t>
            </w:r>
          </w:p>
        </w:tc>
      </w:tr>
      <w:tr>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250305003</w:t>
            </w:r>
          </w:p>
        </w:tc>
        <w:tc>
          <w:tcPr>
            <w:tcW w:w="3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血清间接胆红素测定</w:t>
            </w:r>
          </w:p>
        </w:tc>
      </w:tr>
      <w:tr>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250305007</w:t>
            </w:r>
          </w:p>
        </w:tc>
        <w:tc>
          <w:tcPr>
            <w:tcW w:w="3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血清丙氨酸氨基转移酶测定</w:t>
            </w:r>
          </w:p>
        </w:tc>
      </w:tr>
      <w:tr>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250305008</w:t>
            </w:r>
          </w:p>
        </w:tc>
        <w:tc>
          <w:tcPr>
            <w:tcW w:w="3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血清天门冬氨酸氨基转移酶测定</w:t>
            </w:r>
          </w:p>
        </w:tc>
      </w:tr>
      <w:tr>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250305009</w:t>
            </w:r>
          </w:p>
        </w:tc>
        <w:tc>
          <w:tcPr>
            <w:tcW w:w="3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血清γ-谷氨酰基转移酶测定</w:t>
            </w:r>
          </w:p>
        </w:tc>
      </w:tr>
      <w:tr>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250305011</w:t>
            </w:r>
          </w:p>
        </w:tc>
        <w:tc>
          <w:tcPr>
            <w:tcW w:w="3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血清碱性磷酸酶测定</w:t>
            </w:r>
          </w:p>
        </w:tc>
      </w:tr>
      <w:tr>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250301001</w:t>
            </w:r>
          </w:p>
        </w:tc>
        <w:tc>
          <w:tcPr>
            <w:tcW w:w="3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血清总蛋白测定</w:t>
            </w:r>
          </w:p>
        </w:tc>
      </w:tr>
      <w:tr>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250301002</w:t>
            </w:r>
          </w:p>
        </w:tc>
        <w:tc>
          <w:tcPr>
            <w:tcW w:w="3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血清白蛋白测定</w:t>
            </w:r>
          </w:p>
        </w:tc>
      </w:tr>
      <w:tr>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250305005</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血清总胆汁酸测定</w:t>
            </w:r>
          </w:p>
        </w:tc>
      </w:tr>
      <w:tr>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肾功能</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250307001</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尿素测定</w:t>
            </w:r>
          </w:p>
        </w:tc>
      </w:tr>
      <w:tr>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250307002</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肌酐测定</w:t>
            </w:r>
          </w:p>
        </w:tc>
      </w:tr>
      <w:tr>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250307009</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β2微球蛋白测定</w:t>
            </w:r>
          </w:p>
        </w:tc>
      </w:tr>
      <w:tr>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甲状腺功能</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250310001</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血清促甲状腺激素测定(TSH)</w:t>
            </w:r>
          </w:p>
        </w:tc>
      </w:tr>
      <w:tr>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250310010</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血清甲状腺素(T4)测定</w:t>
            </w:r>
          </w:p>
        </w:tc>
      </w:tr>
      <w:tr>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250310011</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血清三碘甲状原氨酸(T3)测定</w:t>
            </w:r>
          </w:p>
        </w:tc>
      </w:tr>
      <w:tr>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电解质</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250304001</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钾测定</w:t>
            </w:r>
          </w:p>
        </w:tc>
      </w:tr>
      <w:tr>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250304002</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钠测定</w:t>
            </w:r>
          </w:p>
        </w:tc>
      </w:tr>
      <w:tr>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250304003</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氯测定</w:t>
            </w:r>
          </w:p>
        </w:tc>
      </w:tr>
      <w:tr>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250304004</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钙测定</w:t>
            </w:r>
          </w:p>
        </w:tc>
      </w:tr>
      <w:tr>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250304005</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无机磷测定</w:t>
            </w:r>
          </w:p>
        </w:tc>
      </w:tr>
      <w:tr>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肝纤维化检测</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250305018</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血清Ⅳ型胶原测定</w:t>
            </w:r>
          </w:p>
        </w:tc>
      </w:tr>
      <w:tr>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250305019</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血清Ⅲ型胶原测定</w:t>
            </w:r>
          </w:p>
        </w:tc>
      </w:tr>
      <w:tr>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250305020</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血清层粘连蛋白测定</w:t>
            </w:r>
          </w:p>
        </w:tc>
      </w:tr>
      <w:tr>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250305022</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血清透明质酸酶测定</w:t>
            </w:r>
          </w:p>
        </w:tc>
      </w:tr>
      <w:tr>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抗核抗体测定</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250402002</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抗核抗体测定(ANA)</w:t>
            </w:r>
          </w:p>
        </w:tc>
      </w:tr>
      <w:tr>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甲胎蛋白测定</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250404002</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甲胎蛋白测定(AFP)</w:t>
            </w:r>
          </w:p>
        </w:tc>
      </w:tr>
      <w:tr>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乙肝两对半（定性、定量）</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250403003</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乙型肝炎DNA测定</w:t>
            </w:r>
          </w:p>
        </w:tc>
      </w:tr>
      <w:tr>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250403004</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乙型肝炎表面抗原测定(HBsAg)</w:t>
            </w:r>
          </w:p>
        </w:tc>
      </w:tr>
      <w:tr>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250403005</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乙型肝炎表面抗体测定(AntiHBs)</w:t>
            </w:r>
          </w:p>
        </w:tc>
      </w:tr>
      <w:tr>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250403006</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乙型肝炎e抗原测定(HBeAg)</w:t>
            </w:r>
          </w:p>
        </w:tc>
      </w:tr>
      <w:tr>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250403007</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乙型肝炎e抗体测定(AntiHBe)</w:t>
            </w:r>
          </w:p>
        </w:tc>
      </w:tr>
      <w:tr>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250403009</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乙型肝炎核心抗体测定(AntiHBc)</w:t>
            </w:r>
          </w:p>
        </w:tc>
      </w:tr>
      <w:tr>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丙型肝炎RNA</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250403013</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丙型肝炎RNA测定</w:t>
            </w:r>
          </w:p>
        </w:tc>
      </w:tr>
      <w:tr>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HCV基因分型</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250403071</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丙型肝炎病毒(HCV)基因分型</w:t>
            </w:r>
          </w:p>
        </w:tc>
      </w:tr>
      <w:tr>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腹部超声</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220301001b</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彩色多普勒超声常规检查(腹部)</w:t>
            </w:r>
          </w:p>
        </w:tc>
      </w:tr>
      <w:tr>
        <w:tblPrEx>
          <w:tblCellMar>
            <w:top w:w="0" w:type="dxa"/>
            <w:left w:w="108" w:type="dxa"/>
            <w:bottom w:w="0" w:type="dxa"/>
            <w:right w:w="108" w:type="dxa"/>
          </w:tblCellMar>
        </w:tblPrEx>
        <w:trPr>
          <w:trHeight w:val="9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rPr>
                <w:rFonts w:ascii="Times New Roman" w:hAnsi="Times New Roman" w:eastAsia="方正仿宋_GBK" w:cs="方正仿宋_GBK"/>
                <w:color w:val="000000" w:themeColor="text1"/>
                <w:szCs w:val="21"/>
                <w14:textFill>
                  <w14:solidFill>
                    <w14:schemeClr w14:val="tx1"/>
                  </w14:solidFill>
                </w14:textFill>
              </w:rPr>
            </w:pP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220201002.20</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B超常规检查(腹部)</w:t>
            </w:r>
          </w:p>
        </w:tc>
      </w:tr>
    </w:tbl>
    <w:p>
      <w:pPr>
        <w:spacing w:line="340" w:lineRule="exac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pPr>
        <w:tabs>
          <w:tab w:val="left" w:pos="737"/>
        </w:tabs>
        <w:spacing w:line="340" w:lineRule="exact"/>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2</w:t>
      </w:r>
      <w:r>
        <w:rPr>
          <w:rFonts w:ascii="Times New Roman" w:hAnsi="Times New Roman"/>
          <w:color w:val="000000" w:themeColor="text1"/>
          <w:sz w:val="30"/>
          <w:szCs w:val="30"/>
          <w14:textFill>
            <w14:solidFill>
              <w14:schemeClr w14:val="tx1"/>
            </w14:solidFill>
          </w14:textFill>
        </w:rPr>
        <w:t>0.</w:t>
      </w:r>
      <w:r>
        <w:rPr>
          <w:rFonts w:ascii="Times New Roman" w:hAnsi="Times New Roman" w:eastAsia="黑体"/>
          <w:color w:val="000000" w:themeColor="text1"/>
          <w:sz w:val="30"/>
          <w:szCs w:val="30"/>
          <w14:textFill>
            <w14:solidFill>
              <w14:schemeClr w14:val="tx1"/>
            </w14:solidFill>
          </w14:textFill>
        </w:rPr>
        <w:t>真性红细胞增多症</w:t>
      </w:r>
    </w:p>
    <w:tbl>
      <w:tblPr>
        <w:tblStyle w:val="4"/>
        <w:tblW w:w="8691" w:type="dxa"/>
        <w:tblInd w:w="93" w:type="dxa"/>
        <w:tblLayout w:type="fixed"/>
        <w:tblCellMar>
          <w:top w:w="0" w:type="dxa"/>
          <w:left w:w="108" w:type="dxa"/>
          <w:bottom w:w="0" w:type="dxa"/>
          <w:right w:w="108" w:type="dxa"/>
        </w:tblCellMar>
      </w:tblPr>
      <w:tblGrid>
        <w:gridCol w:w="728"/>
        <w:gridCol w:w="3030"/>
        <w:gridCol w:w="1948"/>
        <w:gridCol w:w="2985"/>
      </w:tblGrid>
      <w:tr>
        <w:tblPrEx>
          <w:tblCellMar>
            <w:top w:w="0" w:type="dxa"/>
            <w:left w:w="108" w:type="dxa"/>
            <w:bottom w:w="0" w:type="dxa"/>
            <w:right w:w="108" w:type="dxa"/>
          </w:tblCellMar>
        </w:tblPrEx>
        <w:trPr>
          <w:trHeight w:val="90" w:hRule="atLeast"/>
        </w:trPr>
        <w:tc>
          <w:tcPr>
            <w:tcW w:w="7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3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真性红细胞增多症</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D45.x00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真性红细胞增多症</w:t>
            </w:r>
          </w:p>
        </w:tc>
      </w:tr>
      <w:tr>
        <w:tblPrEx>
          <w:tblCellMar>
            <w:top w:w="0" w:type="dxa"/>
            <w:left w:w="108" w:type="dxa"/>
            <w:bottom w:w="0" w:type="dxa"/>
            <w:right w:w="108" w:type="dxa"/>
          </w:tblCellMar>
        </w:tblPrEx>
        <w:trPr>
          <w:trHeight w:val="9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79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一、临床有多血症表现：</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皮肤、黏膜呈绛红色，尤以两颊、口唇、眼结合膜、手掌等处为著。</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二、实验室检查：</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（一）血红蛋白测定及红细胞计数明显增加；</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（二）未治前多次血红蛋白≥180g/L(男性)，或≥170g/L(女性)，红细胞计数≥6.5×1012/L(男性)或≥6.0×1012/L（女性）；</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（三）红细胞比积增高，男性≥0.54，女性≥0.50；</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（四）骨髓象提示增生明显活跃，粒、红与巨核细胞系均增生，尤以红系细胞为显著；</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（五）骨髓活检：红系显著增生。</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三、能除外继发性红细胞增多症，如慢性肺脏疾病引起的红细胞增多，先天性心脏病等。</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四、能除外相对性红细胞增多症。</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五、CMPN相关基因检查阳性。</w:t>
            </w:r>
          </w:p>
        </w:tc>
      </w:tr>
      <w:tr>
        <w:tblPrEx>
          <w:tblCellMar>
            <w:top w:w="0" w:type="dxa"/>
            <w:left w:w="108" w:type="dxa"/>
            <w:bottom w:w="0" w:type="dxa"/>
            <w:right w:w="108" w:type="dxa"/>
          </w:tblCellMar>
        </w:tblPrEx>
        <w:trPr>
          <w:trHeight w:val="90" w:hRule="atLeast"/>
        </w:trPr>
        <w:tc>
          <w:tcPr>
            <w:tcW w:w="7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Style w:val="12"/>
                <w:rFonts w:hint="eastAsia" w:ascii="Times New Roman" w:hAnsi="Times New Roman" w:eastAsia="方正黑体_GBK"/>
                <w:color w:val="000000" w:themeColor="text1"/>
                <w:sz w:val="21"/>
                <w:szCs w:val="21"/>
                <w:lang w:eastAsia="zh-CN" w:bidi="ar"/>
                <w14:textFill>
                  <w14:solidFill>
                    <w14:schemeClr w14:val="tx1"/>
                  </w14:solidFill>
                </w14:textFill>
              </w:rPr>
              <w:t>药品类别</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9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医保目录药品分类代码</w:t>
            </w:r>
          </w:p>
        </w:tc>
        <w:tc>
          <w:tcPr>
            <w:tcW w:w="29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骨髓抑制药物</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XL01XX</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其他抗肿瘤药</w:t>
            </w:r>
          </w:p>
        </w:tc>
      </w:tr>
      <w:tr>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干扰素类药物</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XL03AB</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干扰素类</w:t>
            </w:r>
          </w:p>
        </w:tc>
      </w:tr>
      <w:tr>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JAK抑制剂</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XL01EJ</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Janus相关激酶(JAK)抑制剂</w:t>
            </w:r>
          </w:p>
        </w:tc>
      </w:tr>
      <w:tr>
        <w:tblPrEx>
          <w:tblCellMar>
            <w:top w:w="0" w:type="dxa"/>
            <w:left w:w="108" w:type="dxa"/>
            <w:bottom w:w="0" w:type="dxa"/>
            <w:right w:w="108" w:type="dxa"/>
          </w:tblCellMar>
        </w:tblPrEx>
        <w:trPr>
          <w:trHeight w:val="9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红斑性肢痛用药（阿司匹林）</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XB01AC</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血小板凝聚抑制剂，肝素除外</w:t>
            </w:r>
          </w:p>
        </w:tc>
      </w:tr>
      <w:tr>
        <w:tblPrEx>
          <w:tblCellMar>
            <w:top w:w="0" w:type="dxa"/>
            <w:left w:w="108" w:type="dxa"/>
            <w:bottom w:w="0" w:type="dxa"/>
            <w:right w:w="108" w:type="dxa"/>
          </w:tblCellMar>
        </w:tblPrEx>
        <w:trPr>
          <w:trHeight w:val="90" w:hRule="atLeast"/>
        </w:trPr>
        <w:tc>
          <w:tcPr>
            <w:tcW w:w="728" w:type="dxa"/>
            <w:vMerge w:val="restart"/>
            <w:tcBorders>
              <w:top w:val="nil"/>
              <w:left w:val="single" w:color="auto"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30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9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医保目录医疗服务项目编码</w:t>
            </w:r>
          </w:p>
        </w:tc>
        <w:tc>
          <w:tcPr>
            <w:tcW w:w="29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0"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血常规</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血细胞分析</w:t>
            </w:r>
          </w:p>
        </w:tc>
      </w:tr>
      <w:tr>
        <w:tblPrEx>
          <w:tblCellMar>
            <w:top w:w="0" w:type="dxa"/>
            <w:left w:w="108" w:type="dxa"/>
            <w:bottom w:w="0" w:type="dxa"/>
            <w:right w:w="108" w:type="dxa"/>
          </w:tblCellMar>
        </w:tblPrEx>
        <w:trPr>
          <w:trHeight w:val="90"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肝功能</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血清总胆红素测定</w:t>
            </w:r>
          </w:p>
        </w:tc>
      </w:tr>
      <w:tr>
        <w:tblPrEx>
          <w:tblCellMar>
            <w:top w:w="0" w:type="dxa"/>
            <w:left w:w="108" w:type="dxa"/>
            <w:bottom w:w="0" w:type="dxa"/>
            <w:right w:w="108" w:type="dxa"/>
          </w:tblCellMar>
        </w:tblPrEx>
        <w:trPr>
          <w:trHeight w:val="90"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血清直接胆红素测定</w:t>
            </w:r>
          </w:p>
        </w:tc>
      </w:tr>
      <w:tr>
        <w:tblPrEx>
          <w:tblCellMar>
            <w:top w:w="0" w:type="dxa"/>
            <w:left w:w="108" w:type="dxa"/>
            <w:bottom w:w="0" w:type="dxa"/>
            <w:right w:w="108" w:type="dxa"/>
          </w:tblCellMar>
        </w:tblPrEx>
        <w:trPr>
          <w:trHeight w:val="90"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血清间接胆红素测定</w:t>
            </w:r>
          </w:p>
        </w:tc>
      </w:tr>
      <w:tr>
        <w:tblPrEx>
          <w:tblCellMar>
            <w:top w:w="0" w:type="dxa"/>
            <w:left w:w="108" w:type="dxa"/>
            <w:bottom w:w="0" w:type="dxa"/>
            <w:right w:w="108" w:type="dxa"/>
          </w:tblCellMar>
        </w:tblPrEx>
        <w:trPr>
          <w:trHeight w:val="90"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血清丙氨酸氨基转移酶测定</w:t>
            </w:r>
          </w:p>
        </w:tc>
      </w:tr>
      <w:tr>
        <w:tblPrEx>
          <w:tblCellMar>
            <w:top w:w="0" w:type="dxa"/>
            <w:left w:w="108" w:type="dxa"/>
            <w:bottom w:w="0" w:type="dxa"/>
            <w:right w:w="108" w:type="dxa"/>
          </w:tblCellMar>
        </w:tblPrEx>
        <w:trPr>
          <w:trHeight w:val="90"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血清天门冬氨酸氨基转移酶测定</w:t>
            </w:r>
          </w:p>
        </w:tc>
      </w:tr>
      <w:tr>
        <w:tblPrEx>
          <w:tblCellMar>
            <w:top w:w="0" w:type="dxa"/>
            <w:left w:w="108" w:type="dxa"/>
            <w:bottom w:w="0" w:type="dxa"/>
            <w:right w:w="108" w:type="dxa"/>
          </w:tblCellMar>
        </w:tblPrEx>
        <w:trPr>
          <w:trHeight w:val="90"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血清γ-谷氨酰基转移酶测定</w:t>
            </w:r>
          </w:p>
        </w:tc>
      </w:tr>
      <w:tr>
        <w:tblPrEx>
          <w:tblCellMar>
            <w:top w:w="0" w:type="dxa"/>
            <w:left w:w="108" w:type="dxa"/>
            <w:bottom w:w="0" w:type="dxa"/>
            <w:right w:w="108" w:type="dxa"/>
          </w:tblCellMar>
        </w:tblPrEx>
        <w:trPr>
          <w:trHeight w:val="90"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血清碱性磷酸酶测定</w:t>
            </w:r>
          </w:p>
        </w:tc>
      </w:tr>
      <w:tr>
        <w:tblPrEx>
          <w:tblCellMar>
            <w:top w:w="0" w:type="dxa"/>
            <w:left w:w="108" w:type="dxa"/>
            <w:bottom w:w="0" w:type="dxa"/>
            <w:right w:w="108" w:type="dxa"/>
          </w:tblCellMar>
        </w:tblPrEx>
        <w:trPr>
          <w:trHeight w:val="90"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血清总蛋白测定</w:t>
            </w:r>
          </w:p>
        </w:tc>
      </w:tr>
      <w:tr>
        <w:tblPrEx>
          <w:tblCellMar>
            <w:top w:w="0" w:type="dxa"/>
            <w:left w:w="108" w:type="dxa"/>
            <w:bottom w:w="0" w:type="dxa"/>
            <w:right w:w="108" w:type="dxa"/>
          </w:tblCellMar>
        </w:tblPrEx>
        <w:trPr>
          <w:trHeight w:val="90"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血清白蛋白测定</w:t>
            </w:r>
          </w:p>
        </w:tc>
      </w:tr>
      <w:tr>
        <w:tblPrEx>
          <w:tblCellMar>
            <w:top w:w="0" w:type="dxa"/>
            <w:left w:w="108" w:type="dxa"/>
            <w:bottom w:w="0" w:type="dxa"/>
            <w:right w:w="108" w:type="dxa"/>
          </w:tblCellMar>
        </w:tblPrEx>
        <w:trPr>
          <w:trHeight w:val="90" w:hRule="atLeast"/>
        </w:trPr>
        <w:tc>
          <w:tcPr>
            <w:tcW w:w="728" w:type="dxa"/>
            <w:vMerge w:val="continue"/>
            <w:tcBorders>
              <w:top w:val="nil"/>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030"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肾功能</w:t>
            </w:r>
          </w:p>
        </w:tc>
        <w:tc>
          <w:tcPr>
            <w:tcW w:w="194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250307001</w:t>
            </w:r>
          </w:p>
        </w:tc>
        <w:tc>
          <w:tcPr>
            <w:tcW w:w="298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尿素测定</w:t>
            </w:r>
          </w:p>
        </w:tc>
      </w:tr>
      <w:tr>
        <w:tblPrEx>
          <w:tblCellMar>
            <w:top w:w="0" w:type="dxa"/>
            <w:left w:w="108" w:type="dxa"/>
            <w:bottom w:w="0" w:type="dxa"/>
            <w:right w:w="108" w:type="dxa"/>
          </w:tblCellMar>
        </w:tblPrEx>
        <w:trPr>
          <w:trHeight w:val="90" w:hRule="atLeast"/>
        </w:trPr>
        <w:tc>
          <w:tcPr>
            <w:tcW w:w="72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0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8"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250307002</w:t>
            </w:r>
          </w:p>
        </w:tc>
        <w:tc>
          <w:tcPr>
            <w:tcW w:w="2985"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肌酐测定</w:t>
            </w:r>
          </w:p>
        </w:tc>
      </w:tr>
      <w:tr>
        <w:tblPrEx>
          <w:tblCellMar>
            <w:top w:w="0" w:type="dxa"/>
            <w:left w:w="108" w:type="dxa"/>
            <w:bottom w:w="0" w:type="dxa"/>
            <w:right w:w="108" w:type="dxa"/>
          </w:tblCellMar>
        </w:tblPrEx>
        <w:trPr>
          <w:trHeight w:val="90" w:hRule="atLeast"/>
        </w:trPr>
        <w:tc>
          <w:tcPr>
            <w:tcW w:w="728"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03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250307005</w:t>
            </w:r>
          </w:p>
        </w:tc>
        <w:tc>
          <w:tcPr>
            <w:tcW w:w="298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血清尿酸测定</w:t>
            </w:r>
          </w:p>
        </w:tc>
      </w:tr>
      <w:tr>
        <w:tblPrEx>
          <w:tblCellMar>
            <w:top w:w="0" w:type="dxa"/>
            <w:left w:w="108" w:type="dxa"/>
            <w:bottom w:w="0" w:type="dxa"/>
            <w:right w:w="108" w:type="dxa"/>
          </w:tblCellMar>
        </w:tblPrEx>
        <w:trPr>
          <w:trHeight w:val="90"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骨髓细胞形态学</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310800001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骨髓穿刺术</w:t>
            </w:r>
          </w:p>
        </w:tc>
      </w:tr>
      <w:tr>
        <w:tblPrEx>
          <w:tblCellMar>
            <w:top w:w="0" w:type="dxa"/>
            <w:left w:w="108" w:type="dxa"/>
            <w:bottom w:w="0" w:type="dxa"/>
            <w:right w:w="108" w:type="dxa"/>
          </w:tblCellMar>
        </w:tblPrEx>
        <w:trPr>
          <w:trHeight w:val="90"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250201007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骨髓特殊染色及酶组织化学染色检查</w:t>
            </w:r>
          </w:p>
        </w:tc>
      </w:tr>
      <w:tr>
        <w:tblPrEx>
          <w:tblCellMar>
            <w:top w:w="0" w:type="dxa"/>
            <w:left w:w="108" w:type="dxa"/>
            <w:bottom w:w="0" w:type="dxa"/>
            <w:right w:w="108" w:type="dxa"/>
          </w:tblCellMar>
        </w:tblPrEx>
        <w:trPr>
          <w:trHeight w:val="90"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250201001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骨髓涂片细胞学检验</w:t>
            </w:r>
          </w:p>
        </w:tc>
      </w:tr>
      <w:tr>
        <w:tblPrEx>
          <w:tblCellMar>
            <w:top w:w="0" w:type="dxa"/>
            <w:left w:w="108" w:type="dxa"/>
            <w:bottom w:w="0" w:type="dxa"/>
            <w:right w:w="108" w:type="dxa"/>
          </w:tblCellMar>
        </w:tblPrEx>
        <w:trPr>
          <w:trHeight w:val="90"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骨髓活检</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310800002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骨髓活检术</w:t>
            </w:r>
          </w:p>
        </w:tc>
      </w:tr>
      <w:tr>
        <w:tblPrEx>
          <w:tblCellMar>
            <w:top w:w="0" w:type="dxa"/>
            <w:left w:w="108" w:type="dxa"/>
            <w:bottom w:w="0" w:type="dxa"/>
            <w:right w:w="108" w:type="dxa"/>
          </w:tblCellMar>
        </w:tblPrEx>
        <w:trPr>
          <w:trHeight w:val="90"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270800006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显微摄影术</w:t>
            </w:r>
          </w:p>
        </w:tc>
      </w:tr>
      <w:tr>
        <w:tblPrEx>
          <w:tblCellMar>
            <w:top w:w="0" w:type="dxa"/>
            <w:left w:w="108" w:type="dxa"/>
            <w:bottom w:w="0" w:type="dxa"/>
            <w:right w:w="108" w:type="dxa"/>
          </w:tblCellMar>
        </w:tblPrEx>
        <w:trPr>
          <w:trHeight w:val="90"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270500001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特殊染色及酶组织化学染色诊断</w:t>
            </w:r>
          </w:p>
        </w:tc>
      </w:tr>
      <w:tr>
        <w:tblPrEx>
          <w:tblCellMar>
            <w:top w:w="0" w:type="dxa"/>
            <w:left w:w="108" w:type="dxa"/>
            <w:bottom w:w="0" w:type="dxa"/>
            <w:right w:w="108" w:type="dxa"/>
          </w:tblCellMar>
        </w:tblPrEx>
        <w:trPr>
          <w:trHeight w:val="90"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270300004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骨髓组织活检检查与诊断</w:t>
            </w:r>
          </w:p>
        </w:tc>
      </w:tr>
      <w:tr>
        <w:tblPrEx>
          <w:tblCellMar>
            <w:top w:w="0" w:type="dxa"/>
            <w:left w:w="108" w:type="dxa"/>
            <w:bottom w:w="0" w:type="dxa"/>
            <w:right w:w="108" w:type="dxa"/>
          </w:tblCellMar>
        </w:tblPrEx>
        <w:trPr>
          <w:trHeight w:val="90"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D-二聚体</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250203066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血浆D-二聚体测定(D-Dimer)</w:t>
            </w:r>
          </w:p>
        </w:tc>
      </w:tr>
      <w:tr>
        <w:tblPrEx>
          <w:tblCellMar>
            <w:top w:w="0" w:type="dxa"/>
            <w:left w:w="108" w:type="dxa"/>
            <w:bottom w:w="0" w:type="dxa"/>
            <w:right w:w="108" w:type="dxa"/>
          </w:tblCellMar>
        </w:tblPrEx>
        <w:trPr>
          <w:trHeight w:val="90"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腹部超声</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220201002.20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B超常规检查(腹部)</w:t>
            </w:r>
          </w:p>
        </w:tc>
      </w:tr>
      <w:tr>
        <w:tblPrEx>
          <w:tblCellMar>
            <w:top w:w="0" w:type="dxa"/>
            <w:left w:w="108" w:type="dxa"/>
            <w:bottom w:w="0" w:type="dxa"/>
            <w:right w:w="108" w:type="dxa"/>
          </w:tblCellMar>
        </w:tblPrEx>
        <w:trPr>
          <w:trHeight w:val="90"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220301001b</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彩色多普勒超声常规检查(腹部)</w:t>
            </w:r>
          </w:p>
        </w:tc>
      </w:tr>
      <w:tr>
        <w:tblPrEx>
          <w:tblCellMar>
            <w:top w:w="0" w:type="dxa"/>
            <w:left w:w="108" w:type="dxa"/>
            <w:bottom w:w="0" w:type="dxa"/>
            <w:right w:w="108" w:type="dxa"/>
          </w:tblCellMar>
        </w:tblPrEx>
        <w:trPr>
          <w:trHeight w:val="90"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放血治疗</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430000021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放血疗法</w:t>
            </w:r>
          </w:p>
        </w:tc>
      </w:tr>
      <w:tr>
        <w:tblPrEx>
          <w:tblCellMar>
            <w:top w:w="0" w:type="dxa"/>
            <w:left w:w="108" w:type="dxa"/>
            <w:bottom w:w="0" w:type="dxa"/>
            <w:right w:w="108" w:type="dxa"/>
          </w:tblCellMar>
        </w:tblPrEx>
        <w:trPr>
          <w:trHeight w:val="90"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430000021.10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放血疗法(穴位放血)</w:t>
            </w:r>
          </w:p>
        </w:tc>
      </w:tr>
      <w:tr>
        <w:tblPrEx>
          <w:tblCellMar>
            <w:top w:w="0" w:type="dxa"/>
            <w:left w:w="108" w:type="dxa"/>
            <w:bottom w:w="0" w:type="dxa"/>
            <w:right w:w="108" w:type="dxa"/>
          </w:tblCellMar>
        </w:tblPrEx>
        <w:trPr>
          <w:trHeight w:val="90"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430000021.20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放血疗法(静脉放血)</w:t>
            </w:r>
          </w:p>
        </w:tc>
      </w:tr>
      <w:tr>
        <w:tblPrEx>
          <w:tblCellMar>
            <w:top w:w="0" w:type="dxa"/>
            <w:left w:w="108" w:type="dxa"/>
            <w:bottom w:w="0" w:type="dxa"/>
            <w:right w:w="108" w:type="dxa"/>
          </w:tblCellMar>
        </w:tblPrEx>
        <w:trPr>
          <w:trHeight w:val="90"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PBCD0101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穴位放血治疗</w:t>
            </w:r>
          </w:p>
        </w:tc>
      </w:tr>
      <w:tr>
        <w:tblPrEx>
          <w:tblCellMar>
            <w:top w:w="0" w:type="dxa"/>
            <w:left w:w="108" w:type="dxa"/>
            <w:bottom w:w="0" w:type="dxa"/>
            <w:right w:w="108" w:type="dxa"/>
          </w:tblCellMar>
        </w:tblPrEx>
        <w:trPr>
          <w:trHeight w:val="90" w:hRule="atLeast"/>
        </w:trPr>
        <w:tc>
          <w:tcPr>
            <w:tcW w:w="728" w:type="dxa"/>
            <w:vMerge w:val="continue"/>
            <w:tcBorders>
              <w:top w:val="nil"/>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PBCD0102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静脉放血治疗</w:t>
            </w:r>
          </w:p>
        </w:tc>
      </w:tr>
    </w:tbl>
    <w:p>
      <w:pPr>
        <w:spacing w:line="340" w:lineRule="exac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pPr>
        <w:tabs>
          <w:tab w:val="left" w:pos="737"/>
        </w:tabs>
        <w:spacing w:line="340" w:lineRule="exact"/>
        <w:rPr>
          <w:rFonts w:ascii="Times New Roman" w:hAnsi="Times New Roman" w:eastAsia="黑体"/>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2</w:t>
      </w:r>
      <w:r>
        <w:rPr>
          <w:rFonts w:ascii="Times New Roman" w:hAnsi="Times New Roman"/>
          <w:color w:val="000000" w:themeColor="text1"/>
          <w:sz w:val="30"/>
          <w:szCs w:val="30"/>
          <w14:textFill>
            <w14:solidFill>
              <w14:schemeClr w14:val="tx1"/>
            </w14:solidFill>
          </w14:textFill>
        </w:rPr>
        <w:t>1.</w:t>
      </w:r>
      <w:r>
        <w:rPr>
          <w:rFonts w:ascii="Times New Roman" w:hAnsi="Times New Roman" w:eastAsia="黑体"/>
          <w:color w:val="000000" w:themeColor="text1"/>
          <w:sz w:val="30"/>
          <w:szCs w:val="30"/>
          <w14:textFill>
            <w14:solidFill>
              <w14:schemeClr w14:val="tx1"/>
            </w14:solidFill>
          </w14:textFill>
        </w:rPr>
        <w:t>原发性血小板增多症</w:t>
      </w:r>
    </w:p>
    <w:tbl>
      <w:tblPr>
        <w:tblStyle w:val="4"/>
        <w:tblW w:w="8691" w:type="dxa"/>
        <w:tblInd w:w="93" w:type="dxa"/>
        <w:tblLayout w:type="fixed"/>
        <w:tblCellMar>
          <w:top w:w="0" w:type="dxa"/>
          <w:left w:w="108" w:type="dxa"/>
          <w:bottom w:w="0" w:type="dxa"/>
          <w:right w:w="108" w:type="dxa"/>
        </w:tblCellMar>
      </w:tblPr>
      <w:tblGrid>
        <w:gridCol w:w="833"/>
        <w:gridCol w:w="2820"/>
        <w:gridCol w:w="1993"/>
        <w:gridCol w:w="3045"/>
      </w:tblGrid>
      <w:tr>
        <w:tblPrEx>
          <w:tblCellMar>
            <w:top w:w="0" w:type="dxa"/>
            <w:left w:w="108" w:type="dxa"/>
            <w:bottom w:w="0" w:type="dxa"/>
            <w:right w:w="108" w:type="dxa"/>
          </w:tblCellMar>
        </w:tblPrEx>
        <w:trPr>
          <w:trHeight w:val="91" w:hRule="atLeast"/>
        </w:trPr>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原发性血小板增多症</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D47.300</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特发性（出血性）血小板增多症</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D69.200x007</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血小板增多性紫癜</w:t>
            </w:r>
          </w:p>
        </w:tc>
      </w:tr>
      <w:tr>
        <w:tblPrEx>
          <w:tblCellMar>
            <w:top w:w="0" w:type="dxa"/>
            <w:left w:w="108" w:type="dxa"/>
            <w:bottom w:w="0" w:type="dxa"/>
            <w:right w:w="108" w:type="dxa"/>
          </w:tblCellMar>
        </w:tblPrEx>
        <w:trPr>
          <w:trHeight w:val="91"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78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实验室检查：</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一、血小板计数﹥450×109/L。</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二、骨髓增生活跃或以上，或巨核细胞增多、体大、胞浆丰富，巨核细胞形态可无明显异常。</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三、白细胞计数和中性粒细胞增加，白细胞数常增多，但亦可正常。</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凡临床符合，血小板&gt;450×109/L，可除外其他骨髓增生性疾病和继发性血小板增多症者，即可诊断为原发性血小板增多症。</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四、CMPN相关基因检查阳性。</w:t>
            </w:r>
          </w:p>
        </w:tc>
      </w:tr>
      <w:tr>
        <w:tblPrEx>
          <w:tblCellMar>
            <w:top w:w="0" w:type="dxa"/>
            <w:left w:w="108" w:type="dxa"/>
            <w:bottom w:w="0" w:type="dxa"/>
            <w:right w:w="108" w:type="dxa"/>
          </w:tblCellMar>
        </w:tblPrEx>
        <w:trPr>
          <w:trHeight w:val="91" w:hRule="atLeast"/>
        </w:trPr>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医保目录药品分类代码</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骨髓抑制药物</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XL01XX</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其他抗肿瘤药</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干扰素类药物</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XL03AB</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干扰素类</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抗血小板药物（阿司匹林、双嘧达莫、氯吡格雷）</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XB01AC</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血小板凝聚抑制剂，肝素除外</w:t>
            </w:r>
          </w:p>
        </w:tc>
      </w:tr>
      <w:tr>
        <w:tblPrEx>
          <w:tblCellMar>
            <w:top w:w="0" w:type="dxa"/>
            <w:left w:w="108" w:type="dxa"/>
            <w:bottom w:w="0" w:type="dxa"/>
            <w:right w:w="108" w:type="dxa"/>
          </w:tblCellMar>
        </w:tblPrEx>
        <w:trPr>
          <w:trHeight w:val="91" w:hRule="atLeast"/>
        </w:trPr>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28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医保目录医疗服务项目编码</w:t>
            </w:r>
          </w:p>
        </w:tc>
        <w:tc>
          <w:tcPr>
            <w:tcW w:w="30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血常规</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250101015</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血细胞分析</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细胞形态学（或称外周血涂片）</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250101007</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异常红细胞形态检查</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250101012</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异常白细胞形态检查</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250101010</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白细胞分类计数(DC)</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270800006</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显微摄影术</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270500001</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特殊染色及酶组织化学染色诊断</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D-二聚体</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250203066</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血浆D-二聚体测定(D-Dimer)</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腹部超声</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220201002.20</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B超常规检查(腹部)</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220301001b</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彩色多普勒超声常规检查(腹部)</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骨髓细胞形态学</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310800001</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骨髓穿刺术</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250201007</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骨髓特殊染色及酶组织化学染色检查</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250201001</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骨髓涂片细胞学检验</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骨髓活检</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310800002</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骨髓活检术</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270800006</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显微摄影术</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270500001</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特殊染色及酶组织化学染色诊断</w:t>
            </w:r>
          </w:p>
        </w:tc>
      </w:tr>
      <w:tr>
        <w:tblPrEx>
          <w:tblCellMar>
            <w:top w:w="0" w:type="dxa"/>
            <w:left w:w="108" w:type="dxa"/>
            <w:bottom w:w="0" w:type="dxa"/>
            <w:right w:w="108" w:type="dxa"/>
          </w:tblCellMar>
        </w:tblPrEx>
        <w:trPr>
          <w:trHeight w:val="9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270300004</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骨髓组织活检检查与诊断</w:t>
            </w:r>
          </w:p>
        </w:tc>
      </w:tr>
    </w:tbl>
    <w:p>
      <w:pPr>
        <w:spacing w:line="340" w:lineRule="exac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pPr>
        <w:tabs>
          <w:tab w:val="left" w:pos="737"/>
        </w:tabs>
        <w:spacing w:line="340" w:lineRule="exact"/>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2</w:t>
      </w:r>
      <w:r>
        <w:rPr>
          <w:rFonts w:ascii="Times New Roman" w:hAnsi="Times New Roman"/>
          <w:color w:val="000000" w:themeColor="text1"/>
          <w:sz w:val="30"/>
          <w:szCs w:val="30"/>
          <w14:textFill>
            <w14:solidFill>
              <w14:schemeClr w14:val="tx1"/>
            </w14:solidFill>
          </w14:textFill>
        </w:rPr>
        <w:t>2.</w:t>
      </w:r>
      <w:r>
        <w:rPr>
          <w:rFonts w:ascii="Times New Roman" w:hAnsi="Times New Roman" w:eastAsia="黑体"/>
          <w:color w:val="000000" w:themeColor="text1"/>
          <w:sz w:val="30"/>
          <w:szCs w:val="30"/>
          <w14:textFill>
            <w14:solidFill>
              <w14:schemeClr w14:val="tx1"/>
            </w14:solidFill>
          </w14:textFill>
        </w:rPr>
        <w:t>原发性骨髓纤维化症</w:t>
      </w:r>
    </w:p>
    <w:tbl>
      <w:tblPr>
        <w:tblStyle w:val="4"/>
        <w:tblW w:w="8691" w:type="dxa"/>
        <w:tblInd w:w="93" w:type="dxa"/>
        <w:tblLayout w:type="fixed"/>
        <w:tblCellMar>
          <w:top w:w="0" w:type="dxa"/>
          <w:left w:w="108" w:type="dxa"/>
          <w:bottom w:w="0" w:type="dxa"/>
          <w:right w:w="108" w:type="dxa"/>
        </w:tblCellMar>
      </w:tblPr>
      <w:tblGrid>
        <w:gridCol w:w="743"/>
        <w:gridCol w:w="2655"/>
        <w:gridCol w:w="2008"/>
        <w:gridCol w:w="3285"/>
      </w:tblGrid>
      <w:tr>
        <w:tblPrEx>
          <w:tblCellMar>
            <w:top w:w="0" w:type="dxa"/>
            <w:left w:w="108" w:type="dxa"/>
            <w:bottom w:w="0" w:type="dxa"/>
            <w:right w:w="108" w:type="dxa"/>
          </w:tblCellMar>
        </w:tblPrEx>
        <w:trPr>
          <w:trHeight w:val="91" w:hRule="atLeast"/>
        </w:trPr>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1"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原发性骨髓纤维化症</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D47.401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慢性原发性（特发性）骨髓纤维化</w:t>
            </w:r>
          </w:p>
        </w:tc>
      </w:tr>
      <w:tr>
        <w:tblPrEx>
          <w:tblCellMar>
            <w:top w:w="0" w:type="dxa"/>
            <w:left w:w="108" w:type="dxa"/>
            <w:bottom w:w="0" w:type="dxa"/>
            <w:right w:w="108" w:type="dxa"/>
          </w:tblCellMar>
        </w:tblPrEx>
        <w:trPr>
          <w:trHeight w:val="91"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D47.402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（特发性）（髓样化生性）骨髓纤维化</w:t>
            </w:r>
          </w:p>
        </w:tc>
      </w:tr>
      <w:tr>
        <w:tblPrEx>
          <w:tblCellMar>
            <w:top w:w="0" w:type="dxa"/>
            <w:left w:w="108" w:type="dxa"/>
            <w:bottom w:w="0" w:type="dxa"/>
            <w:right w:w="108" w:type="dxa"/>
          </w:tblCellMar>
        </w:tblPrEx>
        <w:trPr>
          <w:trHeight w:val="91"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79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一、脾大。</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二、外周血象出现幼稚粒细胞和(或)有核红细胞，有数量不一的泪滴状红细胞，病程中可有红细胞、白细胞及血小板的增多或减少。</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三、骨髓穿刺多次“干抽”或呈“增生低下”。</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四、脾、肝、淋巴结病理检查示有造血灶。</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五、骨髓活检病理切片显示纤维组织明显增生。</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六、CMPN相关基因检查阳性。</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上述第五为必备条件，加其他任何两项，并能排除继发性骨髓纤维化者，可诊断为原发性骨髓纤维化症（IMF）。</w:t>
            </w:r>
          </w:p>
        </w:tc>
      </w:tr>
      <w:tr>
        <w:tblPrEx>
          <w:tblCellMar>
            <w:top w:w="0" w:type="dxa"/>
            <w:left w:w="108" w:type="dxa"/>
            <w:bottom w:w="0" w:type="dxa"/>
            <w:right w:w="108" w:type="dxa"/>
          </w:tblCellMar>
        </w:tblPrEx>
        <w:trPr>
          <w:trHeight w:val="91" w:hRule="atLeast"/>
        </w:trPr>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2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医保目录药品分类代码</w:t>
            </w:r>
          </w:p>
        </w:tc>
        <w:tc>
          <w:tcPr>
            <w:tcW w:w="3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1"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JAK抑制剂</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XL01EJ</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Janus相关激酶(JAK)抑制剂</w:t>
            </w:r>
          </w:p>
        </w:tc>
      </w:tr>
      <w:tr>
        <w:tblPrEx>
          <w:tblCellMar>
            <w:top w:w="0" w:type="dxa"/>
            <w:left w:w="108" w:type="dxa"/>
            <w:bottom w:w="0" w:type="dxa"/>
            <w:right w:w="108" w:type="dxa"/>
          </w:tblCellMar>
        </w:tblPrEx>
        <w:trPr>
          <w:trHeight w:val="91"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骨髓抑制药物</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XL01XX</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其他抗肿瘤药</w:t>
            </w:r>
          </w:p>
        </w:tc>
      </w:tr>
      <w:tr>
        <w:tblPrEx>
          <w:tblCellMar>
            <w:top w:w="0" w:type="dxa"/>
            <w:left w:w="108" w:type="dxa"/>
            <w:bottom w:w="0" w:type="dxa"/>
            <w:right w:w="108" w:type="dxa"/>
          </w:tblCellMar>
        </w:tblPrEx>
        <w:trPr>
          <w:trHeight w:val="91"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雄激素类药物</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XG03A</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全身用激素类避孕药</w:t>
            </w:r>
          </w:p>
        </w:tc>
      </w:tr>
      <w:tr>
        <w:tblPrEx>
          <w:tblCellMar>
            <w:top w:w="0" w:type="dxa"/>
            <w:left w:w="108" w:type="dxa"/>
            <w:bottom w:w="0" w:type="dxa"/>
            <w:right w:w="108" w:type="dxa"/>
          </w:tblCellMar>
        </w:tblPrEx>
        <w:trPr>
          <w:trHeight w:val="91"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激素</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XH02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全身用皮质激素类</w:t>
            </w:r>
          </w:p>
        </w:tc>
      </w:tr>
      <w:tr>
        <w:tblPrEx>
          <w:tblCellMar>
            <w:top w:w="0" w:type="dxa"/>
            <w:left w:w="108" w:type="dxa"/>
            <w:bottom w:w="0" w:type="dxa"/>
            <w:right w:w="108" w:type="dxa"/>
          </w:tblCellMar>
        </w:tblPrEx>
        <w:trPr>
          <w:trHeight w:val="91" w:hRule="atLeast"/>
        </w:trPr>
        <w:tc>
          <w:tcPr>
            <w:tcW w:w="743"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5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纠正贫血用药（重组人促红素注射液）</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XB03B</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维生素B12和叶酸</w:t>
            </w:r>
          </w:p>
        </w:tc>
      </w:tr>
      <w:tr>
        <w:tblPrEx>
          <w:tblCellMar>
            <w:top w:w="0" w:type="dxa"/>
            <w:left w:w="108" w:type="dxa"/>
            <w:bottom w:w="0" w:type="dxa"/>
            <w:right w:w="108" w:type="dxa"/>
          </w:tblCellMar>
        </w:tblPrEx>
        <w:trPr>
          <w:trHeight w:val="91" w:hRule="atLeast"/>
        </w:trPr>
        <w:tc>
          <w:tcPr>
            <w:tcW w:w="74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265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2008"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医保目录医疗服务项目编码</w:t>
            </w:r>
          </w:p>
        </w:tc>
        <w:tc>
          <w:tcPr>
            <w:tcW w:w="32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1" w:hRule="atLeast"/>
        </w:trPr>
        <w:tc>
          <w:tcPr>
            <w:tcW w:w="7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血常规</w:t>
            </w:r>
          </w:p>
        </w:tc>
        <w:tc>
          <w:tcPr>
            <w:tcW w:w="200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血细胞分析</w:t>
            </w:r>
          </w:p>
        </w:tc>
      </w:tr>
      <w:tr>
        <w:tblPrEx>
          <w:tblCellMar>
            <w:top w:w="0" w:type="dxa"/>
            <w:left w:w="108" w:type="dxa"/>
            <w:bottom w:w="0" w:type="dxa"/>
            <w:right w:w="108" w:type="dxa"/>
          </w:tblCellMar>
        </w:tblPrEx>
        <w:trPr>
          <w:trHeight w:val="91" w:hRule="atLeast"/>
        </w:trPr>
        <w:tc>
          <w:tcPr>
            <w:tcW w:w="7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细胞形态学（或称外周血涂片）</w:t>
            </w:r>
          </w:p>
        </w:tc>
        <w:tc>
          <w:tcPr>
            <w:tcW w:w="200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异常红细胞形态检查</w:t>
            </w:r>
          </w:p>
        </w:tc>
      </w:tr>
      <w:tr>
        <w:tblPrEx>
          <w:tblCellMar>
            <w:top w:w="0" w:type="dxa"/>
            <w:left w:w="108" w:type="dxa"/>
            <w:bottom w:w="0" w:type="dxa"/>
            <w:right w:w="108" w:type="dxa"/>
          </w:tblCellMar>
        </w:tblPrEx>
        <w:trPr>
          <w:trHeight w:val="91" w:hRule="atLeast"/>
        </w:trPr>
        <w:tc>
          <w:tcPr>
            <w:tcW w:w="7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0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异常白细胞形态检查</w:t>
            </w:r>
          </w:p>
        </w:tc>
      </w:tr>
      <w:tr>
        <w:tblPrEx>
          <w:tblCellMar>
            <w:top w:w="0" w:type="dxa"/>
            <w:left w:w="108" w:type="dxa"/>
            <w:bottom w:w="0" w:type="dxa"/>
            <w:right w:w="108" w:type="dxa"/>
          </w:tblCellMar>
        </w:tblPrEx>
        <w:trPr>
          <w:trHeight w:val="91" w:hRule="atLeast"/>
        </w:trPr>
        <w:tc>
          <w:tcPr>
            <w:tcW w:w="7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0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白细胞分类计数(DC)</w:t>
            </w:r>
          </w:p>
        </w:tc>
      </w:tr>
      <w:tr>
        <w:tblPrEx>
          <w:tblCellMar>
            <w:top w:w="0" w:type="dxa"/>
            <w:left w:w="108" w:type="dxa"/>
            <w:bottom w:w="0" w:type="dxa"/>
            <w:right w:w="108" w:type="dxa"/>
          </w:tblCellMar>
        </w:tblPrEx>
        <w:trPr>
          <w:trHeight w:val="91" w:hRule="atLeast"/>
        </w:trPr>
        <w:tc>
          <w:tcPr>
            <w:tcW w:w="7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0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270800006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显微摄影术</w:t>
            </w:r>
          </w:p>
        </w:tc>
      </w:tr>
      <w:tr>
        <w:tblPrEx>
          <w:tblCellMar>
            <w:top w:w="0" w:type="dxa"/>
            <w:left w:w="108" w:type="dxa"/>
            <w:bottom w:w="0" w:type="dxa"/>
            <w:right w:w="108" w:type="dxa"/>
          </w:tblCellMar>
        </w:tblPrEx>
        <w:trPr>
          <w:trHeight w:val="91" w:hRule="atLeast"/>
        </w:trPr>
        <w:tc>
          <w:tcPr>
            <w:tcW w:w="7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0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270500001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特殊染色及酶组织化学染色诊断</w:t>
            </w:r>
          </w:p>
        </w:tc>
      </w:tr>
      <w:tr>
        <w:tblPrEx>
          <w:tblCellMar>
            <w:top w:w="0" w:type="dxa"/>
            <w:left w:w="108" w:type="dxa"/>
            <w:bottom w:w="0" w:type="dxa"/>
            <w:right w:w="108" w:type="dxa"/>
          </w:tblCellMar>
        </w:tblPrEx>
        <w:trPr>
          <w:trHeight w:val="91" w:hRule="atLeast"/>
        </w:trPr>
        <w:tc>
          <w:tcPr>
            <w:tcW w:w="7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腹部超声</w:t>
            </w:r>
          </w:p>
        </w:tc>
        <w:tc>
          <w:tcPr>
            <w:tcW w:w="200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220201002.20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B超常规检查(腹部)</w:t>
            </w:r>
          </w:p>
        </w:tc>
      </w:tr>
      <w:tr>
        <w:tblPrEx>
          <w:tblCellMar>
            <w:top w:w="0" w:type="dxa"/>
            <w:left w:w="108" w:type="dxa"/>
            <w:bottom w:w="0" w:type="dxa"/>
            <w:right w:w="108" w:type="dxa"/>
          </w:tblCellMar>
        </w:tblPrEx>
        <w:trPr>
          <w:trHeight w:val="91" w:hRule="atLeast"/>
        </w:trPr>
        <w:tc>
          <w:tcPr>
            <w:tcW w:w="7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0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220301001b</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彩色多普勒超声常规检查(腹部)</w:t>
            </w:r>
          </w:p>
        </w:tc>
      </w:tr>
      <w:tr>
        <w:tblPrEx>
          <w:tblCellMar>
            <w:top w:w="0" w:type="dxa"/>
            <w:left w:w="108" w:type="dxa"/>
            <w:bottom w:w="0" w:type="dxa"/>
            <w:right w:w="108" w:type="dxa"/>
          </w:tblCellMar>
        </w:tblPrEx>
        <w:trPr>
          <w:trHeight w:val="91" w:hRule="atLeast"/>
        </w:trPr>
        <w:tc>
          <w:tcPr>
            <w:tcW w:w="7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骨髓细胞形态学</w:t>
            </w:r>
          </w:p>
        </w:tc>
        <w:tc>
          <w:tcPr>
            <w:tcW w:w="200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310800001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骨髓穿刺术</w:t>
            </w:r>
          </w:p>
        </w:tc>
      </w:tr>
      <w:tr>
        <w:tblPrEx>
          <w:tblCellMar>
            <w:top w:w="0" w:type="dxa"/>
            <w:left w:w="108" w:type="dxa"/>
            <w:bottom w:w="0" w:type="dxa"/>
            <w:right w:w="108" w:type="dxa"/>
          </w:tblCellMar>
        </w:tblPrEx>
        <w:trPr>
          <w:trHeight w:val="91" w:hRule="atLeast"/>
        </w:trPr>
        <w:tc>
          <w:tcPr>
            <w:tcW w:w="7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0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250201007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骨髓特殊染色及酶组织化学染色检查</w:t>
            </w:r>
          </w:p>
        </w:tc>
      </w:tr>
      <w:tr>
        <w:tblPrEx>
          <w:tblCellMar>
            <w:top w:w="0" w:type="dxa"/>
            <w:left w:w="108" w:type="dxa"/>
            <w:bottom w:w="0" w:type="dxa"/>
            <w:right w:w="108" w:type="dxa"/>
          </w:tblCellMar>
        </w:tblPrEx>
        <w:trPr>
          <w:trHeight w:val="91" w:hRule="atLeast"/>
        </w:trPr>
        <w:tc>
          <w:tcPr>
            <w:tcW w:w="7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0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250201001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骨髓涂片细胞学检验</w:t>
            </w:r>
          </w:p>
        </w:tc>
      </w:tr>
      <w:tr>
        <w:tblPrEx>
          <w:tblCellMar>
            <w:top w:w="0" w:type="dxa"/>
            <w:left w:w="108" w:type="dxa"/>
            <w:bottom w:w="0" w:type="dxa"/>
            <w:right w:w="108" w:type="dxa"/>
          </w:tblCellMar>
        </w:tblPrEx>
        <w:trPr>
          <w:trHeight w:val="91" w:hRule="atLeast"/>
        </w:trPr>
        <w:tc>
          <w:tcPr>
            <w:tcW w:w="7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骨髓活检</w:t>
            </w:r>
          </w:p>
        </w:tc>
        <w:tc>
          <w:tcPr>
            <w:tcW w:w="200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310800002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骨髓活检术</w:t>
            </w:r>
          </w:p>
        </w:tc>
      </w:tr>
      <w:tr>
        <w:tblPrEx>
          <w:tblCellMar>
            <w:top w:w="0" w:type="dxa"/>
            <w:left w:w="108" w:type="dxa"/>
            <w:bottom w:w="0" w:type="dxa"/>
            <w:right w:w="108" w:type="dxa"/>
          </w:tblCellMar>
        </w:tblPrEx>
        <w:trPr>
          <w:trHeight w:val="91" w:hRule="atLeast"/>
        </w:trPr>
        <w:tc>
          <w:tcPr>
            <w:tcW w:w="743"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5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0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270800006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显微摄影术</w:t>
            </w:r>
          </w:p>
        </w:tc>
      </w:tr>
      <w:tr>
        <w:tblPrEx>
          <w:tblCellMar>
            <w:top w:w="0" w:type="dxa"/>
            <w:left w:w="108" w:type="dxa"/>
            <w:bottom w:w="0" w:type="dxa"/>
            <w:right w:w="108" w:type="dxa"/>
          </w:tblCellMar>
        </w:tblPrEx>
        <w:trPr>
          <w:trHeight w:val="91" w:hRule="atLeast"/>
        </w:trPr>
        <w:tc>
          <w:tcPr>
            <w:tcW w:w="743"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5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0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270500001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特殊染色及酶组织化学染色诊断</w:t>
            </w:r>
          </w:p>
        </w:tc>
      </w:tr>
      <w:tr>
        <w:tblPrEx>
          <w:tblCellMar>
            <w:top w:w="0" w:type="dxa"/>
            <w:left w:w="108" w:type="dxa"/>
            <w:bottom w:w="0" w:type="dxa"/>
            <w:right w:w="108" w:type="dxa"/>
          </w:tblCellMar>
        </w:tblPrEx>
        <w:trPr>
          <w:trHeight w:val="91" w:hRule="atLeast"/>
        </w:trPr>
        <w:tc>
          <w:tcPr>
            <w:tcW w:w="743"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5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0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270300004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骨髓组织活检检查与诊断</w:t>
            </w:r>
          </w:p>
        </w:tc>
      </w:tr>
    </w:tbl>
    <w:p>
      <w:pPr>
        <w:spacing w:line="340" w:lineRule="exac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pPr>
        <w:tabs>
          <w:tab w:val="left" w:pos="737"/>
        </w:tabs>
        <w:spacing w:line="340" w:lineRule="exact"/>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2</w:t>
      </w:r>
      <w:r>
        <w:rPr>
          <w:rFonts w:ascii="Times New Roman" w:hAnsi="Times New Roman"/>
          <w:color w:val="000000" w:themeColor="text1"/>
          <w:sz w:val="30"/>
          <w:szCs w:val="30"/>
          <w14:textFill>
            <w14:solidFill>
              <w14:schemeClr w14:val="tx1"/>
            </w14:solidFill>
          </w14:textFill>
        </w:rPr>
        <w:t>3.</w:t>
      </w:r>
      <w:r>
        <w:rPr>
          <w:rFonts w:ascii="Times New Roman" w:hAnsi="Times New Roman" w:eastAsia="黑体"/>
          <w:color w:val="000000" w:themeColor="text1"/>
          <w:sz w:val="30"/>
          <w:szCs w:val="30"/>
          <w14:textFill>
            <w14:solidFill>
              <w14:schemeClr w14:val="tx1"/>
            </w14:solidFill>
          </w14:textFill>
        </w:rPr>
        <w:t>系统性红斑狼疮</w:t>
      </w:r>
    </w:p>
    <w:tbl>
      <w:tblPr>
        <w:tblStyle w:val="4"/>
        <w:tblW w:w="8828" w:type="dxa"/>
        <w:tblInd w:w="93" w:type="dxa"/>
        <w:tblLayout w:type="fixed"/>
        <w:tblCellMar>
          <w:top w:w="0" w:type="dxa"/>
          <w:left w:w="108" w:type="dxa"/>
          <w:bottom w:w="0" w:type="dxa"/>
          <w:right w:w="108" w:type="dxa"/>
        </w:tblCellMar>
      </w:tblPr>
      <w:tblGrid>
        <w:gridCol w:w="713"/>
        <w:gridCol w:w="780"/>
        <w:gridCol w:w="2190"/>
        <w:gridCol w:w="1513"/>
        <w:gridCol w:w="3632"/>
      </w:tblGrid>
      <w:tr>
        <w:tblPrEx>
          <w:tblCellMar>
            <w:top w:w="0" w:type="dxa"/>
            <w:left w:w="108" w:type="dxa"/>
            <w:bottom w:w="0" w:type="dxa"/>
            <w:right w:w="108" w:type="dxa"/>
          </w:tblCellMar>
        </w:tblPrEx>
        <w:trPr>
          <w:trHeight w:val="90" w:hRule="atLeast"/>
        </w:trPr>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系统性红斑狼疮</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M32.100</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系统性红斑狼疮，累及器官或系统</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M32.100x001</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狼疮性肾损害</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M32.100x007</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狼疮性肺病变</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M32.100x008</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狼疮性神经炎</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M32.100x014+G73.7*</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系统性红斑狼疮合并肌病</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M32.100x016</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狼疮性关节炎</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M32.100x018+K93.8*</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狼疮累及胃肠道</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M32.100x021</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狼疮性痴呆</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M32.101+N08.5*</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狼疮性肾炎</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M32.102+N16.4*</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狼疮性肾小管间质肾炎</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M32.103+J99.1*</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狼疮性肺炎</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M32.104+I43.8*</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狼疮性心肌病</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M32.105+I32.8*</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狼疮性心包炎</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M32.106+G63.5*</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狼疮性周围神经病</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M32.107+G99.2*</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狼疮性脊髓病变</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M32.108+K77.8*</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狼疮性肝损害</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M32.110+G73.7*</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狼疮性肌病</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M32.111+D77*</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狼疮性血液系统损害</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M32.112+K93.8*</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狼疮性胃肠道损害</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M32.113+H36.8*</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狼疮性视网膜病变</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M32.114+G94.8*</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狼疮性脑病</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M32.115+K67.8*</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狼疮性浆膜炎</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M32.800</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系统性红斑狼疮，其他形式的</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M32.900</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系统性红斑狼疮</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M32.901</w:t>
            </w:r>
          </w:p>
        </w:tc>
        <w:tc>
          <w:tcPr>
            <w:tcW w:w="363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隐匿性系统性红斑狼疮</w:t>
            </w:r>
          </w:p>
        </w:tc>
      </w:tr>
      <w:tr>
        <w:tblPrEx>
          <w:tblCellMar>
            <w:top w:w="0" w:type="dxa"/>
            <w:left w:w="108" w:type="dxa"/>
            <w:bottom w:w="0" w:type="dxa"/>
            <w:right w:w="108" w:type="dxa"/>
          </w:tblCellMar>
        </w:tblPrEx>
        <w:trPr>
          <w:trHeight w:val="90" w:hRule="atLeast"/>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81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hint="eastAsia" w:ascii="Times New Roman" w:hAnsi="Times New Roman" w:eastAsia="方正仿宋_GBK" w:cs="方正仿宋_GBK"/>
                <w:color w:val="000000" w:themeColor="text1"/>
                <w:kern w:val="0"/>
                <w:szCs w:val="21"/>
                <w:lang w:eastAsia="zh-CN" w:bidi="ar"/>
                <w14:textFill>
                  <w14:solidFill>
                    <w14:schemeClr w14:val="tx1"/>
                  </w14:solidFill>
                </w14:textFill>
              </w:rPr>
            </w:pPr>
            <w:r>
              <w:rPr>
                <w:rFonts w:ascii="Times New Roman" w:hAnsi="Times New Roman" w:eastAsia="方正仿宋_GBK" w:cs="方正仿宋_GBK"/>
                <w:b w:val="0"/>
                <w:bCs w:val="0"/>
                <w:color w:val="000000" w:themeColor="text1"/>
                <w:kern w:val="0"/>
                <w:szCs w:val="21"/>
                <w:lang w:bidi="ar"/>
                <w14:textFill>
                  <w14:solidFill>
                    <w14:schemeClr w14:val="tx1"/>
                  </w14:solidFill>
                </w14:textFill>
              </w:rPr>
              <w:t>系统性红斑狼疮诊断标准</w:t>
            </w:r>
            <w:r>
              <w:rPr>
                <w:rFonts w:ascii="Times New Roman" w:hAnsi="Times New Roman" w:eastAsia="方正仿宋_GBK" w:cs="方正仿宋_GBK"/>
                <w:b w:val="0"/>
                <w:bCs w:val="0"/>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1.全身状况：发热&gt;38.3℃得2分；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2.血液系统：白细胞减少症&lt;4000/mL得3分，血小板减少症&lt;100000/mL得4分，溶血性贫血得4分；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3.神经系统：谵妄得2分，精神异常得3分，癫痫得5分；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4.皮肤黏膜：非癫痫性脱发得2分，口腔溃疡得2分，亚急性皮肤狼疮得4分，急性皮肤狼疮得6分；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5.浆膜腔：胸腔积液或心包积液得5分，急性心包炎得6分；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6.肌肉骨骼：关节受累得6分；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7.肾脏：蛋白尿&gt;0.5 g/24 h得4分，肾活检:Il或V型LN得8分，肾活检:I或IV型LN得10分；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8.抗磷脂抗体：中高滴度的抗心磷脂抗体或抗 B2GP1抗体阳性或狼疮抗凝物阳性得2分；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9.补体：低C3或低C4得3分，低C3和低C4得4分；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10特异抗体：抗dsDNA阳性或抗Smith阳性得6分。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注:ANA大于等于1:80为纳入标准。SLE分类标准要求至少包括1条临床分类标准以及总分&gt;10分可诊断;</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所有的标准，不需要同时发生:</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在每个记分项，只计算最高分。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 xml:space="preserve">                                    </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b w:val="0"/>
                <w:bCs w:val="0"/>
                <w:color w:val="000000" w:themeColor="text1"/>
                <w:kern w:val="0"/>
                <w:szCs w:val="21"/>
                <w:lang w:bidi="ar"/>
                <w14:textFill>
                  <w14:solidFill>
                    <w14:schemeClr w14:val="tx1"/>
                  </w14:solidFill>
                </w14:textFill>
              </w:rPr>
              <w:t>2012年SLICC系统性红斑狼疮分类标准</w:t>
            </w:r>
            <w:r>
              <w:rPr>
                <w:rFonts w:ascii="Times New Roman" w:hAnsi="Times New Roman" w:eastAsia="方正仿宋_GBK" w:cs="方正仿宋_GBK"/>
                <w:b w:val="0"/>
                <w:bCs w:val="0"/>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分类系统中使用的临床和免疫学标准如下：</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临床标准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1. 急性皮肤型狼疮（蝶形红斑、大疱性狼疮、中毒性表皮坏死松解症型SLE、狼疮性丘疹样皮疹、光过敏，或亚急性皮肤狼疮）</w:t>
            </w:r>
            <w:r>
              <w:rPr>
                <w:rFonts w:hint="eastAsia" w:ascii="Times New Roman" w:hAnsi="Times New Roman" w:eastAsia="方正仿宋_GBK" w:cs="方正仿宋_GBK"/>
                <w:color w:val="000000" w:themeColor="text1"/>
                <w:kern w:val="0"/>
                <w:szCs w:val="21"/>
                <w:lang w:eastAsia="zh-CN" w:bidi="ar"/>
                <w14:textFill>
                  <w14:solidFill>
                    <w14:schemeClr w14:val="tx1"/>
                  </w14:solidFill>
                </w14:textFill>
              </w:rPr>
              <w:t>；</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2. 慢性皮肤型狼疮（经典型盘状红斑、增殖性疣状狼疮、狼疮脂膜炎、黏膜狼疮、肿胀性红斑狼疮、冻疮样狼疮、盘状狼疮/扁平苔癣重叠）</w:t>
            </w:r>
            <w:r>
              <w:rPr>
                <w:rFonts w:hint="eastAsia" w:ascii="Times New Roman" w:hAnsi="Times New Roman" w:eastAsia="方正仿宋_GBK" w:cs="方正仿宋_GBK"/>
                <w:color w:val="000000" w:themeColor="text1"/>
                <w:kern w:val="0"/>
                <w:szCs w:val="21"/>
                <w:lang w:eastAsia="zh-CN" w:bidi="ar"/>
                <w14:textFill>
                  <w14:solidFill>
                    <w14:schemeClr w14:val="tx1"/>
                  </w14:solidFill>
                </w14:textFill>
              </w:rPr>
              <w:t>；</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3. 口腔溃疡：上颚、颊、舌或鼻溃疡（除外白塞病、感染、炎症性肠病、反应性关节炎和酸性食物等）</w:t>
            </w:r>
            <w:r>
              <w:rPr>
                <w:rFonts w:hint="eastAsia" w:ascii="Times New Roman" w:hAnsi="Times New Roman" w:eastAsia="方正仿宋_GBK" w:cs="方正仿宋_GBK"/>
                <w:color w:val="000000" w:themeColor="text1"/>
                <w:kern w:val="0"/>
                <w:szCs w:val="21"/>
                <w:lang w:eastAsia="zh-CN" w:bidi="ar"/>
                <w14:textFill>
                  <w14:solidFill>
                    <w14:schemeClr w14:val="tx1"/>
                  </w14:solidFill>
                </w14:textFill>
              </w:rPr>
              <w:t>；</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4. 非瘢痕性脱发：弥漫性稀疏变细变脆（除外斑秃、药物性、缺铁、脂溢性等）</w:t>
            </w:r>
            <w:r>
              <w:rPr>
                <w:rFonts w:hint="eastAsia" w:ascii="Times New Roman" w:hAnsi="Times New Roman" w:eastAsia="方正仿宋_GBK" w:cs="方正仿宋_GBK"/>
                <w:color w:val="000000" w:themeColor="text1"/>
                <w:kern w:val="0"/>
                <w:szCs w:val="21"/>
                <w:lang w:eastAsia="zh-CN" w:bidi="ar"/>
                <w14:textFill>
                  <w14:solidFill>
                    <w14:schemeClr w14:val="tx1"/>
                  </w14:solidFill>
                </w14:textFill>
              </w:rPr>
              <w:t>；</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5. 滑膜炎：累及2个或更多关节；肿胀/积液或压痛且伴有至少30分钟晨僵</w:t>
            </w:r>
            <w:r>
              <w:rPr>
                <w:rFonts w:hint="eastAsia" w:ascii="Times New Roman" w:hAnsi="Times New Roman" w:eastAsia="方正仿宋_GBK" w:cs="方正仿宋_GBK"/>
                <w:color w:val="000000" w:themeColor="text1"/>
                <w:kern w:val="0"/>
                <w:szCs w:val="21"/>
                <w:lang w:eastAsia="zh-CN" w:bidi="ar"/>
                <w14:textFill>
                  <w14:solidFill>
                    <w14:schemeClr w14:val="tx1"/>
                  </w14:solidFill>
                </w14:textFill>
              </w:rPr>
              <w:t>；</w:t>
            </w:r>
          </w:p>
          <w:p>
            <w:pPr>
              <w:widowControl/>
              <w:numPr>
                <w:ilvl w:val="0"/>
                <w:numId w:val="0"/>
              </w:numPr>
              <w:spacing w:line="34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ascii="Times New Roman" w:hAnsi="Times New Roman" w:eastAsia="方正仿宋_GBK" w:cs="方正仿宋_GBK"/>
                <w:color w:val="000000" w:themeColor="text1"/>
                <w:kern w:val="0"/>
                <w:sz w:val="21"/>
                <w:szCs w:val="21"/>
                <w:lang w:val="en-US" w:eastAsia="zh-CN" w:bidi="ar"/>
                <w14:textFill>
                  <w14:solidFill>
                    <w14:schemeClr w14:val="tx1"/>
                  </w14:solidFill>
                </w14:textFill>
              </w:rPr>
              <w:t>6.</w:t>
            </w:r>
            <w:r>
              <w:rPr>
                <w:rFonts w:ascii="Times New Roman" w:hAnsi="Times New Roman" w:eastAsia="方正仿宋_GBK" w:cs="方正仿宋_GBK"/>
                <w:color w:val="000000" w:themeColor="text1"/>
                <w:kern w:val="0"/>
                <w:szCs w:val="21"/>
                <w:lang w:bidi="ar"/>
                <w14:textFill>
                  <w14:solidFill>
                    <w14:schemeClr w14:val="tx1"/>
                  </w14:solidFill>
                </w14:textFill>
              </w:rPr>
              <w:t>浆膜炎：持续1天以上典型胸膜炎或胸腔积液或胸膜摩擦音；持续1天以上典型心包炎疼痛或心包积液或心包摩擦音或心电图证实的心包炎，除外其他</w:t>
            </w:r>
            <w:r>
              <w:rPr>
                <w:rFonts w:hint="eastAsia" w:ascii="Times New Roman" w:hAnsi="Times New Roman" w:eastAsia="方正仿宋_GBK" w:cs="方正仿宋_GBK"/>
                <w:color w:val="000000" w:themeColor="text1"/>
                <w:kern w:val="0"/>
                <w:szCs w:val="21"/>
                <w:lang w:eastAsia="zh-CN" w:bidi="ar"/>
                <w14:textFill>
                  <w14:solidFill>
                    <w14:schemeClr w14:val="tx1"/>
                  </w14:solidFill>
                </w14:textFill>
              </w:rPr>
              <w:t>；</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7. 肾脏病变：24h尿蛋白≥0.5g或红细胞管型</w:t>
            </w:r>
            <w:r>
              <w:rPr>
                <w:rFonts w:hint="eastAsia" w:ascii="Times New Roman" w:hAnsi="Times New Roman" w:eastAsia="方正仿宋_GBK" w:cs="方正仿宋_GBK"/>
                <w:color w:val="000000" w:themeColor="text1"/>
                <w:kern w:val="0"/>
                <w:szCs w:val="21"/>
                <w:lang w:eastAsia="zh-CN" w:bidi="ar"/>
                <w14:textFill>
                  <w14:solidFill>
                    <w14:schemeClr w14:val="tx1"/>
                  </w14:solidFill>
                </w14:textFill>
              </w:rPr>
              <w:t>；</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8. 神经病变：癫痫、精神障碍、多发性单神经炎（除外原发性血管炎），或脊髓炎、外周及颅神经病变（除外原发性血管炎、感染、糖尿病），或急性精神混乱状态（除外中毒、代谢、尿毒症、药物）</w:t>
            </w:r>
            <w:r>
              <w:rPr>
                <w:rFonts w:hint="eastAsia" w:ascii="Times New Roman" w:hAnsi="Times New Roman" w:eastAsia="方正仿宋_GBK" w:cs="方正仿宋_GBK"/>
                <w:color w:val="000000" w:themeColor="text1"/>
                <w:kern w:val="0"/>
                <w:szCs w:val="21"/>
                <w:lang w:eastAsia="zh-CN" w:bidi="ar"/>
                <w14:textFill>
                  <w14:solidFill>
                    <w14:schemeClr w14:val="tx1"/>
                  </w14:solidFill>
                </w14:textFill>
              </w:rPr>
              <w:t>；</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9. 溶血性贫血</w:t>
            </w:r>
            <w:r>
              <w:rPr>
                <w:rFonts w:hint="eastAsia" w:ascii="Times New Roman" w:hAnsi="Times New Roman" w:eastAsia="方正仿宋_GBK" w:cs="方正仿宋_GBK"/>
                <w:color w:val="000000" w:themeColor="text1"/>
                <w:kern w:val="0"/>
                <w:szCs w:val="21"/>
                <w:lang w:eastAsia="zh-CN" w:bidi="ar"/>
                <w14:textFill>
                  <w14:solidFill>
                    <w14:schemeClr w14:val="tx1"/>
                  </w14:solidFill>
                </w14:textFill>
              </w:rPr>
              <w:t>；</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10. 白细胞减少（&lt; 4000/mm</w:t>
            </w:r>
            <w:r>
              <w:rPr>
                <w:rStyle w:val="13"/>
                <w:rFonts w:ascii="Times New Roman" w:hAnsi="Times New Roman"/>
                <w:color w:val="000000" w:themeColor="text1"/>
                <w:sz w:val="21"/>
                <w:szCs w:val="21"/>
                <w:lang w:bidi="ar"/>
                <w14:textFill>
                  <w14:solidFill>
                    <w14:schemeClr w14:val="tx1"/>
                  </w14:solidFill>
                </w14:textFill>
              </w:rPr>
              <w:t>³</w:t>
            </w:r>
            <w:r>
              <w:rPr>
                <w:rFonts w:ascii="Times New Roman" w:hAnsi="Times New Roman" w:eastAsia="方正仿宋_GBK" w:cs="方正仿宋_GBK"/>
                <w:color w:val="000000" w:themeColor="text1"/>
                <w:kern w:val="0"/>
                <w:szCs w:val="21"/>
                <w:lang w:bidi="ar"/>
                <w14:textFill>
                  <w14:solidFill>
                    <w14:schemeClr w14:val="tx1"/>
                  </w14:solidFill>
                </w14:textFill>
              </w:rPr>
              <w:t>）或淋巴细胞减少（&lt; 1000/mm</w:t>
            </w:r>
            <w:r>
              <w:rPr>
                <w:rStyle w:val="13"/>
                <w:rFonts w:ascii="Times New Roman" w:hAnsi="Times New Roman"/>
                <w:color w:val="000000" w:themeColor="text1"/>
                <w:sz w:val="21"/>
                <w:szCs w:val="21"/>
                <w:lang w:bidi="ar"/>
                <w14:textFill>
                  <w14:solidFill>
                    <w14:schemeClr w14:val="tx1"/>
                  </w14:solidFill>
                </w14:textFill>
              </w:rPr>
              <w:t>³</w:t>
            </w:r>
            <w:r>
              <w:rPr>
                <w:rFonts w:ascii="Times New Roman" w:hAnsi="Times New Roman" w:eastAsia="方正仿宋_GBK" w:cs="方正仿宋_GBK"/>
                <w:color w:val="000000" w:themeColor="text1"/>
                <w:kern w:val="0"/>
                <w:szCs w:val="21"/>
                <w:lang w:bidi="ar"/>
                <w14:textFill>
                  <w14:solidFill>
                    <w14:schemeClr w14:val="tx1"/>
                  </w14:solidFill>
                </w14:textFill>
              </w:rPr>
              <w:t>），除外其他</w:t>
            </w:r>
            <w:r>
              <w:rPr>
                <w:rFonts w:hint="eastAsia" w:ascii="Times New Roman" w:hAnsi="Times New Roman" w:eastAsia="方正仿宋_GBK" w:cs="方正仿宋_GBK"/>
                <w:color w:val="000000" w:themeColor="text1"/>
                <w:kern w:val="0"/>
                <w:szCs w:val="21"/>
                <w:lang w:eastAsia="zh-CN" w:bidi="ar"/>
                <w14:textFill>
                  <w14:solidFill>
                    <w14:schemeClr w14:val="tx1"/>
                  </w14:solidFill>
                </w14:textFill>
              </w:rPr>
              <w:t>；</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11. 血小板减少（&lt;100,000/mm</w:t>
            </w:r>
            <w:r>
              <w:rPr>
                <w:rStyle w:val="13"/>
                <w:rFonts w:ascii="Times New Roman" w:hAnsi="Times New Roman"/>
                <w:color w:val="000000" w:themeColor="text1"/>
                <w:sz w:val="21"/>
                <w:szCs w:val="21"/>
                <w:lang w:bidi="ar"/>
                <w14:textFill>
                  <w14:solidFill>
                    <w14:schemeClr w14:val="tx1"/>
                  </w14:solidFill>
                </w14:textFill>
              </w:rPr>
              <w:t>³</w:t>
            </w:r>
            <w:r>
              <w:rPr>
                <w:rFonts w:ascii="Times New Roman" w:hAnsi="Times New Roman" w:eastAsia="方正仿宋_GBK" w:cs="方正仿宋_GBK"/>
                <w:color w:val="000000" w:themeColor="text1"/>
                <w:kern w:val="0"/>
                <w:szCs w:val="21"/>
                <w:lang w:bidi="ar"/>
                <w14:textFill>
                  <w14:solidFill>
                    <w14:schemeClr w14:val="tx1"/>
                  </w14:solidFill>
                </w14:textFill>
              </w:rPr>
              <w:t>），除外其他</w:t>
            </w:r>
            <w:r>
              <w:rPr>
                <w:rFonts w:hint="eastAsia" w:ascii="Times New Roman" w:hAnsi="Times New Roman" w:eastAsia="方正仿宋_GBK" w:cs="方正仿宋_GBK"/>
                <w:color w:val="000000" w:themeColor="text1"/>
                <w:kern w:val="0"/>
                <w:szCs w:val="21"/>
                <w:lang w:eastAsia="zh-CN" w:bidi="ar"/>
                <w14:textFill>
                  <w14:solidFill>
                    <w14:schemeClr w14:val="tx1"/>
                  </w14:solidFill>
                </w14:textFill>
              </w:rPr>
              <w:t>。</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免疫学标准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1. ANA阳性</w:t>
            </w:r>
            <w:r>
              <w:rPr>
                <w:rFonts w:hint="eastAsia" w:ascii="Times New Roman" w:hAnsi="Times New Roman" w:eastAsia="方正仿宋_GBK" w:cs="方正仿宋_GBK"/>
                <w:color w:val="000000" w:themeColor="text1"/>
                <w:kern w:val="0"/>
                <w:szCs w:val="21"/>
                <w:lang w:eastAsia="zh-CN" w:bidi="ar"/>
                <w14:textFill>
                  <w14:solidFill>
                    <w14:schemeClr w14:val="tx1"/>
                  </w14:solidFill>
                </w14:textFill>
              </w:rPr>
              <w:t>；</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2. 抗dsDNA阳性</w:t>
            </w:r>
            <w:r>
              <w:rPr>
                <w:rFonts w:hint="eastAsia" w:ascii="Times New Roman" w:hAnsi="Times New Roman" w:eastAsia="方正仿宋_GBK" w:cs="方正仿宋_GBK"/>
                <w:color w:val="000000" w:themeColor="text1"/>
                <w:kern w:val="0"/>
                <w:szCs w:val="21"/>
                <w:lang w:eastAsia="zh-CN" w:bidi="ar"/>
                <w14:textFill>
                  <w14:solidFill>
                    <w14:schemeClr w14:val="tx1"/>
                  </w14:solidFill>
                </w14:textFill>
              </w:rPr>
              <w:t>；</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3. 抗Sm阳性</w:t>
            </w:r>
            <w:r>
              <w:rPr>
                <w:rFonts w:hint="eastAsia" w:ascii="Times New Roman" w:hAnsi="Times New Roman" w:eastAsia="方正仿宋_GBK" w:cs="方正仿宋_GBK"/>
                <w:color w:val="000000" w:themeColor="text1"/>
                <w:kern w:val="0"/>
                <w:szCs w:val="21"/>
                <w:lang w:eastAsia="zh-CN" w:bidi="ar"/>
                <w14:textFill>
                  <w14:solidFill>
                    <w14:schemeClr w14:val="tx1"/>
                  </w14:solidFill>
                </w14:textFill>
              </w:rPr>
              <w:t>；</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4. 抗磷脂抗体阳性（抗心磷脂抗体、狼疮抗凝物、抗β2-GP1、快速血浆反应素试验假阳性）</w:t>
            </w:r>
            <w:r>
              <w:rPr>
                <w:rFonts w:hint="eastAsia" w:ascii="Times New Roman" w:hAnsi="Times New Roman" w:eastAsia="方正仿宋_GBK" w:cs="方正仿宋_GBK"/>
                <w:color w:val="000000" w:themeColor="text1"/>
                <w:kern w:val="0"/>
                <w:szCs w:val="21"/>
                <w:lang w:eastAsia="zh-CN" w:bidi="ar"/>
                <w14:textFill>
                  <w14:solidFill>
                    <w14:schemeClr w14:val="tx1"/>
                  </w14:solidFill>
                </w14:textFill>
              </w:rPr>
              <w:t>；</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5. 补体降低（C3或C4或CH50降低）</w:t>
            </w:r>
            <w:r>
              <w:rPr>
                <w:rFonts w:hint="eastAsia" w:ascii="Times New Roman" w:hAnsi="Times New Roman" w:eastAsia="方正仿宋_GBK" w:cs="方正仿宋_GBK"/>
                <w:color w:val="000000" w:themeColor="text1"/>
                <w:kern w:val="0"/>
                <w:szCs w:val="21"/>
                <w:lang w:eastAsia="zh-CN" w:bidi="ar"/>
                <w14:textFill>
                  <w14:solidFill>
                    <w14:schemeClr w14:val="tx1"/>
                  </w14:solidFill>
                </w14:textFill>
              </w:rPr>
              <w:t>；</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6. 直接Coombs试验阳性（在不存在溶血性贫血的情况下）</w:t>
            </w:r>
            <w:r>
              <w:rPr>
                <w:rFonts w:hint="eastAsia" w:ascii="Times New Roman" w:hAnsi="Times New Roman" w:eastAsia="方正仿宋_GBK" w:cs="方正仿宋_GBK"/>
                <w:color w:val="000000" w:themeColor="text1"/>
                <w:kern w:val="0"/>
                <w:szCs w:val="21"/>
                <w:lang w:eastAsia="zh-CN" w:bidi="ar"/>
                <w14:textFill>
                  <w14:solidFill>
                    <w14:schemeClr w14:val="tx1"/>
                  </w14:solidFill>
                </w14:textFill>
              </w:rPr>
              <w:t>。</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满足分类标准中的4条，其中包括至少1条临床标准和1条免疫学标准，或有活检证实的狼疮肾炎，伴有ANA阳性或抗dsDNA阳性，可诊断系统性红斑狼疮。</w:t>
            </w:r>
          </w:p>
        </w:tc>
      </w:tr>
      <w:tr>
        <w:tblPrEx>
          <w:tblCellMar>
            <w:top w:w="0" w:type="dxa"/>
            <w:left w:w="108" w:type="dxa"/>
            <w:bottom w:w="0" w:type="dxa"/>
            <w:right w:w="108" w:type="dxa"/>
          </w:tblCellMar>
        </w:tblPrEx>
        <w:trPr>
          <w:trHeight w:val="90" w:hRule="atLeast"/>
        </w:trPr>
        <w:tc>
          <w:tcPr>
            <w:tcW w:w="71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29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513"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医保目录药品分类代码</w:t>
            </w:r>
          </w:p>
        </w:tc>
        <w:tc>
          <w:tcPr>
            <w:tcW w:w="3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0"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病因治疗</w:t>
            </w:r>
          </w:p>
        </w:tc>
        <w:tc>
          <w:tcPr>
            <w:tcW w:w="2190" w:type="dxa"/>
            <w:tcBorders>
              <w:top w:val="nil"/>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全身用皮质激素类</w:t>
            </w:r>
          </w:p>
        </w:tc>
        <w:tc>
          <w:tcPr>
            <w:tcW w:w="1513" w:type="dxa"/>
            <w:tcBorders>
              <w:top w:val="nil"/>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XH02</w:t>
            </w:r>
          </w:p>
        </w:tc>
        <w:tc>
          <w:tcPr>
            <w:tcW w:w="3632" w:type="dxa"/>
            <w:tcBorders>
              <w:top w:val="nil"/>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全身用皮质激素类</w:t>
            </w:r>
          </w:p>
        </w:tc>
      </w:tr>
      <w:tr>
        <w:tblPrEx>
          <w:tblCellMar>
            <w:top w:w="0" w:type="dxa"/>
            <w:left w:w="108" w:type="dxa"/>
            <w:bottom w:w="0" w:type="dxa"/>
            <w:right w:w="108" w:type="dxa"/>
          </w:tblCellMar>
        </w:tblPrEx>
        <w:trPr>
          <w:trHeight w:val="90"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Times New Roman" w:hAnsi="Times New Roman" w:eastAsia="方正仿宋_GBK" w:cs="方正仿宋_GBK"/>
                <w:color w:val="000000" w:themeColor="text1"/>
                <w:szCs w:val="21"/>
                <w14:textFill>
                  <w14:solidFill>
                    <w14:schemeClr w14:val="tx1"/>
                  </w14:solidFill>
                </w14:textFill>
              </w:rPr>
            </w:pPr>
          </w:p>
        </w:tc>
        <w:tc>
          <w:tcPr>
            <w:tcW w:w="219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免疫抑制剂</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XL04</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免疫抑制剂</w:t>
            </w:r>
          </w:p>
        </w:tc>
      </w:tr>
      <w:tr>
        <w:tblPrEx>
          <w:tblCellMar>
            <w:top w:w="0" w:type="dxa"/>
            <w:left w:w="108" w:type="dxa"/>
            <w:bottom w:w="0" w:type="dxa"/>
            <w:right w:w="108" w:type="dxa"/>
          </w:tblCellMar>
        </w:tblPrEx>
        <w:trPr>
          <w:trHeight w:val="90"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Times New Roman" w:hAnsi="Times New Roman" w:eastAsia="方正仿宋_GBK" w:cs="方正仿宋_GBK"/>
                <w:color w:val="000000" w:themeColor="text1"/>
                <w:szCs w:val="21"/>
                <w14:textFill>
                  <w14:solidFill>
                    <w14:schemeClr w14:val="tx1"/>
                  </w14:solidFill>
                </w14:textFill>
              </w:rPr>
            </w:pPr>
          </w:p>
        </w:tc>
        <w:tc>
          <w:tcPr>
            <w:tcW w:w="219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非甾体类抗炎和抗风湿药</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XM01A</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非甾体类抗炎和抗风湿药</w:t>
            </w:r>
          </w:p>
        </w:tc>
      </w:tr>
      <w:tr>
        <w:tblPrEx>
          <w:tblCellMar>
            <w:top w:w="0" w:type="dxa"/>
            <w:left w:w="108" w:type="dxa"/>
            <w:bottom w:w="0" w:type="dxa"/>
            <w:right w:w="108" w:type="dxa"/>
          </w:tblCellMar>
        </w:tblPrEx>
        <w:trPr>
          <w:trHeight w:val="90"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Times New Roman" w:hAnsi="Times New Roman" w:eastAsia="方正仿宋_GBK" w:cs="方正仿宋_GBK"/>
                <w:color w:val="000000" w:themeColor="text1"/>
                <w:szCs w:val="21"/>
                <w14:textFill>
                  <w14:solidFill>
                    <w14:schemeClr w14:val="tx1"/>
                  </w14:solidFill>
                </w14:textFill>
              </w:rPr>
            </w:pPr>
          </w:p>
        </w:tc>
        <w:tc>
          <w:tcPr>
            <w:tcW w:w="219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钙离子拮抗剂</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XC08</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钙通道阻滞剂</w:t>
            </w:r>
          </w:p>
        </w:tc>
      </w:tr>
      <w:tr>
        <w:tblPrEx>
          <w:tblCellMar>
            <w:top w:w="0" w:type="dxa"/>
            <w:left w:w="108" w:type="dxa"/>
            <w:bottom w:w="0" w:type="dxa"/>
            <w:right w:w="108" w:type="dxa"/>
          </w:tblCellMar>
        </w:tblPrEx>
        <w:trPr>
          <w:trHeight w:val="90"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Times New Roman" w:hAnsi="Times New Roman" w:eastAsia="方正仿宋_GBK" w:cs="方正仿宋_GBK"/>
                <w:color w:val="000000" w:themeColor="text1"/>
                <w:szCs w:val="21"/>
                <w14:textFill>
                  <w14:solidFill>
                    <w14:schemeClr w14:val="tx1"/>
                  </w14:solidFill>
                </w14:textFill>
              </w:rPr>
            </w:pPr>
          </w:p>
        </w:tc>
        <w:tc>
          <w:tcPr>
            <w:tcW w:w="219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前列环素及其类似物、抗凝治疗药物</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XB01AC</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血小板凝聚抑制剂，肝素除外</w:t>
            </w:r>
          </w:p>
        </w:tc>
      </w:tr>
      <w:tr>
        <w:tblPrEx>
          <w:tblCellMar>
            <w:top w:w="0" w:type="dxa"/>
            <w:left w:w="108" w:type="dxa"/>
            <w:bottom w:w="0" w:type="dxa"/>
            <w:right w:w="108" w:type="dxa"/>
          </w:tblCellMar>
        </w:tblPrEx>
        <w:trPr>
          <w:trHeight w:val="90"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Times New Roman" w:hAnsi="Times New Roman" w:eastAsia="方正仿宋_GBK" w:cs="方正仿宋_GBK"/>
                <w:color w:val="000000" w:themeColor="text1"/>
                <w:szCs w:val="21"/>
                <w14:textFill>
                  <w14:solidFill>
                    <w14:schemeClr w14:val="tx1"/>
                  </w14:solidFill>
                </w14:textFill>
              </w:rPr>
            </w:pPr>
          </w:p>
        </w:tc>
        <w:tc>
          <w:tcPr>
            <w:tcW w:w="219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ACEI/ARB</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XC09</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作用于肾素-血管紧张素系统的药物</w:t>
            </w:r>
          </w:p>
        </w:tc>
      </w:tr>
      <w:tr>
        <w:tblPrEx>
          <w:tblCellMar>
            <w:top w:w="0" w:type="dxa"/>
            <w:left w:w="108" w:type="dxa"/>
            <w:bottom w:w="0" w:type="dxa"/>
            <w:right w:w="108" w:type="dxa"/>
          </w:tblCellMar>
        </w:tblPrEx>
        <w:trPr>
          <w:trHeight w:val="90"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Times New Roman" w:hAnsi="Times New Roman" w:eastAsia="方正仿宋_GBK" w:cs="方正仿宋_GBK"/>
                <w:color w:val="000000" w:themeColor="text1"/>
                <w:szCs w:val="21"/>
                <w14:textFill>
                  <w14:solidFill>
                    <w14:schemeClr w14:val="tx1"/>
                  </w14:solidFill>
                </w14:textFill>
              </w:rPr>
            </w:pPr>
          </w:p>
        </w:tc>
        <w:tc>
          <w:tcPr>
            <w:tcW w:w="219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华法林</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XB01AA</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维生素K拮抗剂</w:t>
            </w:r>
          </w:p>
        </w:tc>
      </w:tr>
      <w:tr>
        <w:tblPrEx>
          <w:tblCellMar>
            <w:top w:w="0" w:type="dxa"/>
            <w:left w:w="108" w:type="dxa"/>
            <w:bottom w:w="0" w:type="dxa"/>
            <w:right w:w="108" w:type="dxa"/>
          </w:tblCellMar>
        </w:tblPrEx>
        <w:trPr>
          <w:trHeight w:val="90"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Times New Roman" w:hAnsi="Times New Roman" w:eastAsia="方正仿宋_GBK" w:cs="方正仿宋_GBK"/>
                <w:color w:val="000000" w:themeColor="text1"/>
                <w:szCs w:val="21"/>
                <w14:textFill>
                  <w14:solidFill>
                    <w14:schemeClr w14:val="tx1"/>
                  </w14:solidFill>
                </w14:textFill>
              </w:rPr>
            </w:pPr>
          </w:p>
        </w:tc>
        <w:tc>
          <w:tcPr>
            <w:tcW w:w="219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羟氯喹</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XP01B</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抗疟药</w:t>
            </w:r>
          </w:p>
        </w:tc>
      </w:tr>
      <w:tr>
        <w:tblPrEx>
          <w:tblCellMar>
            <w:top w:w="0" w:type="dxa"/>
            <w:left w:w="108" w:type="dxa"/>
            <w:bottom w:w="0" w:type="dxa"/>
            <w:right w:w="108" w:type="dxa"/>
          </w:tblCellMar>
        </w:tblPrEx>
        <w:trPr>
          <w:trHeight w:val="90" w:hRule="atLeast"/>
        </w:trPr>
        <w:tc>
          <w:tcPr>
            <w:tcW w:w="71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并发症治疗</w:t>
            </w:r>
          </w:p>
        </w:tc>
        <w:tc>
          <w:tcPr>
            <w:tcW w:w="219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单方调节血脂药</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XC10A</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单方调节血脂药</w:t>
            </w:r>
          </w:p>
        </w:tc>
      </w:tr>
      <w:tr>
        <w:tblPrEx>
          <w:tblCellMar>
            <w:top w:w="0" w:type="dxa"/>
            <w:left w:w="108" w:type="dxa"/>
            <w:bottom w:w="0" w:type="dxa"/>
            <w:right w:w="108" w:type="dxa"/>
          </w:tblCellMar>
        </w:tblPrEx>
        <w:trPr>
          <w:trHeight w:val="90" w:hRule="atLeast"/>
        </w:trPr>
        <w:tc>
          <w:tcPr>
            <w:tcW w:w="713"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78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spacing w:line="340" w:lineRule="exact"/>
              <w:jc w:val="center"/>
              <w:rPr>
                <w:rFonts w:ascii="Times New Roman" w:hAnsi="Times New Roman" w:eastAsia="方正仿宋_GBK" w:cs="方正仿宋_GBK"/>
                <w:color w:val="000000" w:themeColor="text1"/>
                <w:szCs w:val="21"/>
                <w14:textFill>
                  <w14:solidFill>
                    <w14:schemeClr w14:val="tx1"/>
                  </w14:solidFill>
                </w14:textFill>
              </w:rPr>
            </w:pPr>
          </w:p>
        </w:tc>
        <w:tc>
          <w:tcPr>
            <w:tcW w:w="219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升白细胞、血小板类药物</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XB03B</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维生素B12和叶酸</w:t>
            </w:r>
          </w:p>
        </w:tc>
      </w:tr>
      <w:tr>
        <w:tblPrEx>
          <w:tblCellMar>
            <w:top w:w="0" w:type="dxa"/>
            <w:left w:w="108" w:type="dxa"/>
            <w:bottom w:w="0" w:type="dxa"/>
            <w:right w:w="108" w:type="dxa"/>
          </w:tblCellMar>
        </w:tblPrEx>
        <w:trPr>
          <w:trHeight w:val="90" w:hRule="atLeast"/>
        </w:trPr>
        <w:tc>
          <w:tcPr>
            <w:tcW w:w="713"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78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spacing w:line="340" w:lineRule="exact"/>
              <w:jc w:val="center"/>
              <w:rPr>
                <w:rFonts w:ascii="Times New Roman" w:hAnsi="Times New Roman" w:eastAsia="方正仿宋_GBK" w:cs="方正仿宋_GBK"/>
                <w:color w:val="000000" w:themeColor="text1"/>
                <w:szCs w:val="21"/>
                <w14:textFill>
                  <w14:solidFill>
                    <w14:schemeClr w14:val="tx1"/>
                  </w14:solidFill>
                </w14:textFill>
              </w:rPr>
            </w:pPr>
          </w:p>
        </w:tc>
        <w:tc>
          <w:tcPr>
            <w:tcW w:w="219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内皮素-l受体拮抗剂及5型磷酸二酯酶抑制剂（限肺动脉高压）</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XC02K</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其他抗高血压药</w:t>
            </w:r>
          </w:p>
        </w:tc>
      </w:tr>
      <w:tr>
        <w:tblPrEx>
          <w:tblCellMar>
            <w:top w:w="0" w:type="dxa"/>
            <w:left w:w="108" w:type="dxa"/>
            <w:bottom w:w="0" w:type="dxa"/>
            <w:right w:w="108" w:type="dxa"/>
          </w:tblCellMar>
        </w:tblPrEx>
        <w:trPr>
          <w:trHeight w:val="90" w:hRule="atLeast"/>
        </w:trPr>
        <w:tc>
          <w:tcPr>
            <w:tcW w:w="713"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78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spacing w:line="340" w:lineRule="exact"/>
              <w:jc w:val="center"/>
              <w:rPr>
                <w:rFonts w:ascii="Times New Roman" w:hAnsi="Times New Roman" w:eastAsia="方正仿宋_GBK" w:cs="方正仿宋_GBK"/>
                <w:color w:val="000000" w:themeColor="text1"/>
                <w:szCs w:val="21"/>
                <w14:textFill>
                  <w14:solidFill>
                    <w14:schemeClr w14:val="tx1"/>
                  </w14:solidFill>
                </w14:textFill>
              </w:rPr>
            </w:pPr>
          </w:p>
        </w:tc>
        <w:tc>
          <w:tcPr>
            <w:tcW w:w="219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质子泵抑制剂（限胃粘膜损伤）</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XA02BC</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质子泵抑制剂</w:t>
            </w:r>
          </w:p>
        </w:tc>
      </w:tr>
      <w:tr>
        <w:tblPrEx>
          <w:tblCellMar>
            <w:top w:w="0" w:type="dxa"/>
            <w:left w:w="108" w:type="dxa"/>
            <w:bottom w:w="0" w:type="dxa"/>
            <w:right w:w="108" w:type="dxa"/>
          </w:tblCellMar>
        </w:tblPrEx>
        <w:trPr>
          <w:trHeight w:val="90" w:hRule="atLeast"/>
        </w:trPr>
        <w:tc>
          <w:tcPr>
            <w:tcW w:w="713"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78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spacing w:line="340" w:lineRule="exact"/>
              <w:jc w:val="center"/>
              <w:rPr>
                <w:rFonts w:ascii="Times New Roman" w:hAnsi="Times New Roman" w:eastAsia="方正仿宋_GBK" w:cs="方正仿宋_GBK"/>
                <w:color w:val="000000" w:themeColor="text1"/>
                <w:szCs w:val="21"/>
                <w14:textFill>
                  <w14:solidFill>
                    <w14:schemeClr w14:val="tx1"/>
                  </w14:solidFill>
                </w14:textFill>
              </w:rPr>
            </w:pPr>
          </w:p>
        </w:tc>
        <w:tc>
          <w:tcPr>
            <w:tcW w:w="219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钙代谢调节药物（限骨质疏松或维生素D缺乏）</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XA11</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维生素类</w:t>
            </w:r>
          </w:p>
        </w:tc>
      </w:tr>
      <w:tr>
        <w:tblPrEx>
          <w:tblCellMar>
            <w:top w:w="0" w:type="dxa"/>
            <w:left w:w="108" w:type="dxa"/>
            <w:bottom w:w="0" w:type="dxa"/>
            <w:right w:w="108" w:type="dxa"/>
          </w:tblCellMar>
        </w:tblPrEx>
        <w:trPr>
          <w:trHeight w:val="90" w:hRule="atLeast"/>
        </w:trPr>
        <w:tc>
          <w:tcPr>
            <w:tcW w:w="7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医保目录医疗服务项目编码</w:t>
            </w:r>
          </w:p>
        </w:tc>
        <w:tc>
          <w:tcPr>
            <w:tcW w:w="3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血常规</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250101015</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血细胞分析</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网织红细胞</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250101005</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网织红细胞计数(Ret)</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尿常规</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250102024</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尿沉渣定量</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250102035</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尿液分析</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肝功能</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250305001</w:t>
            </w:r>
          </w:p>
        </w:tc>
        <w:tc>
          <w:tcPr>
            <w:tcW w:w="3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血清总胆红素测定</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250305002</w:t>
            </w:r>
          </w:p>
        </w:tc>
        <w:tc>
          <w:tcPr>
            <w:tcW w:w="3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血清直接胆红素测定</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250305003</w:t>
            </w:r>
          </w:p>
        </w:tc>
        <w:tc>
          <w:tcPr>
            <w:tcW w:w="3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血清间接胆红素测定</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250305007</w:t>
            </w:r>
          </w:p>
        </w:tc>
        <w:tc>
          <w:tcPr>
            <w:tcW w:w="3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血清丙氨酸氨基转移酶测定</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250305008</w:t>
            </w:r>
          </w:p>
        </w:tc>
        <w:tc>
          <w:tcPr>
            <w:tcW w:w="3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血清天门冬氨酸氨基转移酶测定</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250305009</w:t>
            </w:r>
          </w:p>
        </w:tc>
        <w:tc>
          <w:tcPr>
            <w:tcW w:w="3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血清γ-谷氨酰基转移酶测定</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250305011</w:t>
            </w:r>
          </w:p>
        </w:tc>
        <w:tc>
          <w:tcPr>
            <w:tcW w:w="3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血清碱性磷酸酶测定</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250301001</w:t>
            </w:r>
          </w:p>
        </w:tc>
        <w:tc>
          <w:tcPr>
            <w:tcW w:w="3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血清总蛋白测定</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250301002</w:t>
            </w:r>
          </w:p>
        </w:tc>
        <w:tc>
          <w:tcPr>
            <w:tcW w:w="3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血清白蛋白测定</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肾功能</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250307001</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尿素测定</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250307002</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肌酐测定</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250307005</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血清尿酸测定</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尿蛋白/肌酐</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250307006</w:t>
            </w:r>
          </w:p>
        </w:tc>
        <w:tc>
          <w:tcPr>
            <w:tcW w:w="3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尿微量白蛋白测定</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250307002</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肌酐测定</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血沉</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250101008</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红细胞沉降率测定(ESR)</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C反应蛋白</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250401025</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C—反应蛋白测定(CRP)</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抗磷脂综合征IgG抗体</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CGFN1000</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抗β2-糖蛋白1抗体测定</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免疫球蛋白定量测定</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250401023</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免疫球蛋白定量测定</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250401023.10</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免疫球蛋白定量测定(IgA)</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250401023.20</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免疫球蛋白定量测定(IgG)</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250401023.30</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免疫球蛋白定量测定(IgM)</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250401023.40</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免疫球蛋白定量测定(IgD)</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250401023.50</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免疫球蛋白定量测定(IgE)</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抗核抗体测定</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250402002</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抗核抗体测定(ANA)</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250402003</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抗核提取物抗体测定(抗ENA抗体)</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250402003.10</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抗核提取物抗体测定(抗SSA)</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250402003.20</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抗核提取物抗体测定(抗SSB)</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250402003.30</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抗核提取物抗体测定(抗JO－1)</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250402003.40</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抗核提取物抗体测定(抗Sm)</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250402003.50</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抗核提取物抗体测定(抗nRNP)</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250402003.60</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抗核提取物抗体测定(抗ScL-70)</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250402003.70</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抗核提取物抗体测定(抗着丝点)</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C3+C4</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250401020</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单项补体测定</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抗dsDNA</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250402006</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抗双链DNA测定(抗dsDNA)</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24小时尿蛋白定量</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250102006</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尿蛋白定量</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电解质</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250304001</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钾测定</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250304002</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钠测定</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250304003</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氯测定</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250304004</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钙测定</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250304005</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无机磷测定</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250304006</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镁测定</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250304007</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铁测定</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胸部CT（医保基金支付不超过1次/年）</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210300001</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X线计算机体层(CT)平扫</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210300002</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X线计算机体层(CT)增强扫描</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EBAJT001</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胸部X线计算机体层(CT)平扫</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EBBJT001</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胸部X线计算机体层(CT)增强扫描</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超声心动图</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220600004</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心脏彩色多普勒超声</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220600004.01</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心脏彩色多普勒超声(同时做左心功能测定加收)</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220700006</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室壁运动分析</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骨密度测定（医保基金支付不超过1次/年）</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230200055</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骨密度测定</w:t>
            </w:r>
          </w:p>
        </w:tc>
      </w:tr>
    </w:tbl>
    <w:p>
      <w:pPr>
        <w:spacing w:line="340" w:lineRule="exac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pPr>
        <w:tabs>
          <w:tab w:val="left" w:pos="737"/>
        </w:tabs>
        <w:spacing w:line="340" w:lineRule="exact"/>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2</w:t>
      </w:r>
      <w:r>
        <w:rPr>
          <w:rFonts w:ascii="Times New Roman" w:hAnsi="Times New Roman"/>
          <w:color w:val="000000" w:themeColor="text1"/>
          <w:sz w:val="30"/>
          <w:szCs w:val="30"/>
          <w14:textFill>
            <w14:solidFill>
              <w14:schemeClr w14:val="tx1"/>
            </w14:solidFill>
          </w14:textFill>
        </w:rPr>
        <w:t>4.</w:t>
      </w:r>
      <w:r>
        <w:rPr>
          <w:rFonts w:ascii="Times New Roman" w:hAnsi="Times New Roman" w:eastAsia="黑体"/>
          <w:color w:val="000000" w:themeColor="text1"/>
          <w:sz w:val="30"/>
          <w:szCs w:val="30"/>
          <w14:textFill>
            <w14:solidFill>
              <w14:schemeClr w14:val="tx1"/>
            </w14:solidFill>
          </w14:textFill>
        </w:rPr>
        <w:t>系统性硬化症</w:t>
      </w:r>
    </w:p>
    <w:tbl>
      <w:tblPr>
        <w:tblStyle w:val="4"/>
        <w:tblW w:w="8691" w:type="dxa"/>
        <w:tblInd w:w="93" w:type="dxa"/>
        <w:tblLayout w:type="fixed"/>
        <w:tblCellMar>
          <w:top w:w="0" w:type="dxa"/>
          <w:left w:w="108" w:type="dxa"/>
          <w:bottom w:w="0" w:type="dxa"/>
          <w:right w:w="108" w:type="dxa"/>
        </w:tblCellMar>
      </w:tblPr>
      <w:tblGrid>
        <w:gridCol w:w="726"/>
        <w:gridCol w:w="1090"/>
        <w:gridCol w:w="1490"/>
        <w:gridCol w:w="1650"/>
        <w:gridCol w:w="3735"/>
      </w:tblGrid>
      <w:tr>
        <w:tblPrEx>
          <w:tblCellMar>
            <w:top w:w="0" w:type="dxa"/>
            <w:left w:w="108" w:type="dxa"/>
            <w:bottom w:w="0" w:type="dxa"/>
            <w:right w:w="108" w:type="dxa"/>
          </w:tblCellMar>
        </w:tblPrEx>
        <w:trPr>
          <w:trHeight w:val="91"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8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系统性硬化症</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M34.000x001</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进行性系统性硬化症</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M34.800x001+J99.1*</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系统性硬化症性肺病变</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M34.800x002+G73.7*</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系统性硬化症性肌病</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M34.800x003+J99.1*</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系统性硬化症性肺间质纤维化</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M34.800x004+N08.5*</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系统性硬化症肾脏危象</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M34.800x005+G53.8*</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系统性硬化症累及脑神经</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M34.800x006+K23.8*</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系统性硬化症累及食管</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M34.800x007+N08.5*</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系统性硬化症肾损害</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M34.800x008+G73.7*</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系统性硬化症合并肌病</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M34.800x009+I52.8*</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系统性硬化症心脏损害</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M34.900x001</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系统性硬化症</w:t>
            </w:r>
          </w:p>
        </w:tc>
      </w:tr>
      <w:tr>
        <w:tblPrEx>
          <w:tblCellMar>
            <w:top w:w="0" w:type="dxa"/>
            <w:left w:w="108" w:type="dxa"/>
            <w:bottom w:w="0" w:type="dxa"/>
            <w:right w:w="108" w:type="dxa"/>
          </w:tblCellMar>
        </w:tblPrEx>
        <w:trPr>
          <w:trHeight w:val="91" w:hRule="atLeast"/>
        </w:trPr>
        <w:tc>
          <w:tcPr>
            <w:tcW w:w="7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7965"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34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2013年ACR/EULAR SSc分类标准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1.双手手指皮肤增厚并延伸至掌指关节(足以诊断的标准)（9分）；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2.手指皮肤硬化(仅计最高分)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（一）手指肿胀（2分），（二）指硬皮病(远指关节延伸至掌指关节，接近指关节)（4分）；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3.指端损伤</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（一）指尖溃疡（2分），（二）指尖凹陷性疤痕（3分）；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4.毛细血管扩张（2分）；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5.甲襞微血管异常（2分）；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6.肺动脉高压和/或间质性肺病</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（一）肺动脉高压（2分），（二）间质性肺病（2分）；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7.雷诺现象（3分）；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8.SSc相关自身抗体(抗着丝点抗体抗拓扑异构酶I[亦称抗Scl-70]、抗RNA聚合酶Ⅲ，最高得3分)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（一）抗着丝点抗体（3分），（二）抗拓扑异构酶I，（三）抗RNA聚合酶Ⅲ；</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总分值由每个条目中的最高分值相加得出，得分&gt;9分的患者可分类为系统性硬化症。</w:t>
            </w:r>
          </w:p>
        </w:tc>
      </w:tr>
      <w:tr>
        <w:tblPrEx>
          <w:tblCellMar>
            <w:top w:w="0" w:type="dxa"/>
            <w:left w:w="108" w:type="dxa"/>
            <w:bottom w:w="0" w:type="dxa"/>
            <w:right w:w="108" w:type="dxa"/>
          </w:tblCellMar>
        </w:tblPrEx>
        <w:trPr>
          <w:trHeight w:val="91"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医保目录药品分类代码</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抗炎及免疫调节治疗</w:t>
            </w: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全身用皮质激素类</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XH02</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全身用皮质激素类</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白介素抑制剂</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XL04AC</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白介素抑制剂</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免疫抑制剂</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XL04</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免疫抑制剂</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血管病变的治疗</w:t>
            </w: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钙通道阻滞剂</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XC08C</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主要作用于血管的选择性钙通道阻滞剂</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血小板凝聚抑制剂，肝素除外</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XB01AC</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血小板凝聚抑制剂，肝素除外</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ACEI/ARB</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XC09</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作用于肾素-血管紧张素系统的药物</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维生素K拮抗剂</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XB01AA</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维生素K拮抗剂</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4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其他抗凝药</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XB01AE</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直接凝血酶抑制剂</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XB01AF</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直接Xa因子抑制剂</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内皮素-l受体拮抗剂及5型磷酸二酯酶抑制剂（限肺动脉高压）</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XC02K</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其他抗高血压药</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抗纤维化治疗药物</w:t>
            </w: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抗纤维化治疗药物（限肺间质纤维化）</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XL04AX</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其他免疫抑制剂</w:t>
            </w:r>
          </w:p>
        </w:tc>
      </w:tr>
      <w:tr>
        <w:tblPrEx>
          <w:tblCellMar>
            <w:top w:w="0" w:type="dxa"/>
            <w:left w:w="108" w:type="dxa"/>
            <w:bottom w:w="0" w:type="dxa"/>
            <w:right w:w="108" w:type="dxa"/>
          </w:tblCellMar>
        </w:tblPrEx>
        <w:trPr>
          <w:trHeight w:val="91" w:hRule="atLeast"/>
        </w:trPr>
        <w:tc>
          <w:tcPr>
            <w:tcW w:w="7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医保目录医疗服务项目编码</w:t>
            </w:r>
          </w:p>
        </w:tc>
        <w:tc>
          <w:tcPr>
            <w:tcW w:w="3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血常规</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250101015</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血细胞分析</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网织红细胞</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250101005</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网织红细胞计数(Ret)</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尿常规</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250102035</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尿液分析</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8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肝功能</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250305001</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血清总胆红素测定</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250305002</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血清直接胆红素测定</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250305003</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血清间接胆红素测定</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250305007</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血清丙氨酸氨基转移酶测定</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250305008</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血清天门冬氨酸氨基转移酶测定</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250305009</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血清γ-谷氨酰基转移酶测定</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250305011</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血清碱性磷酸酶测定</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250301001</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血清总蛋白测定</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250301002</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血清白蛋白测定</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8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肾功能</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250307001</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尿素测定</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250307002</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肌酐测定</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250307005</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血清尿酸测定</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电解质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250304001</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钾测定</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250304002</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钠测定</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250304003</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氯测定</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血沉</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250101008</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红细胞沉降率测定(ESR)</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C反应蛋白</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250401025</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C—反应蛋白测定(CRP)</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BNP（限肺动脉高压）</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250306012</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B型钠尿肽(BNP)</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胸部CT（医保基金支付不超过1次/年）</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210300001</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X线计算机体层(CT)平扫</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210300002</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X线计算机体层(CT)增强扫描</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EBAJT001</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胸部X线计算机体层(CT)平扫</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EBBJT001</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胸部X线计算机体层(CT)增强扫描</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8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肺功能（限肺间质纤维化，医保基金支付不超过1次/年）</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310601001</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肺通气功能检查</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310601002</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肺弥散功能检查</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310601005</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残气容积测定</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310601006</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强迫振荡肺功能检查</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310601008</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流速容量曲线(V—V曲线)</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8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心脏超声（超声心动图）</w:t>
            </w: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220201002</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B超常规检查</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220600004</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心脏彩色多普勒超声</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220600004.01</w:t>
            </w:r>
          </w:p>
        </w:tc>
        <w:tc>
          <w:tcPr>
            <w:tcW w:w="3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心脏彩色多普勒超声(同时做左心功能测定加收)</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8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双手正位（含腕）（X线、DR、CR）（医保基金支付不超过1次/年）</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210101001</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普通透视</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210101001.40</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普通透视(四肢)</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210102015</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数字化X线摄影(DR)</w:t>
            </w:r>
          </w:p>
        </w:tc>
      </w:tr>
      <w:tr>
        <w:tblPrEx>
          <w:tblCellMar>
            <w:top w:w="0" w:type="dxa"/>
            <w:left w:w="108" w:type="dxa"/>
            <w:bottom w:w="0" w:type="dxa"/>
            <w:right w:w="108" w:type="dxa"/>
          </w:tblCellMar>
        </w:tblPrEx>
        <w:trPr>
          <w:trHeight w:val="91" w:hRule="atLeast"/>
        </w:trPr>
        <w:tc>
          <w:tcPr>
            <w:tcW w:w="7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8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210102016</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计算机X线摄影(ComputedRadiography,CR)</w:t>
            </w:r>
          </w:p>
        </w:tc>
      </w:tr>
    </w:tbl>
    <w:p>
      <w:pPr>
        <w:spacing w:line="340" w:lineRule="exac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pPr>
        <w:tabs>
          <w:tab w:val="left" w:pos="737"/>
        </w:tabs>
        <w:spacing w:line="340" w:lineRule="exact"/>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2</w:t>
      </w:r>
      <w:r>
        <w:rPr>
          <w:rFonts w:ascii="Times New Roman" w:hAnsi="Times New Roman"/>
          <w:color w:val="000000" w:themeColor="text1"/>
          <w:sz w:val="30"/>
          <w:szCs w:val="30"/>
          <w14:textFill>
            <w14:solidFill>
              <w14:schemeClr w14:val="tx1"/>
            </w14:solidFill>
          </w14:textFill>
        </w:rPr>
        <w:t>5.</w:t>
      </w:r>
      <w:r>
        <w:rPr>
          <w:rFonts w:ascii="Times New Roman" w:hAnsi="Times New Roman" w:eastAsia="黑体"/>
          <w:color w:val="000000" w:themeColor="text1"/>
          <w:sz w:val="30"/>
          <w:szCs w:val="30"/>
          <w14:textFill>
            <w14:solidFill>
              <w14:schemeClr w14:val="tx1"/>
            </w14:solidFill>
          </w14:textFill>
        </w:rPr>
        <w:t>原发性干燥综合征</w:t>
      </w:r>
    </w:p>
    <w:tbl>
      <w:tblPr>
        <w:tblStyle w:val="4"/>
        <w:tblW w:w="8691" w:type="dxa"/>
        <w:tblInd w:w="93" w:type="dxa"/>
        <w:tblLayout w:type="fixed"/>
        <w:tblCellMar>
          <w:top w:w="0" w:type="dxa"/>
          <w:left w:w="108" w:type="dxa"/>
          <w:bottom w:w="0" w:type="dxa"/>
          <w:right w:w="108" w:type="dxa"/>
        </w:tblCellMar>
      </w:tblPr>
      <w:tblGrid>
        <w:gridCol w:w="713"/>
        <w:gridCol w:w="677"/>
        <w:gridCol w:w="1963"/>
        <w:gridCol w:w="1618"/>
        <w:gridCol w:w="3720"/>
      </w:tblGrid>
      <w:tr>
        <w:tblPrEx>
          <w:tblCellMar>
            <w:top w:w="0" w:type="dxa"/>
            <w:left w:w="108" w:type="dxa"/>
            <w:bottom w:w="0" w:type="dxa"/>
            <w:right w:w="108" w:type="dxa"/>
          </w:tblCellMar>
        </w:tblPrEx>
        <w:trPr>
          <w:trHeight w:val="335" w:hRule="atLeast"/>
        </w:trPr>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原发性干燥综合征</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M35.000</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干燥综合征[舍格伦]</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M35.000x003</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干燥综合征伴肺病变</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M35.002+J99.1*</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干燥综合征伴肺间质纤维化</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M35.003+K77.8*</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干燥综合征性肝损害</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M35.004+G73.7*</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干燥综合征性肌病</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M35.005+H19.3*</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干燥综合征性角膜结膜炎</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M35.006+N16.4*</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干燥综合征性肾小管间质肾炎</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M35.007+N16.4*</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干燥综合征性肾盂肾炎</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M35.008+G94.8*</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干燥综合征性中枢神经损害</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M35.009+G63.5*</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干燥综合征性周围神经病</w:t>
            </w:r>
          </w:p>
        </w:tc>
      </w:tr>
      <w:tr>
        <w:tblPrEx>
          <w:tblCellMar>
            <w:top w:w="0" w:type="dxa"/>
            <w:left w:w="108" w:type="dxa"/>
            <w:bottom w:w="0" w:type="dxa"/>
            <w:right w:w="108" w:type="dxa"/>
          </w:tblCellMar>
        </w:tblPrEx>
        <w:trPr>
          <w:trHeight w:val="9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79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一、纳入标准：至少有眼干或口干症状之一者，即下述至少一项为阳性：</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1. 每日感到不能忍受的眼干，持续 3个月以上；</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2. 眼中反复砂砾感；</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3. 每日需用人工泪液3次或3次以上；</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4. 每日感到口干，持续 3个月以上；</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5. 吞咽干性食物需频繁饮水帮助。</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或在EULAR的SS 疾病活动度指数（ESSDAI）问卷中出现至少一个系统阳性的可疑SS者。</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二、排除标准：患者出现下列疾病，因可能有重叠的临床表现或干扰诊断试验结果，应予以排除：</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1. 头颈部放疗史；</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2. 活动性丙型肝炎病毒感染；</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3. 艾滋病；</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4. 结节病；</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5. 淀粉样变性；</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6. 移植物抗宿主病；</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7. IgG4相关性疾病。</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三、适用于任何满足上述纳入标准并除外排除标准者，且下述5项评分总和≥4者诊断为pSS：</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1. 唇腺灶性淋巴细胞浸润，且灶性指数≥1个灶/4mm</w:t>
            </w:r>
            <w:r>
              <w:rPr>
                <w:rFonts w:ascii="Times New Roman" w:hAnsi="Times New Roman" w:eastAsia="方正书宋_GBK" w:cs="方正书宋_GBK"/>
                <w:color w:val="000000" w:themeColor="text1"/>
                <w:kern w:val="0"/>
                <w:szCs w:val="21"/>
                <w:lang w:bidi="ar"/>
                <w14:textFill>
                  <w14:solidFill>
                    <w14:schemeClr w14:val="tx1"/>
                  </w14:solidFill>
                </w14:textFill>
              </w:rPr>
              <w:t>²</w:t>
            </w:r>
            <w:r>
              <w:rPr>
                <w:rFonts w:ascii="Times New Roman" w:hAnsi="Times New Roman" w:eastAsia="方正仿宋_GBK" w:cs="方正仿宋_GBK"/>
                <w:color w:val="000000" w:themeColor="text1"/>
                <w:kern w:val="0"/>
                <w:szCs w:val="21"/>
                <w:lang w:bidi="ar"/>
                <w14:textFill>
                  <w14:solidFill>
                    <w14:schemeClr w14:val="tx1"/>
                  </w14:solidFill>
                </w14:textFill>
              </w:rPr>
              <w:t>，为3分；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2. 血清抗SSA抗体阳性，为3分；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3. 至少单眼角膜染色计分（OSS）≥5或Van Bijsterveld评分≥4分，为1分；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4. 至少单眼泪液分泌试验（Schirmer试验） ≤5mm/5 min，为1分；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5. 未刺激的全唾液流率≤0.1ml/min（Navazesh 和Kumar测定法），为1分。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常规使用胆碱能药物者应充分停药后再行上述3、4、5项评估口眼干燥的检查。</w:t>
            </w:r>
          </w:p>
        </w:tc>
      </w:tr>
      <w:tr>
        <w:tblPrEx>
          <w:tblCellMar>
            <w:top w:w="0" w:type="dxa"/>
            <w:left w:w="108" w:type="dxa"/>
            <w:bottom w:w="0" w:type="dxa"/>
            <w:right w:w="108" w:type="dxa"/>
          </w:tblCellMar>
        </w:tblPrEx>
        <w:trPr>
          <w:trHeight w:val="90" w:hRule="atLeast"/>
        </w:trPr>
        <w:tc>
          <w:tcPr>
            <w:tcW w:w="7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医保目录药品分类代码</w:t>
            </w:r>
          </w:p>
        </w:tc>
        <w:tc>
          <w:tcPr>
            <w:tcW w:w="3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活动性内脏器官受累的患者</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全身用皮质激素类</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XH02</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全身用皮质激素类</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免疫抑制剂</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XL04</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免疫抑制剂</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非甾体类抗炎和抗风湿药</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XM01A</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非甾体类抗炎和抗风湿药</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钙离子拮抗剂</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XC08C</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主要作用于血管的选择性钙通道阻滞剂</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前列环素及其类似物、抗凝治疗药物</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XB01AC</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血小板凝聚抑制剂，肝素除外</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ACEI/ARB</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XC09</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作用于肾素-血管紧张素系统的药物</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维生素K拮抗剂</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XB01AA</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维生素K拮抗剂</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其他抗凝药</w:t>
            </w:r>
          </w:p>
        </w:tc>
        <w:tc>
          <w:tcPr>
            <w:tcW w:w="1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XB01AE</w:t>
            </w:r>
          </w:p>
        </w:tc>
        <w:tc>
          <w:tcPr>
            <w:tcW w:w="3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直接凝血酶抑制剂</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XB01AF</w:t>
            </w:r>
          </w:p>
        </w:tc>
        <w:tc>
          <w:tcPr>
            <w:tcW w:w="3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直接Xa因子抑制剂</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并发症治疗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降血脂药</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XC10A</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单方调节血脂药</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内皮素-l受体拮抗剂及5型磷酸二酯酶抑制剂（限肺动脉高压）</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XC02K</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其他抗高血压药</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干眼症</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XS01K</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手术辅助用药</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XS01X</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其他眼科用药</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胆治疗药</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XA05A</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胆治疗药</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升白细胞、血小板类药物</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XB03B</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维生素B12和叶酸</w:t>
            </w:r>
          </w:p>
        </w:tc>
      </w:tr>
      <w:tr>
        <w:tblPrEx>
          <w:tblCellMar>
            <w:top w:w="0" w:type="dxa"/>
            <w:left w:w="108" w:type="dxa"/>
            <w:bottom w:w="0" w:type="dxa"/>
            <w:right w:w="108" w:type="dxa"/>
          </w:tblCellMar>
        </w:tblPrEx>
        <w:trPr>
          <w:trHeight w:val="90" w:hRule="atLeast"/>
        </w:trPr>
        <w:tc>
          <w:tcPr>
            <w:tcW w:w="7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医保目录医疗服务项目编码</w:t>
            </w:r>
          </w:p>
        </w:tc>
        <w:tc>
          <w:tcPr>
            <w:tcW w:w="3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血常规</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250101015</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血细胞分析</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尿常规</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250102024</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尿沉渣定量</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250102035</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尿液分析</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尿蛋白定量</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250102006</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尿蛋白定量</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网织红细胞</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250101005</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网织红细胞计数(Ret)</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肝功能</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血清总胆红素测定</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血清直接胆红素测定</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250305003</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血清间接胆红素测定</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250305007</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血清丙氨酸氨基转移酶测定</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250305008</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血清天门冬氨酸氨基转移酶测定</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250305009</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血清γ-谷氨酰基转移酶测定</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血清碱性磷酸酶测定</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250301001</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血清总蛋白测定</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250301002</w:t>
            </w:r>
          </w:p>
        </w:tc>
        <w:tc>
          <w:tcPr>
            <w:tcW w:w="3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血清白蛋白测定</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肾功能</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250307001</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尿素测定</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250307002</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肌酐测定</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250307005</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血清尿酸测定</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免疫球蛋白定量测定</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250401023</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免疫球蛋白定量测定</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250401023.10</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免疫球蛋白定量测定(IgA)</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250401023.20</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免疫球蛋白定量测定(IgG)</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250401023.30</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免疫球蛋白定量测定(IgM)</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250401023.40</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免疫球蛋白定量测定(IgD)</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250401023.50</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免疫球蛋白定量测定(IgE)</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抗核抗体测定</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250402002</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抗核抗体测定(ANA)</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250402003.10</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抗核提取物抗体测定(抗SSA)</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250402003.20</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抗核提取物抗体测定(抗SSB)</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250402007</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抗线粒体抗体测定(AMA)</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250402003.50</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抗核提取物抗体测定(抗nRNP)</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250402003.70</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抗核提取物抗体测定(抗着丝点)</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补体</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250401020</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单项补体测定</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血沉</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250101008</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红细胞沉降率测定(ESR)</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C反应蛋白</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250401025</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C—反应蛋白测定(CRP)</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电解质</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250304001</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钾测定</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250304002</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钠测定</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250304003</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氯测定</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250304004</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钙测定</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250304005</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无机磷测定</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250304006</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镁测定</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250304007</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铁测定</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干燥性角、结膜炎检查</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310300056</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眼底检查</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唾液流率</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FHL02401</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唾液流量测定</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唾液腺显像</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230200028</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唾液腺动态显象</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胸部CT（医保基金支付不超过1次/年）</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210300001</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X线计算机体层(CT)平扫</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210300002</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X线计算机体层(CT)增强扫描</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EBAJT001</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胸部X线计算机体层(CT)平扫</w:t>
            </w:r>
          </w:p>
        </w:tc>
      </w:tr>
      <w:tr>
        <w:tblPrEx>
          <w:tblCellMar>
            <w:top w:w="0" w:type="dxa"/>
            <w:left w:w="108" w:type="dxa"/>
            <w:bottom w:w="0" w:type="dxa"/>
            <w:right w:w="108" w:type="dxa"/>
          </w:tblCellMar>
        </w:tblPrEx>
        <w:trPr>
          <w:trHeight w:val="90"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EBBJT001</w:t>
            </w:r>
          </w:p>
        </w:tc>
        <w:tc>
          <w:tcPr>
            <w:tcW w:w="3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胸部X线计算机体层(CT)增强扫描</w:t>
            </w:r>
          </w:p>
        </w:tc>
      </w:tr>
    </w:tbl>
    <w:p>
      <w:pPr>
        <w:spacing w:line="340" w:lineRule="exac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pPr>
        <w:tabs>
          <w:tab w:val="left" w:pos="737"/>
        </w:tabs>
        <w:spacing w:line="340" w:lineRule="exact"/>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2</w:t>
      </w:r>
      <w:r>
        <w:rPr>
          <w:rFonts w:ascii="Times New Roman" w:hAnsi="Times New Roman"/>
          <w:color w:val="000000" w:themeColor="text1"/>
          <w:sz w:val="30"/>
          <w:szCs w:val="30"/>
          <w14:textFill>
            <w14:solidFill>
              <w14:schemeClr w14:val="tx1"/>
            </w14:solidFill>
          </w14:textFill>
        </w:rPr>
        <w:t>6.</w:t>
      </w:r>
      <w:r>
        <w:rPr>
          <w:rFonts w:ascii="Times New Roman" w:hAnsi="Times New Roman" w:eastAsia="黑体"/>
          <w:color w:val="000000" w:themeColor="text1"/>
          <w:sz w:val="30"/>
          <w:szCs w:val="30"/>
          <w14:textFill>
            <w14:solidFill>
              <w14:schemeClr w14:val="tx1"/>
            </w14:solidFill>
          </w14:textFill>
        </w:rPr>
        <w:t>重症肌无力</w:t>
      </w:r>
    </w:p>
    <w:tbl>
      <w:tblPr>
        <w:tblStyle w:val="4"/>
        <w:tblW w:w="8813" w:type="dxa"/>
        <w:tblInd w:w="93" w:type="dxa"/>
        <w:tblLayout w:type="fixed"/>
        <w:tblCellMar>
          <w:top w:w="0" w:type="dxa"/>
          <w:left w:w="108" w:type="dxa"/>
          <w:bottom w:w="0" w:type="dxa"/>
          <w:right w:w="108" w:type="dxa"/>
        </w:tblCellMar>
      </w:tblPr>
      <w:tblGrid>
        <w:gridCol w:w="711"/>
        <w:gridCol w:w="1307"/>
        <w:gridCol w:w="1920"/>
        <w:gridCol w:w="1874"/>
        <w:gridCol w:w="3001"/>
      </w:tblGrid>
      <w:tr>
        <w:tblPrEx>
          <w:tblCellMar>
            <w:top w:w="0" w:type="dxa"/>
            <w:left w:w="108" w:type="dxa"/>
            <w:bottom w:w="0" w:type="dxa"/>
            <w:right w:w="108" w:type="dxa"/>
          </w:tblCellMar>
        </w:tblPrEx>
        <w:trPr>
          <w:trHeight w:val="470"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32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重症肌无力</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G70.000</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重症肌无力</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G70.001</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重症肌无力，肌萎缩型</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G70.002</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重症肌无力，眼肌型</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G70.003</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重症肌无力，轻度全身型</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G70.004</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重症肌无力，中度全身型</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G70.005</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重症肌无力，急性重症型</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G70.006</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重症肌无力，迟发重症型</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G70.008</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儿童型重症肌无力</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G70.200x004</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少年型重症肌无力</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G70.200x005</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儿童型重症肌无力,眼肌型</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G70.201</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先天性重症肌无力</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O99.310</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妊娠合并重症肌无力</w:t>
            </w:r>
          </w:p>
        </w:tc>
      </w:tr>
      <w:tr>
        <w:tblPrEx>
          <w:tblCellMar>
            <w:top w:w="0" w:type="dxa"/>
            <w:left w:w="108" w:type="dxa"/>
            <w:bottom w:w="0" w:type="dxa"/>
            <w:right w:w="108" w:type="dxa"/>
          </w:tblCellMar>
        </w:tblPrEx>
        <w:trPr>
          <w:trHeight w:val="91"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81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在具有下列第一条典型临床特征的基础上，满足第二条或第三条或第四条，临床上可诊断为重症肌无力。</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一、临床表现：某些特定的横纹肌群肌无力呈斑片状分布，表现出波动性和易疲劳性；肌无力症状晨轻暮重，持续活动后加重，休息后缓解、好转。通常以眼外肌受累最常见。</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二、药理学表现：新斯的明试验阳性。</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三、电生理检测：RNS检查低频刺激波幅递减10％以上；SFEMG测定的“颤抖”增宽、伴或不伴有阻滞。</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四、血清学检查：多数全身型MG患者血中可检测到AChR抗体，或在极少部分MG患者中可检测到抗MuSK抗体、抗LRP4抗体。</w:t>
            </w:r>
          </w:p>
        </w:tc>
      </w:tr>
      <w:tr>
        <w:tblPrEx>
          <w:tblCellMar>
            <w:top w:w="0" w:type="dxa"/>
            <w:left w:w="108" w:type="dxa"/>
            <w:bottom w:w="0" w:type="dxa"/>
            <w:right w:w="108" w:type="dxa"/>
          </w:tblCellMar>
        </w:tblPrEx>
        <w:trPr>
          <w:trHeight w:val="91"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3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Times New Roman" w:hAnsi="Times New Roman" w:eastAsia="方正黑体_GBK" w:cs="方正黑体_GBK"/>
                <w:color w:val="000000" w:themeColor="text1"/>
                <w:kern w:val="0"/>
                <w:szCs w:val="21"/>
                <w:lang w:bidi="ar"/>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w:t>
            </w:r>
          </w:p>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分类代码</w:t>
            </w:r>
          </w:p>
        </w:tc>
        <w:tc>
          <w:tcPr>
            <w:tcW w:w="3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胆碱酯酶抑制剂</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XN07A</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拟副交感神经药</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糖皮质激素</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XH02</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全身用皮质激素类</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使用糖皮质激素期间对抗糖皮质激素副作用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护胃药物</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XA02BC</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质子泵抑制剂</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补钙药物</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XA11</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维生素类</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XA12</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矿物质补充剂</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XM05</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治疗骨病的药物</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免疫抑制剂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选择性免疫抑制剂</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XL04AA</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选择性免疫抑制剂</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钙神经素抑制剂</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XL04AD</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钙调磷酸酶抑制剂</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其他免疫抑制剂</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XL04AX</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其他免疫抑制剂</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氮芥类似物</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XL01AA</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氮芥类似物</w:t>
            </w:r>
          </w:p>
        </w:tc>
      </w:tr>
      <w:tr>
        <w:tblPrEx>
          <w:tblCellMar>
            <w:top w:w="0" w:type="dxa"/>
            <w:left w:w="108" w:type="dxa"/>
            <w:bottom w:w="0" w:type="dxa"/>
            <w:right w:w="108" w:type="dxa"/>
          </w:tblCellMar>
        </w:tblPrEx>
        <w:trPr>
          <w:trHeight w:val="405"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322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8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Times New Roman" w:hAnsi="Times New Roman" w:eastAsia="方正黑体_GBK" w:cs="方正黑体_GBK"/>
                <w:color w:val="000000" w:themeColor="text1"/>
                <w:kern w:val="0"/>
                <w:szCs w:val="21"/>
                <w:lang w:bidi="ar"/>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w:t>
            </w:r>
          </w:p>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服务项目编码</w:t>
            </w:r>
          </w:p>
        </w:tc>
        <w:tc>
          <w:tcPr>
            <w:tcW w:w="3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肝功能</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250301001</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血清总蛋白测定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250301002</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血清白蛋白测定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250305001</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血清总胆红素测定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250305002</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血清直接胆红素测定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250305003</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血清间接胆红素测定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250305007</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血清丙氨酸氨基转移酶测定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250305008</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血清天门冬氨酸氨基转移酶测定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250305009</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血清γ-谷氨酰基转移酶测定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250305014</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血清胆碱脂酶测定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250306005</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乳酸脱氢酶测定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电解质</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250304004</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钙测定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250304001</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钾测定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250304002</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钠测定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250304003</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氯测定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250304005</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无机磷测定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250304006</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镁测定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肾功能</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250307001</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尿素测定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250307002</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肌酐测定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250307005</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血清尿酸测定</w:t>
            </w:r>
          </w:p>
        </w:tc>
      </w:tr>
      <w:tr>
        <w:tblPrEx>
          <w:tblCellMar>
            <w:top w:w="0" w:type="dxa"/>
            <w:left w:w="108" w:type="dxa"/>
            <w:bottom w:w="0" w:type="dxa"/>
            <w:right w:w="108" w:type="dxa"/>
          </w:tblCellMar>
        </w:tblPrEx>
        <w:trPr>
          <w:trHeight w:val="91"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血常规</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250101015</w:t>
            </w:r>
          </w:p>
        </w:tc>
        <w:tc>
          <w:tcPr>
            <w:tcW w:w="3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血细胞分析</w:t>
            </w:r>
          </w:p>
        </w:tc>
      </w:tr>
    </w:tbl>
    <w:p>
      <w:pPr>
        <w:spacing w:line="340" w:lineRule="exac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pPr>
        <w:tabs>
          <w:tab w:val="left" w:pos="737"/>
        </w:tabs>
        <w:spacing w:line="340" w:lineRule="exact"/>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2</w:t>
      </w:r>
      <w:r>
        <w:rPr>
          <w:rFonts w:ascii="Times New Roman" w:hAnsi="Times New Roman"/>
          <w:color w:val="000000" w:themeColor="text1"/>
          <w:sz w:val="30"/>
          <w:szCs w:val="30"/>
          <w14:textFill>
            <w14:solidFill>
              <w14:schemeClr w14:val="tx1"/>
            </w14:solidFill>
          </w14:textFill>
        </w:rPr>
        <w:t>7.</w:t>
      </w:r>
      <w:r>
        <w:rPr>
          <w:rFonts w:ascii="Times New Roman" w:hAnsi="Times New Roman" w:eastAsia="黑体"/>
          <w:color w:val="000000" w:themeColor="text1"/>
          <w:sz w:val="30"/>
          <w:szCs w:val="30"/>
          <w14:textFill>
            <w14:solidFill>
              <w14:schemeClr w14:val="tx1"/>
            </w14:solidFill>
          </w14:textFill>
        </w:rPr>
        <w:t>慢性肾脏病</w:t>
      </w:r>
    </w:p>
    <w:tbl>
      <w:tblPr>
        <w:tblStyle w:val="4"/>
        <w:tblW w:w="8691" w:type="dxa"/>
        <w:tblInd w:w="93" w:type="dxa"/>
        <w:tblLayout w:type="fixed"/>
        <w:tblCellMar>
          <w:top w:w="0" w:type="dxa"/>
          <w:left w:w="108" w:type="dxa"/>
          <w:bottom w:w="0" w:type="dxa"/>
          <w:right w:w="108" w:type="dxa"/>
        </w:tblCellMar>
      </w:tblPr>
      <w:tblGrid>
        <w:gridCol w:w="816"/>
        <w:gridCol w:w="2670"/>
        <w:gridCol w:w="1620"/>
        <w:gridCol w:w="3585"/>
      </w:tblGrid>
      <w:tr>
        <w:tblPrEx>
          <w:tblCellMar>
            <w:top w:w="0" w:type="dxa"/>
            <w:left w:w="108" w:type="dxa"/>
            <w:bottom w:w="0" w:type="dxa"/>
            <w:right w:w="108" w:type="dxa"/>
          </w:tblCellMar>
        </w:tblPrEx>
        <w:trPr>
          <w:trHeight w:val="91" w:hRule="atLeast"/>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慢性肾脏病</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N18.300</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慢性肾脏病3期</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仿宋_GBK" w:cs="方正仿宋_GBK"/>
                <w:color w:val="000000" w:themeColor="text1"/>
                <w:szCs w:val="21"/>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N18.400</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慢性肾脏病4期</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仿宋_GBK" w:cs="方正仿宋_GBK"/>
                <w:color w:val="000000" w:themeColor="text1"/>
                <w:szCs w:val="21"/>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N18.500</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慢性肾脏病5期</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仿宋_GBK" w:cs="方正仿宋_GBK"/>
                <w:color w:val="000000" w:themeColor="text1"/>
                <w:szCs w:val="21"/>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N18.500x001+D63.8*</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慢性肾脏病5期相关性贫血</w:t>
            </w:r>
          </w:p>
        </w:tc>
      </w:tr>
      <w:tr>
        <w:tblPrEx>
          <w:tblCellMar>
            <w:top w:w="0" w:type="dxa"/>
            <w:left w:w="108" w:type="dxa"/>
            <w:bottom w:w="0" w:type="dxa"/>
            <w:right w:w="108" w:type="dxa"/>
          </w:tblCellMar>
        </w:tblPrEx>
        <w:trPr>
          <w:trHeight w:val="91"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78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慢性肾脏病3期及以上且GFR下降（＜60ml/min）</w:t>
            </w:r>
          </w:p>
        </w:tc>
      </w:tr>
      <w:tr>
        <w:tblPrEx>
          <w:tblCellMar>
            <w:top w:w="0" w:type="dxa"/>
            <w:left w:w="108" w:type="dxa"/>
            <w:bottom w:w="0" w:type="dxa"/>
            <w:right w:w="108" w:type="dxa"/>
          </w:tblCellMar>
        </w:tblPrEx>
        <w:trPr>
          <w:trHeight w:val="91" w:hRule="atLeast"/>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医保目录药品分类代码</w:t>
            </w:r>
          </w:p>
        </w:tc>
        <w:tc>
          <w:tcPr>
            <w:tcW w:w="3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糖皮质激素</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XH02</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全身用皮质激素类</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免疫抑制剂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XL04AD</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钙调磷酸酶抑制剂</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XL01AA</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氮芥类似物</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tcBorders>
              <w:top w:val="nil"/>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钠-葡萄糖共转运蛋白2抑制剂（SGLT2i 类药物）</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XA10BK</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钠葡萄糖协同转运蛋白2(SGLT-2)抑制剂</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醛固酮受体抑制剂（MRA类药物，限糖尿病肾病）</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XC03D</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保钾利尿药</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tcBorders>
              <w:top w:val="single" w:color="000000" w:sz="4" w:space="0"/>
              <w:left w:val="single" w:color="000000" w:sz="4" w:space="0"/>
              <w:bottom w:val="nil"/>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纠正贫血类药物</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XB03</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抗贫血药</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降磷药物；拟钙剂、活性维生素D及类似物；纠正水、电解质酸碱平衡紊乱（代谢性酸中毒、高钾血症）药物</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XV03AE</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高血钾和高磷血症治疗药</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XA12</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矿物质补充剂</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XA11</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维生素类</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XH05</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钙稳态药</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XA02A</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抗酸药</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XB05X</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静脉注射液添加剂</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XC03</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利尿剂</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营养治疗：酮酸类制剂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XV02</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其他营养剂</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降尿酸药物</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XM04</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抗痛风药</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tcBorders>
              <w:top w:val="nil"/>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口服吸附毒素和导泄排毒疗法药物（限有氮质血症）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XG04B</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泌尿系统药</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降脂药物</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XC10A</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单方调节血脂药</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抗血小板药物</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XC11AX</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其他调节血脂药</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抗凝药物</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XB01AC</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血小板凝聚抑制剂，肝素除外</w:t>
            </w:r>
          </w:p>
        </w:tc>
      </w:tr>
      <w:tr>
        <w:tblPrEx>
          <w:tblCellMar>
            <w:top w:w="0" w:type="dxa"/>
            <w:left w:w="108" w:type="dxa"/>
            <w:bottom w:w="0" w:type="dxa"/>
            <w:right w:w="108" w:type="dxa"/>
          </w:tblCellMar>
        </w:tblPrEx>
        <w:trPr>
          <w:trHeight w:val="91" w:hRule="atLeast"/>
        </w:trPr>
        <w:tc>
          <w:tcPr>
            <w:tcW w:w="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267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620"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医保目录医疗服务项目编码</w:t>
            </w:r>
          </w:p>
        </w:tc>
        <w:tc>
          <w:tcPr>
            <w:tcW w:w="3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血常规</w:t>
            </w:r>
          </w:p>
        </w:tc>
        <w:tc>
          <w:tcPr>
            <w:tcW w:w="162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250101015</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血细胞分析</w:t>
            </w:r>
          </w:p>
        </w:tc>
      </w:tr>
      <w:tr>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肝功能</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250305001</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血清总胆红素测定</w:t>
            </w:r>
          </w:p>
        </w:tc>
      </w:tr>
      <w:tr>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250305002</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血清直接胆红素测定</w:t>
            </w:r>
          </w:p>
        </w:tc>
      </w:tr>
      <w:tr>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250305003</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血清间接胆红素测定</w:t>
            </w:r>
          </w:p>
        </w:tc>
      </w:tr>
      <w:tr>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250305007</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血清丙氨酸氨基转移酶测定</w:t>
            </w:r>
          </w:p>
        </w:tc>
      </w:tr>
      <w:tr>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250305008</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血清天门冬氨酸氨基转移酶测定</w:t>
            </w:r>
          </w:p>
        </w:tc>
      </w:tr>
      <w:tr>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250305009</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血清γ-谷氨酰基转移酶测定</w:t>
            </w:r>
          </w:p>
        </w:tc>
      </w:tr>
      <w:tr>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250305011</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血清碱性磷酸酶测定</w:t>
            </w:r>
          </w:p>
        </w:tc>
      </w:tr>
      <w:tr>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250301001</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血清总蛋白测定</w:t>
            </w:r>
          </w:p>
        </w:tc>
      </w:tr>
      <w:tr>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250301002</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血清白蛋白测定</w:t>
            </w:r>
          </w:p>
        </w:tc>
      </w:tr>
      <w:tr>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肾功能</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250307001</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尿素测定</w:t>
            </w:r>
          </w:p>
        </w:tc>
      </w:tr>
      <w:tr>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250307002</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肌酐测定</w:t>
            </w:r>
          </w:p>
        </w:tc>
      </w:tr>
      <w:tr>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250307005</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血清尿酸测定</w:t>
            </w:r>
          </w:p>
        </w:tc>
      </w:tr>
      <w:tr>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电解质</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250304001</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钾测定</w:t>
            </w:r>
          </w:p>
        </w:tc>
      </w:tr>
      <w:tr>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250304002</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钠测定</w:t>
            </w:r>
          </w:p>
        </w:tc>
      </w:tr>
      <w:tr>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250304003</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氯测定</w:t>
            </w:r>
          </w:p>
        </w:tc>
      </w:tr>
      <w:tr>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250304004</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钙测定</w:t>
            </w:r>
          </w:p>
        </w:tc>
      </w:tr>
      <w:tr>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250304005</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无机磷测定</w:t>
            </w:r>
          </w:p>
        </w:tc>
      </w:tr>
      <w:tr>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250304010</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血清碳酸氢盐(HCO3)测定</w:t>
            </w:r>
          </w:p>
        </w:tc>
      </w:tr>
      <w:tr>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血脂</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250303001</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血清总胆固醇测定</w:t>
            </w:r>
          </w:p>
        </w:tc>
      </w:tr>
      <w:tr>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250303002</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血清甘油三酯测定</w:t>
            </w:r>
          </w:p>
        </w:tc>
      </w:tr>
      <w:tr>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250303004</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血清高密度脂蛋白胆固醇测定</w:t>
            </w:r>
          </w:p>
        </w:tc>
      </w:tr>
      <w:tr>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250303005</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血清低密度脂蛋白胆固醇测定</w:t>
            </w:r>
          </w:p>
        </w:tc>
      </w:tr>
      <w:tr>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尿常规</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250102035</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尿液分析</w:t>
            </w:r>
          </w:p>
        </w:tc>
      </w:tr>
      <w:tr>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250102024</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尿沉渣定量</w:t>
            </w:r>
          </w:p>
        </w:tc>
      </w:tr>
      <w:tr>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尿白蛋白/肌酐比值</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250307002</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肌酐测定</w:t>
            </w:r>
          </w:p>
        </w:tc>
      </w:tr>
      <w:tr>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250102006</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尿蛋白定量</w:t>
            </w:r>
          </w:p>
        </w:tc>
      </w:tr>
      <w:tr>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250307006</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尿微量白蛋白测定</w:t>
            </w:r>
          </w:p>
        </w:tc>
      </w:tr>
      <w:tr>
        <w:tblPrEx>
          <w:tblCellMar>
            <w:top w:w="0" w:type="dxa"/>
            <w:left w:w="108" w:type="dxa"/>
            <w:bottom w:w="0" w:type="dxa"/>
            <w:right w:w="108" w:type="dxa"/>
          </w:tblCellMar>
        </w:tblPrEx>
        <w:trPr>
          <w:trHeight w:val="91" w:hRule="atLeast"/>
        </w:trPr>
        <w:tc>
          <w:tcPr>
            <w:tcW w:w="816"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tcBorders>
              <w:top w:val="single" w:color="auto" w:sz="4" w:space="0"/>
              <w:left w:val="single" w:color="000000" w:sz="4" w:space="0"/>
              <w:bottom w:val="nil"/>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24小时尿蛋白定量</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250102006</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尿蛋白定量</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ANCA</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250402005</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抗中性粒细胞胞浆抗体测定（ANCA）</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250402005.10</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抗中性粒细胞胞浆抗体测定（cANCA）</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250402005.20</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抗中性粒细胞胞浆抗体测定（pANCA）</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250402005.30</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抗中性粒细胞胞浆抗体测定（PR3-ANCA）</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250402005.40</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抗中性粒细胞胞浆抗体测定（MPO-ANCA）</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抗GBM抗体</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250402019</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抗肾小球基底膜抗体测定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抗磷脂酶A2受体</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250307031</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抗磷脂酶A2受体（PLA2R）抗体检测</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免疫固定电泳</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250301005</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免疫固定电泳</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铁蛋白测定</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250301008</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血清铁蛋白测定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甲状旁腺激素（iPTH）</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250310009</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甲状旁腺激素测定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骨型碱性磷酸酶</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250305013</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血清骨型碱性磷酸酶质量测定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铁生化</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250301008</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血清铁蛋白测定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250301007</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血清转铁蛋白测定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250304008</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血清总铁结合力测定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250304007</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铁测定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心脏超声（限心力衰竭）</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220600004</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心脏彩色多普勒超声</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220600004.01</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心脏彩色多普勒超声（同时做左心功能测定加收</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泌尿系超声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220201002.40</w:t>
            </w:r>
          </w:p>
        </w:tc>
        <w:tc>
          <w:tcPr>
            <w:tcW w:w="3585" w:type="dxa"/>
            <w:tcBorders>
              <w:top w:val="single" w:color="000000" w:sz="4" w:space="0"/>
              <w:left w:val="single" w:color="000000" w:sz="4" w:space="0"/>
              <w:bottom w:val="nil"/>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B超常规检查（泌尿系）</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670"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220301001d</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彩色多普勒超声常规检查(泌尿系)</w:t>
            </w:r>
          </w:p>
        </w:tc>
      </w:tr>
    </w:tbl>
    <w:p>
      <w:pPr>
        <w:spacing w:line="340" w:lineRule="exac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pPr>
        <w:tabs>
          <w:tab w:val="left" w:pos="737"/>
        </w:tabs>
        <w:spacing w:line="340" w:lineRule="exact"/>
        <w:jc w:val="left"/>
        <w:rPr>
          <w:rFonts w:ascii="Times New Roman" w:hAnsi="Times New Roman" w:eastAsia="黑体"/>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2</w:t>
      </w:r>
      <w:r>
        <w:rPr>
          <w:rFonts w:ascii="Times New Roman" w:hAnsi="Times New Roman"/>
          <w:color w:val="000000" w:themeColor="text1"/>
          <w:sz w:val="30"/>
          <w:szCs w:val="30"/>
          <w14:textFill>
            <w14:solidFill>
              <w14:schemeClr w14:val="tx1"/>
            </w14:solidFill>
          </w14:textFill>
        </w:rPr>
        <w:t>8.</w:t>
      </w:r>
      <w:r>
        <w:rPr>
          <w:rFonts w:ascii="Times New Roman" w:hAnsi="Times New Roman" w:eastAsia="黑体"/>
          <w:color w:val="000000" w:themeColor="text1"/>
          <w:sz w:val="30"/>
          <w:szCs w:val="30"/>
          <w14:textFill>
            <w14:solidFill>
              <w14:schemeClr w14:val="tx1"/>
            </w14:solidFill>
          </w14:textFill>
        </w:rPr>
        <w:t>类风湿性关节炎、幼年特发性关节炎</w:t>
      </w:r>
    </w:p>
    <w:tbl>
      <w:tblPr>
        <w:tblStyle w:val="4"/>
        <w:tblW w:w="8903" w:type="dxa"/>
        <w:tblInd w:w="93" w:type="dxa"/>
        <w:tblLayout w:type="fixed"/>
        <w:tblCellMar>
          <w:top w:w="0" w:type="dxa"/>
          <w:left w:w="108" w:type="dxa"/>
          <w:bottom w:w="0" w:type="dxa"/>
          <w:right w:w="108" w:type="dxa"/>
        </w:tblCellMar>
      </w:tblPr>
      <w:tblGrid>
        <w:gridCol w:w="758"/>
        <w:gridCol w:w="1290"/>
        <w:gridCol w:w="2580"/>
        <w:gridCol w:w="1500"/>
        <w:gridCol w:w="2775"/>
      </w:tblGrid>
      <w:tr>
        <w:tblPrEx>
          <w:tblCellMar>
            <w:top w:w="0" w:type="dxa"/>
            <w:left w:w="108" w:type="dxa"/>
            <w:bottom w:w="0" w:type="dxa"/>
            <w:right w:w="108" w:type="dxa"/>
          </w:tblCellMar>
        </w:tblPrEx>
        <w:trPr>
          <w:trHeight w:val="91"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3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类风湿性关节炎、幼年特发性关节炎</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M05.101+J99.0*</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类风湿性关节炎伴肺泡炎</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M05.102+J99.0*</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类风湿性关节炎伴肺间质纤维化</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M05.300</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类风湿性关节炎，累及其他器官和系统</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M05.301+G63.6*</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类风湿性关节炎伴多神经病</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M05.302+I43.8*</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类风湿性关节炎伴心肌病</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M05.303+G73.7*</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类风湿性关节炎相关性肌病</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M05.304+I52.8*</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类风湿性关节炎伴心炎</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M05.305+I32.8*</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类风湿性关节炎伴心包炎</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M05.306+I41.8*</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类风湿性关节炎伴心肌炎</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M05.307+I39.8*</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类风湿性关节炎伴心内膜炎</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M05.308</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累及全身类风湿性关节炎</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M05.800</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血清反应阳性的类风湿性关节炎,其他的</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M05.900</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血清反应阳性的类风湿性关节炎</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M05.900x093</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累及内脏的类风湿性关节炎</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M06.000</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血清反应阴性的类风湿性关节炎</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M06.800</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类风湿性关节炎，其他特指的</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M06.800x051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类风湿性髋关节炎</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M06.800x071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类风湿性足关节炎</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M06.900</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类风湿性关节炎</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M06.900x001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类风湿性骨盆和大腿关节炎</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M06.901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类风湿性肩关节关节炎</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M06.902</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类风湿性肘关节关节炎</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M06.903</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类风湿性腕关节关节炎</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M06.904</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类风湿性手骨间关节关节炎</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M06.906</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类风湿性膝关节关节炎</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M06.907</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类风湿性踝关节关节炎</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M06.908</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类风湿性斜颈</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M06.909</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类风湿性多部位关节炎</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M08.300x001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多关节型儿童类风湿病</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atLeas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M08.000</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atLeas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幼年型类风湿性关节炎</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40" w:lineRule="atLeast"/>
              <w:jc w:val="left"/>
              <w:textAlignment w:val="auto"/>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val="en-US" w:eastAsia="zh-CN" w:bidi="ar"/>
                <w14:textFill>
                  <w14:solidFill>
                    <w14:schemeClr w14:val="tx1"/>
                  </w14:solidFill>
                </w14:textFill>
              </w:rPr>
              <w:t>M08.001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40" w:lineRule="atLeast"/>
              <w:jc w:val="left"/>
              <w:textAlignment w:val="auto"/>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val="en-US" w:eastAsia="zh-CN" w:bidi="ar"/>
                <w14:textFill>
                  <w14:solidFill>
                    <w14:schemeClr w14:val="tx1"/>
                  </w14:solidFill>
                </w14:textFill>
              </w:rPr>
              <w:t>幼年型类风湿因子阴性关节炎</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40" w:lineRule="atLeast"/>
              <w:textAlignment w:val="auto"/>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val="en-US" w:eastAsia="zh-CN" w:bidi="ar"/>
                <w14:textFill>
                  <w14:solidFill>
                    <w14:schemeClr w14:val="tx1"/>
                  </w14:solidFill>
                </w14:textFill>
              </w:rPr>
              <w:t>M08.002</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40" w:lineRule="atLeast"/>
              <w:jc w:val="left"/>
              <w:textAlignment w:val="auto"/>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仿宋" w:hAnsi="仿宋" w:eastAsia="仿宋" w:cs="仿宋"/>
                <w:color w:val="000000" w:themeColor="text1"/>
                <w:szCs w:val="32"/>
                <w:lang w:val="en-US" w:eastAsia="zh-CN"/>
                <w14:textFill>
                  <w14:solidFill>
                    <w14:schemeClr w14:val="tx1"/>
                  </w14:solidFill>
                </w14:textFill>
              </w:rPr>
              <w:t>幼年型类风湿因子阳性关节炎</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atLeast"/>
              <w:jc w:val="both"/>
              <w:textAlignment w:val="auto"/>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val="en-US" w:eastAsia="zh-CN" w:bidi="ar"/>
                <w14:textFill>
                  <w14:solidFill>
                    <w14:schemeClr w14:val="tx1"/>
                  </w14:solidFill>
                </w14:textFill>
              </w:rPr>
              <w:t>M08.100</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40" w:lineRule="atLeast"/>
              <w:jc w:val="both"/>
              <w:textAlignment w:val="auto"/>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仿宋" w:hAnsi="仿宋" w:eastAsia="仿宋" w:cs="仿宋"/>
                <w:color w:val="000000" w:themeColor="text1"/>
                <w:szCs w:val="32"/>
                <w:lang w:val="en-US" w:eastAsia="zh-CN"/>
                <w14:textFill>
                  <w14:solidFill>
                    <w14:schemeClr w14:val="tx1"/>
                  </w14:solidFill>
                </w14:textFill>
              </w:rPr>
              <w:t>幼年型关节强硬性脊椎炎</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atLeast"/>
              <w:jc w:val="both"/>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M08.800x091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atLeas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幼年型特发性关节炎</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atLeast"/>
              <w:jc w:val="both"/>
              <w:textAlignment w:val="auto"/>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val="en-US" w:eastAsia="zh-CN" w:bidi="ar"/>
                <w14:textFill>
                  <w14:solidFill>
                    <w14:schemeClr w14:val="tx1"/>
                  </w14:solidFill>
                </w14:textFill>
              </w:rPr>
              <w:t>M08.100x092</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atLeast"/>
              <w:jc w:val="both"/>
              <w:textAlignment w:val="auto"/>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仿宋" w:hAnsi="仿宋" w:eastAsia="仿宋" w:cs="仿宋"/>
                <w:color w:val="000000" w:themeColor="text1"/>
                <w:szCs w:val="32"/>
                <w:lang w:val="en-US" w:eastAsia="zh-CN"/>
                <w14:textFill>
                  <w14:solidFill>
                    <w14:schemeClr w14:val="tx1"/>
                  </w14:solidFill>
                </w14:textFill>
              </w:rPr>
              <w:t>幼年型脊椎关节炎</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atLeast"/>
              <w:jc w:val="both"/>
              <w:textAlignment w:val="auto"/>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val="en-US" w:eastAsia="zh-CN" w:bidi="ar"/>
                <w14:textFill>
                  <w14:solidFill>
                    <w14:schemeClr w14:val="tx1"/>
                  </w14:solidFill>
                </w14:textFill>
              </w:rPr>
              <w:t>M08.200</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atLeast"/>
              <w:jc w:val="both"/>
              <w:textAlignment w:val="auto"/>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仿宋" w:hAnsi="仿宋" w:eastAsia="仿宋" w:cs="仿宋"/>
                <w:color w:val="000000" w:themeColor="text1"/>
                <w:szCs w:val="32"/>
                <w:lang w:val="en-US" w:eastAsia="zh-CN"/>
                <w14:textFill>
                  <w14:solidFill>
                    <w14:schemeClr w14:val="tx1"/>
                  </w14:solidFill>
                </w14:textFill>
              </w:rPr>
              <w:t>幼年型关节炎伴有全身性发病</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atLeast"/>
              <w:jc w:val="both"/>
              <w:textAlignment w:val="auto"/>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val="en-US" w:eastAsia="zh-CN" w:bidi="ar"/>
                <w14:textFill>
                  <w14:solidFill>
                    <w14:schemeClr w14:val="tx1"/>
                  </w14:solidFill>
                </w14:textFill>
              </w:rPr>
              <w:t>M08.201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atLeast"/>
              <w:jc w:val="both"/>
              <w:textAlignment w:val="auto"/>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仿宋" w:hAnsi="仿宋" w:eastAsia="仿宋" w:cs="仿宋"/>
                <w:color w:val="000000" w:themeColor="text1"/>
                <w:szCs w:val="32"/>
                <w:lang w:val="en-US" w:eastAsia="zh-CN"/>
                <w14:textFill>
                  <w14:solidFill>
                    <w14:schemeClr w14:val="tx1"/>
                  </w14:solidFill>
                </w14:textFill>
              </w:rPr>
              <w:t>幼年型斯蒂尔病</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atLeast"/>
              <w:jc w:val="both"/>
              <w:textAlignment w:val="auto"/>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val="en-US" w:eastAsia="zh-CN" w:bidi="ar"/>
                <w14:textFill>
                  <w14:solidFill>
                    <w14:schemeClr w14:val="tx1"/>
                  </w14:solidFill>
                </w14:textFill>
              </w:rPr>
              <w:t>M08.300</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atLeast"/>
              <w:jc w:val="both"/>
              <w:textAlignment w:val="auto"/>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仿宋" w:hAnsi="仿宋" w:eastAsia="仿宋" w:cs="仿宋"/>
                <w:color w:val="000000" w:themeColor="text1"/>
                <w:szCs w:val="32"/>
                <w:lang w:val="en-US" w:eastAsia="zh-CN"/>
                <w14:textFill>
                  <w14:solidFill>
                    <w14:schemeClr w14:val="tx1"/>
                  </w14:solidFill>
                </w14:textFill>
              </w:rPr>
              <w:t>幼年型多关节炎(血清反应阴性)</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atLeast"/>
              <w:jc w:val="both"/>
              <w:textAlignment w:val="auto"/>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val="en-US" w:eastAsia="zh-CN" w:bidi="ar"/>
                <w14:textFill>
                  <w14:solidFill>
                    <w14:schemeClr w14:val="tx1"/>
                  </w14:solidFill>
                </w14:textFill>
              </w:rPr>
              <w:t>M08.301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atLeast"/>
              <w:jc w:val="both"/>
              <w:textAlignment w:val="auto"/>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仿宋" w:hAnsi="仿宋" w:eastAsia="仿宋" w:cs="仿宋"/>
                <w:color w:val="000000" w:themeColor="text1"/>
                <w:szCs w:val="32"/>
                <w:lang w:val="en-US" w:eastAsia="zh-CN"/>
                <w14:textFill>
                  <w14:solidFill>
                    <w14:schemeClr w14:val="tx1"/>
                  </w14:solidFill>
                </w14:textFill>
              </w:rPr>
              <w:t>慢性幼年型多关节炎</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atLeast"/>
              <w:jc w:val="both"/>
              <w:textAlignment w:val="auto"/>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val="en-US" w:eastAsia="zh-CN" w:bidi="ar"/>
                <w14:textFill>
                  <w14:solidFill>
                    <w14:schemeClr w14:val="tx1"/>
                  </w14:solidFill>
                </w14:textFill>
              </w:rPr>
              <w:t>M08.400</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atLeast"/>
              <w:jc w:val="both"/>
              <w:textAlignment w:val="auto"/>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仿宋" w:hAnsi="仿宋" w:eastAsia="仿宋" w:cs="仿宋"/>
                <w:color w:val="000000" w:themeColor="text1"/>
                <w:szCs w:val="32"/>
                <w:lang w:val="en-US" w:eastAsia="zh-CN"/>
                <w14:textFill>
                  <w14:solidFill>
                    <w14:schemeClr w14:val="tx1"/>
                  </w14:solidFill>
                </w14:textFill>
              </w:rPr>
              <w:t>少关节性幼年型关节炎</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atLeast"/>
              <w:jc w:val="both"/>
              <w:textAlignment w:val="auto"/>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val="en-US" w:eastAsia="zh-CN" w:bidi="ar"/>
                <w14:textFill>
                  <w14:solidFill>
                    <w14:schemeClr w14:val="tx1"/>
                  </w14:solidFill>
                </w14:textFill>
              </w:rPr>
              <w:t>M08.800</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atLeast"/>
              <w:jc w:val="both"/>
              <w:textAlignment w:val="auto"/>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仿宋" w:hAnsi="仿宋" w:eastAsia="仿宋" w:cs="仿宋"/>
                <w:color w:val="000000" w:themeColor="text1"/>
                <w:szCs w:val="32"/>
                <w:lang w:val="en-US" w:eastAsia="zh-CN"/>
                <w14:textFill>
                  <w14:solidFill>
                    <w14:schemeClr w14:val="tx1"/>
                  </w14:solidFill>
                </w14:textFill>
              </w:rPr>
              <w:t>幼年型关节炎，其他的</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atLeast"/>
              <w:jc w:val="both"/>
              <w:textAlignment w:val="auto"/>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val="en-US" w:eastAsia="zh-CN" w:bidi="ar"/>
                <w14:textFill>
                  <w14:solidFill>
                    <w14:schemeClr w14:val="tx1"/>
                  </w14:solidFill>
                </w14:textFill>
              </w:rPr>
              <w:t>M08.900</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atLeast"/>
              <w:jc w:val="both"/>
              <w:textAlignment w:val="auto"/>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仿宋" w:hAnsi="仿宋" w:eastAsia="仿宋" w:cs="仿宋"/>
                <w:color w:val="000000" w:themeColor="text1"/>
                <w:szCs w:val="32"/>
                <w:lang w:val="en-US" w:eastAsia="zh-CN"/>
                <w14:textFill>
                  <w14:solidFill>
                    <w14:schemeClr w14:val="tx1"/>
                  </w14:solidFill>
                </w14:textFill>
              </w:rPr>
              <w:t>幼年型关节炎</w:t>
            </w:r>
          </w:p>
        </w:tc>
      </w:tr>
      <w:tr>
        <w:tblPrEx>
          <w:tblCellMar>
            <w:top w:w="0" w:type="dxa"/>
            <w:left w:w="108" w:type="dxa"/>
            <w:bottom w:w="0" w:type="dxa"/>
            <w:right w:w="108" w:type="dxa"/>
          </w:tblCellMar>
        </w:tblPrEx>
        <w:trPr>
          <w:trHeight w:val="140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8145" w:type="dxa"/>
            <w:gridSpan w:val="4"/>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jc w:val="left"/>
              <w:textAlignment w:val="top"/>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类风湿性关节炎诊断标准：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一、必要条件</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（一）至少一个关节肿痛，并有滑膜炎的证据（临床、超声或磁共振成像）；</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（二）排除其他疾病引起的关节炎症状和体征。</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二、分类评分系统：分为四个板块，在每个板块内，取患者符合条件的最高分值。将四个板块的分值相加即为最终评分。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（一）关节受累情况（0－5分）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1、1个中到大的关节（0分）；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2、2－10个中大关节（1分）；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3、1－3个小关节（2分）；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4、4－10个小关节（3分）；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5、超过10个关节（至少一个为小关节）（5分）。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（二）血清学（0－3分）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1、类风湿因子（RF）和抗环瓜氨酸肽抗体（抗CCP）阴性（0分）；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2、类风湿因子（RF）或抗环瓜氨酸肽抗体（抗CCP）低滴度阳性（滴度超过正常上限，但不高于3倍正常值上限）（2分）；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3、类风湿因子（RF）或抗环瓜氨酸肽抗体（抗CCP）高滴度阳性（滴度超过3倍正常值上限）（3分）。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（三）滑膜炎持续时间（0－1分）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1、少于6周（0分）；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2、6周或更长时间（1分）。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（四）急性期反应物（0－1分）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1、C-反应蛋白（CRP）和红细胞沉降率(ESR)均正常（0分）；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2、C-反应蛋白（CRP）或红细胞沉降率(ESR)升高（1分）。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同时满足2项必要条件，并有常规典型放射学类风湿关节炎骨破坏的改变，可明确诊断为类风湿关节炎。</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如果满足2项必要条件，但没有常规典型放射学类风湿关节炎骨破坏的改变，需要进入上述分类评分系统，评分≥6分可明确诊断类风湿关节炎。</w:t>
            </w:r>
          </w:p>
          <w:p>
            <w:pPr>
              <w:keepNext w:val="0"/>
              <w:keepLines w:val="0"/>
              <w:pageBreakBefore w:val="0"/>
              <w:widowControl/>
              <w:kinsoku/>
              <w:wordWrap/>
              <w:overflowPunct/>
              <w:topLinePunct w:val="0"/>
              <w:autoSpaceDE/>
              <w:autoSpaceDN/>
              <w:bidi w:val="0"/>
              <w:adjustRightInd/>
              <w:snapToGrid/>
              <w:spacing w:line="320" w:lineRule="exact"/>
              <w:jc w:val="left"/>
              <w:textAlignment w:val="top"/>
              <w:rPr>
                <w:rFonts w:ascii="Times New Roman" w:hAnsi="Times New Roman" w:eastAsia="方正仿宋_GBK" w:cs="方正仿宋_GBK"/>
                <w:color w:val="000000" w:themeColor="text1"/>
                <w:kern w:val="0"/>
                <w:szCs w:val="21"/>
                <w:lang w:bidi="ar"/>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top"/>
              <w:rPr>
                <w:rFonts w:ascii="Times New Roman" w:hAnsi="Times New Roman" w:eastAsia="方正仿宋_GBK" w:cs="方正仿宋_GBK"/>
                <w:color w:val="000000" w:themeColor="text1"/>
                <w:kern w:val="0"/>
                <w:szCs w:val="21"/>
                <w:lang w:bidi="ar"/>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幼年特发性关节炎诊断标准：</w:t>
            </w:r>
          </w:p>
          <w:p>
            <w:pPr>
              <w:keepNext w:val="0"/>
              <w:keepLines w:val="0"/>
              <w:pageBreakBefore w:val="0"/>
              <w:widowControl/>
              <w:kinsoku/>
              <w:wordWrap/>
              <w:overflowPunct/>
              <w:topLinePunct w:val="0"/>
              <w:autoSpaceDE/>
              <w:autoSpaceDN/>
              <w:bidi w:val="0"/>
              <w:adjustRightInd/>
              <w:snapToGrid/>
              <w:spacing w:line="320" w:lineRule="exact"/>
              <w:jc w:val="left"/>
              <w:textAlignment w:val="top"/>
              <w:rPr>
                <w:rFonts w:ascii="Times New Roman" w:hAnsi="Times New Roman" w:eastAsia="方正仿宋_GBK" w:cs="方正仿宋_GBK"/>
                <w:color w:val="000000" w:themeColor="text1"/>
                <w:kern w:val="0"/>
                <w:szCs w:val="21"/>
                <w:lang w:bidi="ar"/>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16岁以前起病，持续6周或6周以上的单关节炎或多关节炎，并除外其他已知原因。</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JIA的国际风湿病联盟分类标准（ILAR，Edmonton,2001)</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1.全身型JIA：关节炎≥1个关节，发热至少2周（弛张高热a），至少持续3天，伴有以下一项或以上症状：</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(1)间断出现的(非固定的)红斑样皮疹；</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(2)全身淋巴结肿大；</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(3)肝和（或）脾增大；</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(4)浆膜炎b。</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需要排除的情况：A．银屑病或患者或一级亲属有银屑病病史</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B．大于6岁、HLA-B27阳性的男性关节炎患者</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C．患强直性脊柱炎、附着点炎症相关的关节炎、伴炎症性肠病的骶髂关节炎、瑞特综合征或急性前葡萄膜炎，或一级亲属中有上述疾病之一</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D．至少两次类风湿因子IgM阳性，两次间隔至少3个月。</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2.少关节型JIA：发病最初6个月1～4个关节受累，分2个亚类：(1)持续性少关节型：整个疾病过程中关节受累数≤4个；</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(2)扩展性关节型：病程6个月后受累关节数＞4个。</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需要排除的情况：A、B、C、D+E，E.有全身型JIA表现。</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3.多关节JIA</w:t>
            </w:r>
            <w:r>
              <w:rPr>
                <w:rStyle w:val="14"/>
                <w:rFonts w:ascii="Times New Roman" w:hAnsi="Times New Roman" w:eastAsia="方正仿宋_GBK"/>
                <w:color w:val="000000" w:themeColor="text1"/>
                <w:sz w:val="21"/>
                <w:szCs w:val="21"/>
                <w:lang w:bidi="ar"/>
                <w14:textFill>
                  <w14:solidFill>
                    <w14:schemeClr w14:val="tx1"/>
                  </w14:solidFill>
                </w14:textFill>
              </w:rPr>
              <w:t xml:space="preserve"> </w:t>
            </w:r>
            <w:r>
              <w:rPr>
                <w:rFonts w:ascii="Times New Roman" w:hAnsi="Times New Roman" w:eastAsia="方正仿宋_GBK" w:cs="方正仿宋_GBK"/>
                <w:color w:val="000000" w:themeColor="text1"/>
                <w:kern w:val="0"/>
                <w:szCs w:val="21"/>
                <w:lang w:bidi="ar"/>
                <w14:textFill>
                  <w14:solidFill>
                    <w14:schemeClr w14:val="tx1"/>
                  </w14:solidFill>
                </w14:textFill>
              </w:rPr>
              <w:t>（RF阴性）：发病最初的6个月，受累关节≥5个，RF阴性。需要排除的情况：A、B、C、D、E。</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4.多关节型JIA（RF阳性）：发病最初6个月，受累关节≥5个；在疾病的前6个月RF阳性≥2次，两次间隔至少3个月。需要排除的情况：A、B、C、E。</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5.银屑病关节炎：关节炎合并银屑病，或关节炎合并以下至少2项：(1)指(趾)炎c；</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(2)指甲凹陷或指甲脱离d；</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(3)一级亲属患银屑病。需要排除的情况：B、C、D、E。</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6.与附着点炎症相关的关节炎:关节炎和附着点炎症e，或关节炎或附着点炎症伴以下至少两项：</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(1)骶髂关节压痛或炎症性腰骶部疼痛f或既往有上述疾病；</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(2)HLA-B27阳性；</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(3)6岁以后发病的男性关节炎患者；</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(4)急性（症状性）前葡萄膜炎；</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(5)一级亲属中有强直性脊柱炎、与附着点炎症相关的关节炎、伴炎症性肠病的骶髂关节炎、瑞特综合征或急性前葡萄膜炎病史。需要排除的情况：A、D、E。</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7.未分类的JIA：不符合上述任何一项或符合上述2项以上类别的关节炎。</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注：a弛张热定义为一天中体温峰值可达39℃，两个峰值之间体温可下降至37℃。</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b浆膜炎包括心包炎、胸膜炎、腹膜炎或同时具备三者。</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C指（趾）炎指至少1个指（趾）肿胀，常呈非对称性分布，并可延伸至指（趾）端。</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d任何时候出现一个或一个以上指甲至少两处凹陷。</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e附着点炎症指肌腱、韧带、关节囊或骨筋膜附着处压痛。</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f炎症性腰骶部疼痛指腰骶部疼痛伴有晨僵，活动后减轻。</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RF:类风湿因子。</w:t>
            </w:r>
          </w:p>
        </w:tc>
      </w:tr>
      <w:tr>
        <w:tblPrEx>
          <w:tblCellMar>
            <w:top w:w="0" w:type="dxa"/>
            <w:left w:w="108" w:type="dxa"/>
            <w:bottom w:w="0" w:type="dxa"/>
            <w:right w:w="108" w:type="dxa"/>
          </w:tblCellMar>
        </w:tblPrEx>
        <w:trPr>
          <w:trHeight w:val="91" w:hRule="atLeast"/>
        </w:trPr>
        <w:tc>
          <w:tcPr>
            <w:tcW w:w="75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38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500"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医保目录药品分类代码</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1" w:hRule="atLeast"/>
        </w:trPr>
        <w:tc>
          <w:tcPr>
            <w:tcW w:w="75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2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病因治疗</w:t>
            </w:r>
          </w:p>
        </w:tc>
        <w:tc>
          <w:tcPr>
            <w:tcW w:w="2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全身用皮质激素类</w:t>
            </w:r>
          </w:p>
        </w:tc>
        <w:tc>
          <w:tcPr>
            <w:tcW w:w="1500" w:type="dxa"/>
            <w:tcBorders>
              <w:top w:val="nil"/>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XH02</w:t>
            </w:r>
          </w:p>
        </w:tc>
        <w:tc>
          <w:tcPr>
            <w:tcW w:w="2775" w:type="dxa"/>
            <w:tcBorders>
              <w:top w:val="nil"/>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全身用皮质激素类</w:t>
            </w:r>
          </w:p>
        </w:tc>
      </w:tr>
      <w:tr>
        <w:tblPrEx>
          <w:tblCellMar>
            <w:top w:w="0" w:type="dxa"/>
            <w:left w:w="108" w:type="dxa"/>
            <w:bottom w:w="0" w:type="dxa"/>
            <w:right w:w="108" w:type="dxa"/>
          </w:tblCellMar>
        </w:tblPrEx>
        <w:trPr>
          <w:trHeight w:val="91" w:hRule="atLeast"/>
        </w:trPr>
        <w:tc>
          <w:tcPr>
            <w:tcW w:w="75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免疫抑制剂</w:t>
            </w:r>
          </w:p>
        </w:tc>
        <w:tc>
          <w:tcPr>
            <w:tcW w:w="150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XL04</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免疫抑制剂</w:t>
            </w:r>
          </w:p>
        </w:tc>
      </w:tr>
      <w:tr>
        <w:tblPrEx>
          <w:tblCellMar>
            <w:top w:w="0" w:type="dxa"/>
            <w:left w:w="108" w:type="dxa"/>
            <w:bottom w:w="0" w:type="dxa"/>
            <w:right w:w="108" w:type="dxa"/>
          </w:tblCellMar>
        </w:tblPrEx>
        <w:trPr>
          <w:trHeight w:val="91" w:hRule="atLeast"/>
        </w:trPr>
        <w:tc>
          <w:tcPr>
            <w:tcW w:w="75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5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白介素抑制剂</w:t>
            </w:r>
          </w:p>
        </w:tc>
        <w:tc>
          <w:tcPr>
            <w:tcW w:w="1500"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XL04AC</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白介素抑制剂</w:t>
            </w:r>
          </w:p>
        </w:tc>
      </w:tr>
      <w:tr>
        <w:tblPrEx>
          <w:tblCellMar>
            <w:top w:w="0" w:type="dxa"/>
            <w:left w:w="108" w:type="dxa"/>
            <w:bottom w:w="0" w:type="dxa"/>
            <w:right w:w="108" w:type="dxa"/>
          </w:tblCellMar>
        </w:tblPrEx>
        <w:trPr>
          <w:trHeight w:val="91" w:hRule="atLeast"/>
        </w:trPr>
        <w:tc>
          <w:tcPr>
            <w:tcW w:w="75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小分子靶向药物</w:t>
            </w:r>
          </w:p>
        </w:tc>
        <w:tc>
          <w:tcPr>
            <w:tcW w:w="150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XL04AA</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选择性免疫抑制剂</w:t>
            </w:r>
          </w:p>
        </w:tc>
      </w:tr>
      <w:tr>
        <w:tblPrEx>
          <w:tblCellMar>
            <w:top w:w="0" w:type="dxa"/>
            <w:left w:w="108" w:type="dxa"/>
            <w:bottom w:w="0" w:type="dxa"/>
            <w:right w:w="108" w:type="dxa"/>
          </w:tblCellMar>
        </w:tblPrEx>
        <w:trPr>
          <w:trHeight w:val="91" w:hRule="atLeast"/>
        </w:trPr>
        <w:tc>
          <w:tcPr>
            <w:tcW w:w="75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5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单抗类</w:t>
            </w:r>
          </w:p>
        </w:tc>
        <w:tc>
          <w:tcPr>
            <w:tcW w:w="1500"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XL04AB</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肿瘤坏死因子α(TNF-α)抑制剂</w:t>
            </w:r>
          </w:p>
        </w:tc>
      </w:tr>
      <w:tr>
        <w:tblPrEx>
          <w:tblCellMar>
            <w:top w:w="0" w:type="dxa"/>
            <w:left w:w="108" w:type="dxa"/>
            <w:bottom w:w="0" w:type="dxa"/>
            <w:right w:w="108" w:type="dxa"/>
          </w:tblCellMar>
        </w:tblPrEx>
        <w:trPr>
          <w:trHeight w:val="91" w:hRule="atLeast"/>
        </w:trPr>
        <w:tc>
          <w:tcPr>
            <w:tcW w:w="758" w:type="dxa"/>
            <w:vMerge w:val="continue"/>
            <w:tcBorders>
              <w:top w:val="single" w:color="auto" w:sz="4" w:space="0"/>
              <w:left w:val="single" w:color="auto" w:sz="4" w:space="0"/>
              <w:bottom w:val="single" w:color="000000" w:sz="4" w:space="0"/>
              <w:right w:val="single" w:color="auto"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290" w:type="dxa"/>
            <w:vMerge w:val="continue"/>
            <w:tcBorders>
              <w:top w:val="single" w:color="auto" w:sz="4" w:space="0"/>
              <w:left w:val="single" w:color="auto" w:sz="4" w:space="0"/>
              <w:bottom w:val="nil"/>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58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非甾体类抗炎和抗风湿药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XM01A</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非甾体类抗炎和抗风湿药</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并发症治疗（血管炎/肺间质病变/周围神经病变/骨质疏松）</w:t>
            </w:r>
          </w:p>
        </w:tc>
        <w:tc>
          <w:tcPr>
            <w:tcW w:w="25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抗纤维化治疗药物（限肺间质纤维化）</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XL04AX</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其他免疫抑制剂</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升白细胞、血小板类药物</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XB03B</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维生素B12和叶酸</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钙代谢调节药物</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XA11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维生素类</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XA12</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矿物质补充剂</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单方调节血脂药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XC10A</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单方调节血脂药</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钙离子拮抗剂</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XC08</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钙通道阻滞剂</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5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血小板凝聚抑制剂，肝素除外</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XB01AC</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血小板凝聚抑制剂，肝素除外</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内皮素-l受体拮抗剂及5型磷酸二酯酶抑制剂（限肺动脉高压）</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XC02K</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其他抗高血压药</w:t>
            </w:r>
          </w:p>
        </w:tc>
      </w:tr>
      <w:tr>
        <w:tblPrEx>
          <w:tblCellMar>
            <w:top w:w="0" w:type="dxa"/>
            <w:left w:w="108" w:type="dxa"/>
            <w:bottom w:w="0" w:type="dxa"/>
            <w:right w:w="108" w:type="dxa"/>
          </w:tblCellMar>
        </w:tblPrEx>
        <w:trPr>
          <w:trHeight w:val="91"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38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医保目录医疗服务项目编码</w:t>
            </w:r>
          </w:p>
        </w:tc>
        <w:tc>
          <w:tcPr>
            <w:tcW w:w="2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血常规</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血细胞分析</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肝功能</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250305001</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血清总胆红素测定</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250305002</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血清直接胆红素测定</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250305003</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血清间接胆红素测定</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250305007</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血清丙氨酸氨基转移酶测定</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250305008</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血清天门冬氨酸氨基转移酶测定</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250305009</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血清γ-谷氨酰基转移酶测定</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250305011</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血清碱性磷酸酶测定</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250301001</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血清总蛋白测定</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250301002</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血清白蛋白测定</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肾功能</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尿素测定</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250307002</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肌酐测定</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血清尿酸测定</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血沉</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250101008</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红细胞沉降率测定(ESR)</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C反应蛋白</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250401025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C—反应蛋白测定(CRP)</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波型蛋白</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CGKE1000</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抗突变型瓜氨酸波型蛋白(MCV)抗体测定</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CCP</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250402041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抗环瓜氨酸肽抗体(抗CCP抗体)测定</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类风湿因子</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250402035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类风湿因子(RF)测定</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胸部CT（医保基金支付不超过1次/年）</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210300001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X线计算机体层(CT)平扫</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210300002</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X线计算机体层(CT)增强扫描</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EBAJT001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胸部X线计算机体层(CT)平扫</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EBBJT001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胸部X线计算机体层(CT)增强扫描</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肺功能（限肺间质纤维化，医保基金支付不超过1次/年）</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310601001</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肺通气功能检查</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310601002</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肺弥散功能检查</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310601005</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残气容积测定</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310601006</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强迫振荡肺功能检查</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310601008</w:t>
            </w:r>
          </w:p>
        </w:tc>
        <w:tc>
          <w:tcPr>
            <w:tcW w:w="27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流速容量曲线(V—V曲线)</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骨密度测定（医保基金支付不超过1次/年）</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230200055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骨密度测定</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X线（医保基金支付不超过1次/年）</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210101001</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普通透视</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210101001.40</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普通透视(四肢)</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210102015</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数字化X线摄影(DR)</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8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210102016</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计算机X线摄影(ComputedRadiography,CR)</w:t>
            </w:r>
          </w:p>
        </w:tc>
      </w:tr>
    </w:tbl>
    <w:p>
      <w:pPr>
        <w:spacing w:line="340" w:lineRule="exact"/>
        <w:rPr>
          <w:rFonts w:ascii="Times New Roman" w:hAnsi="Times New Roman"/>
          <w:color w:val="000000" w:themeColor="text1"/>
          <w:sz w:val="30"/>
          <w:szCs w:val="30"/>
          <w14:textFill>
            <w14:solidFill>
              <w14:schemeClr w14:val="tx1"/>
            </w14:solidFill>
          </w14:textFill>
        </w:rPr>
      </w:pPr>
    </w:p>
    <w:p>
      <w:pPr>
        <w:tabs>
          <w:tab w:val="left" w:pos="737"/>
        </w:tabs>
        <w:spacing w:line="340" w:lineRule="exact"/>
        <w:jc w:val="lef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r>
        <w:rPr>
          <w:rFonts w:ascii="Times New Roman" w:hAnsi="Times New Roman"/>
          <w:color w:val="000000" w:themeColor="text1"/>
          <w:sz w:val="30"/>
          <w:szCs w:val="30"/>
          <w14:textFill>
            <w14:solidFill>
              <w14:schemeClr w14:val="tx1"/>
            </w14:solidFill>
          </w14:textFill>
        </w:rPr>
        <w:t>29.</w:t>
      </w:r>
      <w:r>
        <w:rPr>
          <w:rFonts w:ascii="Times New Roman" w:hAnsi="Times New Roman" w:eastAsia="黑体"/>
          <w:color w:val="000000" w:themeColor="text1"/>
          <w:sz w:val="30"/>
          <w:szCs w:val="30"/>
          <w14:textFill>
            <w14:solidFill>
              <w14:schemeClr w14:val="tx1"/>
            </w14:solidFill>
          </w14:textFill>
        </w:rPr>
        <w:t>良性前列腺增生症</w:t>
      </w:r>
    </w:p>
    <w:tbl>
      <w:tblPr>
        <w:tblStyle w:val="4"/>
        <w:tblW w:w="8691" w:type="dxa"/>
        <w:tblInd w:w="93" w:type="dxa"/>
        <w:tblLayout w:type="fixed"/>
        <w:tblCellMar>
          <w:top w:w="0" w:type="dxa"/>
          <w:left w:w="108" w:type="dxa"/>
          <w:bottom w:w="0" w:type="dxa"/>
          <w:right w:w="108" w:type="dxa"/>
        </w:tblCellMar>
      </w:tblPr>
      <w:tblGrid>
        <w:gridCol w:w="695"/>
        <w:gridCol w:w="3286"/>
        <w:gridCol w:w="1710"/>
        <w:gridCol w:w="3000"/>
      </w:tblGrid>
      <w:tr>
        <w:tblPrEx>
          <w:tblCellMar>
            <w:top w:w="0" w:type="dxa"/>
            <w:left w:w="108" w:type="dxa"/>
            <w:bottom w:w="0" w:type="dxa"/>
            <w:right w:w="108" w:type="dxa"/>
          </w:tblCellMar>
        </w:tblPrEx>
        <w:trPr>
          <w:trHeight w:val="91" w:hRule="atLeast"/>
        </w:trPr>
        <w:tc>
          <w:tcPr>
            <w:tcW w:w="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3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1"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良性前列腺增生</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N40.x00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前列腺增生</w:t>
            </w:r>
          </w:p>
        </w:tc>
      </w:tr>
      <w:tr>
        <w:tblPrEx>
          <w:tblCellMar>
            <w:top w:w="0" w:type="dxa"/>
            <w:left w:w="108" w:type="dxa"/>
            <w:bottom w:w="0" w:type="dxa"/>
            <w:right w:w="108" w:type="dxa"/>
          </w:tblCellMar>
        </w:tblPrEx>
        <w:trPr>
          <w:trHeight w:val="9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79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一、年龄≥55岁，有尿频、排尿困难或尿潴留等症状。</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二、出现以下之一并发症：合并下尿路梗阻相关肾、输尿管积水、反复泌尿系统感染、反复肉眼血尿、膀胱结石、膀胱憩室、腹股沟疝、尿潴留2次及以上。</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三、超声检查前列腺增大，且膀胱残余尿量≥50ml或最大尿流率&lt;10ml/s。</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满足一和二或满足一和三。</w:t>
            </w:r>
          </w:p>
        </w:tc>
      </w:tr>
      <w:tr>
        <w:tblPrEx>
          <w:tblCellMar>
            <w:top w:w="0" w:type="dxa"/>
            <w:left w:w="108" w:type="dxa"/>
            <w:bottom w:w="0" w:type="dxa"/>
            <w:right w:w="108" w:type="dxa"/>
          </w:tblCellMar>
        </w:tblPrEx>
        <w:trPr>
          <w:trHeight w:val="91" w:hRule="atLeast"/>
        </w:trPr>
        <w:tc>
          <w:tcPr>
            <w:tcW w:w="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Times New Roman" w:hAnsi="Times New Roman" w:eastAsia="方正黑体_GBK" w:cs="方正黑体_GBK"/>
                <w:color w:val="000000" w:themeColor="text1"/>
                <w:kern w:val="0"/>
                <w:szCs w:val="21"/>
                <w:lang w:bidi="ar"/>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w:t>
            </w:r>
          </w:p>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分类代码</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1"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α受体阻滞剂（多沙唑嗪、坦索罗辛）；5-α还原酶抑制剂（非那雄胺）</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XC02C</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外周作用的抗肾上腺素能药</w:t>
            </w:r>
          </w:p>
        </w:tc>
      </w:tr>
      <w:tr>
        <w:tblPrEx>
          <w:tblCellMar>
            <w:top w:w="0" w:type="dxa"/>
            <w:left w:w="108" w:type="dxa"/>
            <w:bottom w:w="0" w:type="dxa"/>
            <w:right w:w="108" w:type="dxa"/>
          </w:tblCellMar>
        </w:tblPrEx>
        <w:trPr>
          <w:trHeight w:val="91"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XG04C</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良性前列腺肥大用药</w:t>
            </w:r>
          </w:p>
        </w:tc>
      </w:tr>
      <w:tr>
        <w:tblPrEx>
          <w:tblCellMar>
            <w:top w:w="0" w:type="dxa"/>
            <w:left w:w="108" w:type="dxa"/>
            <w:bottom w:w="0" w:type="dxa"/>
            <w:right w:w="108" w:type="dxa"/>
          </w:tblCellMar>
        </w:tblPrEx>
        <w:trPr>
          <w:trHeight w:val="91"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β3受体激动剂（米拉贝隆）；M受体阻滞剂（托特罗定、索利那新）</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XG04B</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泌尿系统药</w:t>
            </w:r>
          </w:p>
        </w:tc>
      </w:tr>
      <w:tr>
        <w:tblPrEx>
          <w:tblCellMar>
            <w:top w:w="0" w:type="dxa"/>
            <w:left w:w="108" w:type="dxa"/>
            <w:bottom w:w="0" w:type="dxa"/>
            <w:right w:w="108" w:type="dxa"/>
          </w:tblCellMar>
        </w:tblPrEx>
        <w:trPr>
          <w:trHeight w:val="91" w:hRule="atLeast"/>
        </w:trPr>
        <w:tc>
          <w:tcPr>
            <w:tcW w:w="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3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Times New Roman" w:hAnsi="Times New Roman" w:eastAsia="方正黑体_GBK" w:cs="方正黑体_GBK"/>
                <w:color w:val="000000" w:themeColor="text1"/>
                <w:kern w:val="0"/>
                <w:szCs w:val="21"/>
                <w:lang w:bidi="ar"/>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w:t>
            </w:r>
          </w:p>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服务项目编码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1"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尿常规（医保基金支付不超过6次/年）</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250102035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尿液分析</w:t>
            </w:r>
          </w:p>
        </w:tc>
      </w:tr>
      <w:tr>
        <w:tblPrEx>
          <w:tblCellMar>
            <w:top w:w="0" w:type="dxa"/>
            <w:left w:w="108" w:type="dxa"/>
            <w:bottom w:w="0" w:type="dxa"/>
            <w:right w:w="108" w:type="dxa"/>
          </w:tblCellMar>
        </w:tblPrEx>
        <w:trPr>
          <w:trHeight w:val="91"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肾功能（医保基金支付不超过1次/年）</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肌酐测定</w:t>
            </w:r>
          </w:p>
        </w:tc>
      </w:tr>
      <w:tr>
        <w:tblPrEx>
          <w:tblCellMar>
            <w:top w:w="0" w:type="dxa"/>
            <w:left w:w="108" w:type="dxa"/>
            <w:bottom w:w="0" w:type="dxa"/>
            <w:right w:w="108" w:type="dxa"/>
          </w:tblCellMar>
        </w:tblPrEx>
        <w:trPr>
          <w:trHeight w:val="91"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尿素测定</w:t>
            </w:r>
          </w:p>
        </w:tc>
      </w:tr>
      <w:tr>
        <w:tblPrEx>
          <w:tblCellMar>
            <w:top w:w="0" w:type="dxa"/>
            <w:left w:w="108" w:type="dxa"/>
            <w:bottom w:w="0" w:type="dxa"/>
            <w:right w:w="108" w:type="dxa"/>
          </w:tblCellMar>
        </w:tblPrEx>
        <w:trPr>
          <w:trHeight w:val="91"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PSA（医保基金支付不超过1次/年）</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250404005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总前列腺特异性抗原测定(TPSA)</w:t>
            </w:r>
          </w:p>
        </w:tc>
      </w:tr>
      <w:tr>
        <w:tblPrEx>
          <w:tblCellMar>
            <w:top w:w="0" w:type="dxa"/>
            <w:left w:w="108" w:type="dxa"/>
            <w:bottom w:w="0" w:type="dxa"/>
            <w:right w:w="108" w:type="dxa"/>
          </w:tblCellMar>
        </w:tblPrEx>
        <w:trPr>
          <w:trHeight w:val="91"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250404006</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游离前列腺特异性抗原测定(FPSA)</w:t>
            </w:r>
          </w:p>
        </w:tc>
      </w:tr>
      <w:tr>
        <w:tblPrEx>
          <w:tblCellMar>
            <w:top w:w="0" w:type="dxa"/>
            <w:left w:w="108" w:type="dxa"/>
            <w:bottom w:w="0" w:type="dxa"/>
            <w:right w:w="108" w:type="dxa"/>
          </w:tblCellMar>
        </w:tblPrEx>
        <w:trPr>
          <w:trHeight w:val="91"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尿流动力学检查（医保基金支付不超过1次/年）</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311000039</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尿流动力学检测</w:t>
            </w:r>
          </w:p>
        </w:tc>
      </w:tr>
      <w:tr>
        <w:tblPrEx>
          <w:tblCellMar>
            <w:top w:w="0" w:type="dxa"/>
            <w:left w:w="108" w:type="dxa"/>
            <w:bottom w:w="0" w:type="dxa"/>
            <w:right w:w="108" w:type="dxa"/>
          </w:tblCellMar>
        </w:tblPrEx>
        <w:trPr>
          <w:trHeight w:val="91"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膀胱残余尿量检查（医保基金支付不超过1次/年）</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220203005</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膀胱残余尿量测定</w:t>
            </w:r>
          </w:p>
        </w:tc>
      </w:tr>
      <w:tr>
        <w:tblPrEx>
          <w:tblCellMar>
            <w:top w:w="0" w:type="dxa"/>
            <w:left w:w="108" w:type="dxa"/>
            <w:bottom w:w="0" w:type="dxa"/>
            <w:right w:w="108" w:type="dxa"/>
          </w:tblCellMar>
        </w:tblPrEx>
        <w:trPr>
          <w:trHeight w:val="91"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泌尿系超声（医保基金支付不超过2次/年）</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220201002.40</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B超常规检查(泌尿系)</w:t>
            </w:r>
          </w:p>
        </w:tc>
      </w:tr>
      <w:tr>
        <w:tblPrEx>
          <w:tblCellMar>
            <w:top w:w="0" w:type="dxa"/>
            <w:left w:w="108" w:type="dxa"/>
            <w:bottom w:w="0" w:type="dxa"/>
            <w:right w:w="108" w:type="dxa"/>
          </w:tblCellMar>
        </w:tblPrEx>
        <w:trPr>
          <w:trHeight w:val="91"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220301001d</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彩色多普勒超声常规检查(泌尿系)</w:t>
            </w:r>
          </w:p>
        </w:tc>
      </w:tr>
    </w:tbl>
    <w:p>
      <w:pPr>
        <w:spacing w:line="340" w:lineRule="exac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pPr>
        <w:tabs>
          <w:tab w:val="left" w:pos="737"/>
        </w:tabs>
        <w:spacing w:line="340" w:lineRule="exact"/>
        <w:rPr>
          <w:rFonts w:ascii="Times New Roman" w:hAnsi="Times New Roman" w:eastAsia="黑体"/>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3</w:t>
      </w:r>
      <w:r>
        <w:rPr>
          <w:rFonts w:ascii="Times New Roman" w:hAnsi="Times New Roman"/>
          <w:color w:val="000000" w:themeColor="text1"/>
          <w:sz w:val="30"/>
          <w:szCs w:val="30"/>
          <w14:textFill>
            <w14:solidFill>
              <w14:schemeClr w14:val="tx1"/>
            </w14:solidFill>
          </w14:textFill>
        </w:rPr>
        <w:t>0.</w:t>
      </w:r>
      <w:r>
        <w:rPr>
          <w:rFonts w:ascii="Times New Roman" w:hAnsi="Times New Roman" w:eastAsia="黑体"/>
          <w:color w:val="000000" w:themeColor="text1"/>
          <w:sz w:val="30"/>
          <w:szCs w:val="30"/>
          <w14:textFill>
            <w14:solidFill>
              <w14:schemeClr w14:val="tx1"/>
            </w14:solidFill>
          </w14:textFill>
        </w:rPr>
        <w:t>原发性青光眼</w:t>
      </w:r>
    </w:p>
    <w:tbl>
      <w:tblPr>
        <w:tblStyle w:val="4"/>
        <w:tblW w:w="8843" w:type="dxa"/>
        <w:tblInd w:w="93" w:type="dxa"/>
        <w:tblLayout w:type="fixed"/>
        <w:tblCellMar>
          <w:top w:w="0" w:type="dxa"/>
          <w:left w:w="108" w:type="dxa"/>
          <w:bottom w:w="0" w:type="dxa"/>
          <w:right w:w="108" w:type="dxa"/>
        </w:tblCellMar>
      </w:tblPr>
      <w:tblGrid>
        <w:gridCol w:w="758"/>
        <w:gridCol w:w="2788"/>
        <w:gridCol w:w="1937"/>
        <w:gridCol w:w="3360"/>
      </w:tblGrid>
      <w:tr>
        <w:tblPrEx>
          <w:tblCellMar>
            <w:top w:w="0" w:type="dxa"/>
            <w:left w:w="108" w:type="dxa"/>
            <w:bottom w:w="0" w:type="dxa"/>
            <w:right w:w="108" w:type="dxa"/>
          </w:tblCellMar>
        </w:tblPrEx>
        <w:trPr>
          <w:trHeight w:val="91"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2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原发性青光眼</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H40.100</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原发性开角型青光眼</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H40.200</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原发性闭角型青光眼</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H40.103</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正常眼压性青光眼</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Q15.000</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先天性青光眼</w:t>
            </w:r>
          </w:p>
        </w:tc>
      </w:tr>
      <w:tr>
        <w:tblPrEx>
          <w:tblCellMar>
            <w:top w:w="0" w:type="dxa"/>
            <w:left w:w="108" w:type="dxa"/>
            <w:bottom w:w="0" w:type="dxa"/>
            <w:right w:w="108" w:type="dxa"/>
          </w:tblCellMar>
        </w:tblPrEx>
        <w:trPr>
          <w:trHeight w:val="91" w:hRule="atLeast"/>
        </w:trPr>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80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hint="eastAsia"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满足以下任意一条：</w:t>
            </w:r>
          </w:p>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一、存在典型的青光眼性视神经乳头和视野损害；排除继发性青光眼与闭角型青光眼。</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二、经手术治疗后出现视野持续损伤且需要药物治疗的原发性闭角型青光眼。</w:t>
            </w:r>
          </w:p>
        </w:tc>
      </w:tr>
      <w:tr>
        <w:tblPrEx>
          <w:tblCellMar>
            <w:top w:w="0" w:type="dxa"/>
            <w:left w:w="108" w:type="dxa"/>
            <w:bottom w:w="0" w:type="dxa"/>
            <w:right w:w="108" w:type="dxa"/>
          </w:tblCellMar>
        </w:tblPrEx>
        <w:trPr>
          <w:trHeight w:val="91"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医保目录药品分类代码</w:t>
            </w:r>
          </w:p>
        </w:tc>
        <w:tc>
          <w:tcPr>
            <w:tcW w:w="3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抗青光眼制剂和缩瞳剂</w:t>
            </w: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XS01E</w:t>
            </w:r>
          </w:p>
        </w:tc>
        <w:tc>
          <w:tcPr>
            <w:tcW w:w="3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抗青光眼制剂和缩瞳剂</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产生渗透性利尿的溶液（甘露醇）</w:t>
            </w:r>
          </w:p>
        </w:tc>
        <w:tc>
          <w:tcPr>
            <w:tcW w:w="1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XB05BC</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产生渗透性利尿的溶液</w:t>
            </w:r>
          </w:p>
        </w:tc>
      </w:tr>
      <w:tr>
        <w:tblPrEx>
          <w:tblCellMar>
            <w:top w:w="0" w:type="dxa"/>
            <w:left w:w="108" w:type="dxa"/>
            <w:bottom w:w="0" w:type="dxa"/>
            <w:right w:w="108" w:type="dxa"/>
          </w:tblCellMar>
        </w:tblPrEx>
        <w:trPr>
          <w:trHeight w:val="91"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27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医保目录医疗服务项目编码</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眼底照像</w:t>
            </w:r>
          </w:p>
        </w:tc>
        <w:tc>
          <w:tcPr>
            <w:tcW w:w="1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310300053</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眼底照相</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视野检查</w:t>
            </w:r>
          </w:p>
        </w:tc>
        <w:tc>
          <w:tcPr>
            <w:tcW w:w="1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310300005</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视野检查</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视盘OCT检查</w:t>
            </w:r>
          </w:p>
        </w:tc>
        <w:tc>
          <w:tcPr>
            <w:tcW w:w="1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310300064</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光学相干断层成像（OCT）</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眼科超声生物显微镜（UBM）</w:t>
            </w:r>
          </w:p>
        </w:tc>
        <w:tc>
          <w:tcPr>
            <w:tcW w:w="1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310300063</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超声生物显微镜检查（UBM）</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前节OCT</w:t>
            </w:r>
          </w:p>
        </w:tc>
        <w:tc>
          <w:tcPr>
            <w:tcW w:w="1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310300064</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光学相干断层成像（OCT）</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血流OCT</w:t>
            </w:r>
          </w:p>
        </w:tc>
        <w:tc>
          <w:tcPr>
            <w:tcW w:w="1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310300064</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光学相干断层成像（OCT）</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房角镜</w:t>
            </w:r>
          </w:p>
        </w:tc>
        <w:tc>
          <w:tcPr>
            <w:tcW w:w="1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310300050</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裂隙灯下房角镜检查</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激光治疗</w:t>
            </w:r>
          </w:p>
        </w:tc>
        <w:tc>
          <w:tcPr>
            <w:tcW w:w="1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310300081.10</w:t>
            </w:r>
          </w:p>
        </w:tc>
        <w:tc>
          <w:tcPr>
            <w:tcW w:w="33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激光治疗眼前节病(治疗青光眼)</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眼压（Corvis眼压，Goldmann眼压，Icare眼压，NCT等）</w:t>
            </w: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310300027</w:t>
            </w:r>
          </w:p>
        </w:tc>
        <w:tc>
          <w:tcPr>
            <w:tcW w:w="3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眼压检查</w:t>
            </w:r>
          </w:p>
        </w:tc>
      </w:tr>
    </w:tbl>
    <w:p>
      <w:pPr>
        <w:spacing w:line="340" w:lineRule="exac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pPr>
        <w:tabs>
          <w:tab w:val="left" w:pos="737"/>
        </w:tabs>
        <w:spacing w:line="340" w:lineRule="exact"/>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3</w:t>
      </w:r>
      <w:r>
        <w:rPr>
          <w:rFonts w:ascii="Times New Roman" w:hAnsi="Times New Roman"/>
          <w:color w:val="000000" w:themeColor="text1"/>
          <w:sz w:val="30"/>
          <w:szCs w:val="30"/>
          <w14:textFill>
            <w14:solidFill>
              <w14:schemeClr w14:val="tx1"/>
            </w14:solidFill>
          </w14:textFill>
        </w:rPr>
        <w:t>1.</w:t>
      </w:r>
      <w:r>
        <w:rPr>
          <w:rFonts w:ascii="Times New Roman" w:hAnsi="Times New Roman" w:eastAsia="黑体"/>
          <w:color w:val="000000" w:themeColor="text1"/>
          <w:sz w:val="30"/>
          <w:szCs w:val="30"/>
          <w14:textFill>
            <w14:solidFill>
              <w14:schemeClr w14:val="tx1"/>
            </w14:solidFill>
          </w14:textFill>
        </w:rPr>
        <w:t>精神分裂症</w:t>
      </w:r>
    </w:p>
    <w:tbl>
      <w:tblPr>
        <w:tblStyle w:val="4"/>
        <w:tblW w:w="8691" w:type="dxa"/>
        <w:tblInd w:w="93" w:type="dxa"/>
        <w:tblLayout w:type="fixed"/>
        <w:tblCellMar>
          <w:top w:w="0" w:type="dxa"/>
          <w:left w:w="108" w:type="dxa"/>
          <w:bottom w:w="0" w:type="dxa"/>
          <w:right w:w="108" w:type="dxa"/>
        </w:tblCellMar>
      </w:tblPr>
      <w:tblGrid>
        <w:gridCol w:w="816"/>
        <w:gridCol w:w="1487"/>
        <w:gridCol w:w="1830"/>
        <w:gridCol w:w="1500"/>
        <w:gridCol w:w="3058"/>
      </w:tblGrid>
      <w:tr>
        <w:tblPrEx>
          <w:tblCellMar>
            <w:top w:w="0" w:type="dxa"/>
            <w:left w:w="108" w:type="dxa"/>
            <w:bottom w:w="0" w:type="dxa"/>
            <w:right w:w="108" w:type="dxa"/>
          </w:tblCellMar>
        </w:tblPrEx>
        <w:trPr>
          <w:trHeight w:val="91" w:hRule="atLeast"/>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33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精神分裂症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F20.000</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偏执型精神分裂症</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F20.000</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偏执型精神分裂症</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F20.100</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青春型精神分裂症</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F20.200</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紧张型精神分裂症</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F20.200x002</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紧张性木僵</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F20.201</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紧张症综合征</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F20.300</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未分化型精神分裂症</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F20.301</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非典型精神分裂症</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F20.400</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精神分裂症后抑郁</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F20.500</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残留型精神分裂症</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F20.501</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慢性精神分裂症</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F20.600</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单纯型精神分裂症</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F20.800</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精神分裂症，其他的</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F20.800x001</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难治性精神分裂症</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F20.800x002</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精神分裂症衰退期</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F20.800x003</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精神分裂症缓解期</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F20.801</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体感异常性精神分裂症</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F20.802</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晚发性精神分裂症</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F20.803</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强迫型精神分裂症</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F20.900</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精神分裂症</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kern w:val="2"/>
                <w:sz w:val="21"/>
                <w:szCs w:val="21"/>
                <w:lang w:val="en-US" w:eastAsia="zh-CN" w:bidi="ar-SA"/>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F99.x00</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kern w:val="2"/>
                <w:sz w:val="21"/>
                <w:szCs w:val="21"/>
                <w:lang w:val="en-US" w:eastAsia="zh-CN" w:bidi="ar-SA"/>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精神障碍</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val="en-US" w:eastAsia="zh-CN" w:bidi="ar"/>
                <w14:textFill>
                  <w14:solidFill>
                    <w14:schemeClr w14:val="tx1"/>
                  </w14:solidFill>
                </w14:textFill>
              </w:rPr>
              <w:t xml:space="preserve">F21.x00 </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hint="eastAsia" w:ascii="Times New Roman" w:hAnsi="Times New Roman" w:eastAsia="方正仿宋_GBK" w:cs="方正仿宋_GBK"/>
                <w:color w:val="000000" w:themeColor="text1"/>
                <w:kern w:val="0"/>
                <w:szCs w:val="21"/>
                <w:lang w:val="en-US" w:eastAsia="zh-CN" w:bidi="ar"/>
                <w14:textFill>
                  <w14:solidFill>
                    <w14:schemeClr w14:val="tx1"/>
                  </w14:solidFill>
                </w14:textFill>
              </w:rPr>
              <w:t>分裂型障碍</w:t>
            </w:r>
          </w:p>
        </w:tc>
      </w:tr>
      <w:tr>
        <w:tblPrEx>
          <w:tblCellMar>
            <w:top w:w="0" w:type="dxa"/>
            <w:left w:w="108" w:type="dxa"/>
            <w:bottom w:w="0" w:type="dxa"/>
            <w:right w:w="108" w:type="dxa"/>
          </w:tblCellMar>
        </w:tblPrEx>
        <w:trPr>
          <w:trHeight w:val="91"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78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1.符合《ICD—10国际疾病分类与诊断标准（第十版）-精神与行为障碍》中关于精神分裂症（F20）的诊断标准。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(a)思维鸣响，思维插入或思维被撤走以及思维广播;</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(b)明确涉及躯体或四肢运动，或特殊思维、行动或感觉的被影响被控制或被动妄想;妄想性知觉;</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(c)对病人的行为进行跟踪性评论，或彼此对病人加以讨论的幻听或来源于身体某一部分的其它类型的听幻觉;</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(d)与文化不相称且根本不可能的其它类型的持续性妄想，如具有某种宗教或政治身份，或超人的力量和能力(例如能控制天气，或与另一世界的外来者进行交流);</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 xml:space="preserve">(e)伴有转瞬即逝的或未充分形成的无明显情感内容的妄想、或伴有持久的超价观念，或连续数周或数月每日均出现的任何感官的幻觉; </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(f)思潮断裂或无关的插入语,导致言语不连贯，或不中肯或词语新作;紧张性行为，如兴奋、摆姿势，或蜡样屈曲、违拗、缄默及木僵;</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(g)紧张性行为，如兴奋、摆姿势，或蜡样屈曲、违拗、缄默及木僵；</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(h)“阴性”症状，如显著的情感淡漠、言语贫乏、情感反应迟钝或不协调，常导致社会退缩及社会功能的下降，但必须澄清这些症状并非由抑郁症或神经阻滞剂治疗所致;</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(i)个人行为的某些方面发生显著而持久的总体性质的改变,表现为丧失兴趣、缺乏目的、懒散、自我专注及社会退缩。</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诊断精神分裂症通常要求在一个月或以上时期的大部分时间内确实存在属于上述(a)到(d)中至少一个(如不甚明确常需两个或多个症状)或(e)到(h)中来自至少两组症状群中的十分明确的症状。符合症状要求但病程不足一个月的状况(无论是否经过治疗)应首先诊断为急性精神分裂症样精神病性障碍(F23.2),如症状持续更长的时间重新归类为精神分裂症。</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2.有相关病史资料。精神专科医院或综合医院精神科（具有精神科执业范围的科室）出具的出院记录(记载病情和治疗方案）和诊断证明（加盖医疗机构公章）≥1次；或门诊诊疗记录（记载病情和治疗方案）每月1次连续3月以上。</w:t>
            </w:r>
          </w:p>
        </w:tc>
      </w:tr>
      <w:tr>
        <w:tblPrEx>
          <w:tblCellMar>
            <w:top w:w="0" w:type="dxa"/>
            <w:left w:w="108" w:type="dxa"/>
            <w:bottom w:w="0" w:type="dxa"/>
            <w:right w:w="108" w:type="dxa"/>
          </w:tblCellMar>
        </w:tblPrEx>
        <w:trPr>
          <w:trHeight w:val="91" w:hRule="atLeast"/>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33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医保目录药品分类代码</w:t>
            </w:r>
          </w:p>
        </w:tc>
        <w:tc>
          <w:tcPr>
            <w:tcW w:w="3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抗精神病药物</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XN05A</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抗精神病药</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治疗精神分裂症伴发其他精神症状的药物（包括抗抑郁药、抗焦虑药、心境稳定剂）</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抗抑郁药物</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XN06A</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抗抑郁药</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抗癫痫药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XN03AX</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其他抗癫痫药</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XN03AG</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脂肪酸衍生物</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XN03AF</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氨甲酰衍生物</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XN03AE</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苯二氮䓬衍生物</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镇静药物</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XN05C</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催眠药和镇静药</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抗焦虑药物</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XN05B</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抗焦虑药</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上述药物引起不良反应的对症治疗药物</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抗帕金森类药物</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XN04A</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抗胆碱能药</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治疗功能性胃肠道疾病的药物</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XA03B</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单方颠茄及其衍生物</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非选择性β-受体阻滞剂</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XC07AA</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非选择性β-受体阻滞剂</w:t>
            </w:r>
          </w:p>
        </w:tc>
      </w:tr>
      <w:tr>
        <w:tblPrEx>
          <w:tblCellMar>
            <w:top w:w="0" w:type="dxa"/>
            <w:left w:w="108" w:type="dxa"/>
            <w:bottom w:w="0" w:type="dxa"/>
            <w:right w:w="108" w:type="dxa"/>
          </w:tblCellMar>
        </w:tblPrEx>
        <w:trPr>
          <w:trHeight w:val="91" w:hRule="atLeast"/>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33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医保目录医疗服务项目编码</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物理治疗</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重复经颅磁刺激治疗（医保基金支付不超过30次/年，每次30分钟）</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311503031</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经颅磁刺激治疗</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MECT治疗（医保基金支付不超过12次/年）</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311503005</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多参数监护无抽搐电休克治疗</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血常规</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250101015</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血细胞分析</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血脂</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250303001</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血清总胆固醇测定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250303002</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血清甘油三酯测定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250303004</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血清高密度脂蛋白胆固醇测定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250303005</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血清低密度脂蛋白胆固醇测定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血糖</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250302001</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葡萄糖测定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泌乳素</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250310002</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血清泌乳素测定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甲状腺功能（医保基金支付不超过4次/年）</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250310001</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血清促甲状腺激素测定(TSH)</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250310010</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血清甲状腺素(T4)测定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250310011</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血清三碘甲状原氨酸(T3)测定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250310013</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血清游离甲状腺素(FT4)测定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250310014</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血清游离三碘甲状原氨酸(FT3)测定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药物浓度</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250304013.a0</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微量元素测定(锂测定)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250309005</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血清药物浓度测定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肝功能</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250305001</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血清总胆红素测定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250305002</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血清直接胆红素测定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250305003</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血清间接胆红素测定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250305007</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血清丙氨酸氨基转移酶测定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250305008</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血清天门冬氨酸氨基转移酶测定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250305009</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血清γ-谷氨酰基转移酶测定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250305011</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血清碱性磷酸酶测定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250301001</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血清总蛋白测定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250301002</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血清白蛋白测定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250306005</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乳酸脱氢酶测定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肾功能</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250307005</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血清尿酸测定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250307001</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尿素测定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250307002</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肌酐测定</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心电图</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310701001</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常规心电图检查</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脑电图</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310100003</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脑地形图</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310100002.20</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特殊脑电图(特殊诱发)</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视觉电位+N400检查（医保基金支付不超过2次/年）</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310100011</w:t>
            </w:r>
          </w:p>
        </w:tc>
        <w:tc>
          <w:tcPr>
            <w:tcW w:w="30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事件相关电位</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眼动检查（医保基金支付不超过2次/年）</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311502002</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眼动检查</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量表（每种量表医保基金支付不超过4次/年）</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011102010010000</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临床量表评估（自评）</w:t>
            </w:r>
          </w:p>
        </w:tc>
      </w:tr>
      <w:tr>
        <w:tblPrEx>
          <w:tblCellMar>
            <w:top w:w="0" w:type="dxa"/>
            <w:left w:w="108" w:type="dxa"/>
            <w:bottom w:w="0" w:type="dxa"/>
            <w:right w:w="108" w:type="dxa"/>
          </w:tblCellMar>
        </w:tblPrEx>
        <w:trPr>
          <w:trHeight w:val="9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3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011102010020000</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临床量表评估（他评）</w:t>
            </w:r>
          </w:p>
        </w:tc>
      </w:tr>
    </w:tbl>
    <w:p>
      <w:pPr>
        <w:spacing w:line="340" w:lineRule="exac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pPr>
        <w:tabs>
          <w:tab w:val="left" w:pos="737"/>
        </w:tabs>
        <w:spacing w:line="340" w:lineRule="exact"/>
        <w:rPr>
          <w:rFonts w:ascii="Times New Roman" w:hAnsi="Times New Roman" w:eastAsia="黑体"/>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3</w:t>
      </w:r>
      <w:r>
        <w:rPr>
          <w:rFonts w:ascii="Times New Roman" w:hAnsi="Times New Roman"/>
          <w:color w:val="000000" w:themeColor="text1"/>
          <w:sz w:val="30"/>
          <w:szCs w:val="30"/>
          <w14:textFill>
            <w14:solidFill>
              <w14:schemeClr w14:val="tx1"/>
            </w14:solidFill>
          </w14:textFill>
        </w:rPr>
        <w:t>2.</w:t>
      </w:r>
      <w:r>
        <w:rPr>
          <w:rFonts w:ascii="Times New Roman" w:hAnsi="Times New Roman" w:eastAsia="黑体"/>
          <w:color w:val="000000" w:themeColor="text1"/>
          <w:sz w:val="30"/>
          <w:szCs w:val="30"/>
          <w14:textFill>
            <w14:solidFill>
              <w14:schemeClr w14:val="tx1"/>
            </w14:solidFill>
          </w14:textFill>
        </w:rPr>
        <w:t>心境障碍</w:t>
      </w:r>
    </w:p>
    <w:tbl>
      <w:tblPr>
        <w:tblStyle w:val="4"/>
        <w:tblW w:w="8691" w:type="dxa"/>
        <w:tblInd w:w="93" w:type="dxa"/>
        <w:tblLayout w:type="fixed"/>
        <w:tblCellMar>
          <w:top w:w="0" w:type="dxa"/>
          <w:left w:w="108" w:type="dxa"/>
          <w:bottom w:w="0" w:type="dxa"/>
          <w:right w:w="108" w:type="dxa"/>
        </w:tblCellMar>
      </w:tblPr>
      <w:tblGrid>
        <w:gridCol w:w="758"/>
        <w:gridCol w:w="1125"/>
        <w:gridCol w:w="1421"/>
        <w:gridCol w:w="1924"/>
        <w:gridCol w:w="3463"/>
      </w:tblGrid>
      <w:tr>
        <w:tblPrEx>
          <w:tblCellMar>
            <w:top w:w="0" w:type="dxa"/>
            <w:left w:w="108" w:type="dxa"/>
            <w:bottom w:w="0" w:type="dxa"/>
            <w:right w:w="108" w:type="dxa"/>
          </w:tblCellMar>
        </w:tblPrEx>
        <w:trPr>
          <w:trHeight w:val="91"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心境障碍（除抑郁）</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F30.000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轻躁狂</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F30.100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不伴有精神病性症状的躁狂</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F30.100x001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不伴有精神病性症状的躁狂发作</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F30.200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伴有精神病性症状的躁狂</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F30.200x001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伴有精神病性症状的躁狂发作</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F30.200x002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躁狂性木僵</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F30.201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谵妄性躁狂症</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F30.800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躁狂发作，其他的</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F30.800x002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兴奋状态</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F30.800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躁狂发作，其他的</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F30.900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躁狂发作</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F30.900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躁狂发作</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F30.901</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兴奋躁动状态</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F31.000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双相情感障碍，目前为轻躁狂发作</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F31.000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双相情感障碍，目前为轻躁狂发作</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F31.100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双相情感障碍，目前为不伴有精神病性症状的躁狂发作</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F31.100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双相情感障碍，目前为不伴有精神病性症状的躁狂发作</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F31.200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双相情感障碍，目前为伴有精神病性症状的躁狂发作</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F31.200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双相情感障碍，目前为伴有精神病性症状的躁狂发作</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F31.300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双相情感障碍，目前为轻度或中度抑郁发作</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F31.301</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双相情感障碍，目前为中度抑郁发作</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F31.300x002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双相情感障碍,目前为轻度抑郁发作</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F31.300x003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双相情感障碍,目前为不伴有躯体症状的轻度抑郁发作</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F31.300x005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双相情感障碍,目前为不伴有躯体症状的中度抑郁发作</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F31.300x011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双相情感障碍,目前为伴有躯体症状的轻度抑郁发作</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F31.300x012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双相情感障碍,目前为伴有躯体症状的中度抑郁发作</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F31.301</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双相情感障碍，目前为中度抑郁发作</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F31.400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双相情感障碍，目前为不伴有精神病性症状的重度抑郁发作</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F31.400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双相情感障碍，目前为不伴有精神病性症状的重度抑郁发作</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F31.500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双相情感障碍，目前为伴有精神病性症状的重度抑郁发作</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F31.500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双相情感障碍，目前为伴有精神病性症状的重度抑郁发作</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F31.600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双相情感障碍，目前为混合性发作</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F31.600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双相情感障碍，目前为混合性发作</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F31.700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双相情感障碍，目前为缓解状态</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F31.700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双相情感障碍，目前为缓解状态</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F31.800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双相情感障碍,其他的</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F31.800x001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复发性躁狂发作</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F31.800x002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双相情感障碍2型</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F31.800x003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难治性双相情感障碍</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F31.801</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慢性躁狂症</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F31.802</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双相情感障碍,快速循环型</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F31.803</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非典型双相情感障碍</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F31.900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双相情感障碍</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F31.900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双相情感障碍</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F31.901</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双相情感障碍Ⅰ型</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F38.001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混合性情感发作</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F38.100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复发性心境［情感］障碍，其他的</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F38.100x001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复发心境[情感]障碍</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F38.800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心境［情感］障碍，其他特指的</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F39.x00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心境［情感］障碍</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F39.x00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心境［情感］障碍</w:t>
            </w:r>
          </w:p>
        </w:tc>
      </w:tr>
      <w:tr>
        <w:tblPrEx>
          <w:tblCellMar>
            <w:top w:w="0" w:type="dxa"/>
            <w:left w:w="108" w:type="dxa"/>
            <w:bottom w:w="0" w:type="dxa"/>
            <w:right w:w="108" w:type="dxa"/>
          </w:tblCellMar>
        </w:tblPrEx>
        <w:trPr>
          <w:trHeight w:val="91"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79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5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1.符合《ICD—10国际疾病分类与诊断标准（第十版）-精神与行为障碍》中相关心境障碍（F30-F39，其中F32/F33抑郁症相关诊断除外）的诊断标准。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（1）躁狂发作</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有以下三种不同形式的躁狂发作：轻躁狂（F30.0）、躁狂，不伴精神病性症状（F30.1）、躁狂，伴精神病性症状（F30.2）。其共有的基本特征是心境高涨，身体和精神活动的量和速度均增加。本类中所有亚型都仅用于单次躁狂发作,若发作之前或之后有情感(抑郁、躁狂、轻躁狂)发作，则应归于双相情感障碍(F31.-)。</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包含:双相障碍；单次躁狂发作</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（2）双相障碍</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本病的特点是反复（至少两次）出现心境和活动水平明显紊乱的发作，紊乱有时表现为心境高涨、精力和活动增加(躁狂或轻躁狂)，有表现为心境低落、精力降低和活动减少(抑郁)。发作间期通常以完全缓解为特征。与其它心境障碍相比,本病在两性的发病率为接近。由于仅有躁狂的病人相对罕见，而且他们与至少偶有抑郁发作的病人有类似 (在家庭史、病前人格、起病年龄、长期预后等方面)，故这类病人也的于双相(F31.8)。</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躁狂发作通常起病突然，持续时间2周至4、5个月不等(中数约4个月);抑郁持续时间趋于长一些(中数约6个月);但除在老年期外,很少超过1年。两类发作通常都继之于应激性生活事件或其它精神创伤,但应激的存在并非诊断必需。首次发病可见于从童年到老年的任何年龄。发作频率、复发与缓解的形式均有很大变异，但随着时间推移，缓解期有渐短的趋势。中年之后，抑郁变得更为常见，持续时间也更长。</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2.有相关病史资料。精神专科医院或综合医院精神科（具有精神科执业范围的科室）出具的出院记录(记载病情和治疗方案）和诊断证明（加盖医疗机构公章）≥1次；或门诊诊疗记录（记载病情和治疗方案）每月1次连续6月以上。</w:t>
            </w:r>
          </w:p>
        </w:tc>
      </w:tr>
      <w:tr>
        <w:tblPrEx>
          <w:tblCellMar>
            <w:top w:w="0" w:type="dxa"/>
            <w:left w:w="108" w:type="dxa"/>
            <w:bottom w:w="0" w:type="dxa"/>
            <w:right w:w="108" w:type="dxa"/>
          </w:tblCellMar>
        </w:tblPrEx>
        <w:trPr>
          <w:trHeight w:val="91"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医保目录药品分类代码</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抗精神病药物</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XN05A</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抗精神病药</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抗抑郁药、抗焦虑药、心境稳定剂</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抗抑郁药物</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XN06A</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抗抑郁药</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4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抗癫痫药</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XN03AX</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其他抗癫痫药</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XN03AG</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脂肪酸衍生物</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XN03AF</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氨甲酰衍生物</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XN03AE</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苯二氮䓬衍生物</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镇静药</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XN05C</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催眠药和镇静药</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抗焦虑药物</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XN05B</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抗焦虑药</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上述药物引起不良反应的对症治疗药物</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抗帕金森类药物</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XN04A</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抗胆碱能药</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治疗功能性胃肠道疾病的药物</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XA03B</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单方颠茄及其衍生物</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非选择性β-受体阻滞剂</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XC07AA</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非选择性β-受体阻滞剂</w:t>
            </w:r>
          </w:p>
        </w:tc>
      </w:tr>
      <w:tr>
        <w:tblPrEx>
          <w:tblCellMar>
            <w:top w:w="0" w:type="dxa"/>
            <w:left w:w="108" w:type="dxa"/>
            <w:bottom w:w="0" w:type="dxa"/>
            <w:right w:w="108" w:type="dxa"/>
          </w:tblCellMar>
        </w:tblPrEx>
        <w:trPr>
          <w:trHeight w:val="91"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医保目录医疗服务项目编码</w:t>
            </w:r>
          </w:p>
        </w:tc>
        <w:tc>
          <w:tcPr>
            <w:tcW w:w="3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物理治疗</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重复经颅磁刺激治疗（医保基金支付不超过30次/年，每次30分钟）</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311503031</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经颅磁刺激治疗</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MECT治疗MECT治疗（医保基金支付不超过12次/年）</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311503005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多参数监护无抽搐电休克治疗</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血常规</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250101015</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血细胞分析</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血脂</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血清总胆固醇测定</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血清甘油三酯测定</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250303004</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血清高密度脂蛋白胆固醇测定</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血清低密度脂蛋白胆固醇测定</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血糖</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250302001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葡萄糖测定</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泌乳素</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血清泌乳素测定</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甲状腺功能（医保基金支付不超过4次/年）</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血清促甲状腺激素测定(TSH)</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血清甲状腺素(T4)测定</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血清三碘甲状原氨酸(T3)测定</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血清游离甲状腺素(FT4)测定</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250310014</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血清游离三碘甲状原氨酸(FT3)测定</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药物浓度</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250304013.a0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微量元素测定(锂测定)</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250309005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血清药物浓度测定</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肝功能</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血清总胆红素测定</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血清直接胆红素测定</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血清间接胆红素测定</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血清丙氨酸氨基转移酶测定</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血清天门冬氨酸氨基转移酶测定</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血清γ-谷氨酰基转移酶测定</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血清碱性磷酸酶测定</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血清总蛋白测定</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血清白蛋白测定</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乳酸脱氢酶测定</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肾功能</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血清尿酸测定</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尿素测定</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肌酐测定</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心电图</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310701001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常规心电图检查</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脑电图</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310100003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脑地形图</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310100002.20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特殊脑电图(特殊诱发)</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视觉电位+N400检查（医保基金支付不超过2次/年）</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310100011</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事件相关电位</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眼动检查（医保基金支付不超过2次/年）</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311502002</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眼动检查</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量表（每种量表医保基金支付不超过4次/年）</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011102010010000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临床量表评估（自评）</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011102010020000</w:t>
            </w:r>
          </w:p>
        </w:tc>
        <w:tc>
          <w:tcPr>
            <w:tcW w:w="3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临床量表评估（他评）</w:t>
            </w:r>
          </w:p>
        </w:tc>
      </w:tr>
    </w:tbl>
    <w:p>
      <w:pPr>
        <w:spacing w:line="340" w:lineRule="exac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pPr>
        <w:tabs>
          <w:tab w:val="left" w:pos="737"/>
        </w:tabs>
        <w:spacing w:line="340" w:lineRule="exact"/>
        <w:rPr>
          <w:rFonts w:ascii="Times New Roman" w:hAnsi="Times New Roman" w:eastAsia="黑体"/>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3</w:t>
      </w:r>
      <w:r>
        <w:rPr>
          <w:rFonts w:ascii="Times New Roman" w:hAnsi="Times New Roman"/>
          <w:color w:val="000000" w:themeColor="text1"/>
          <w:sz w:val="30"/>
          <w:szCs w:val="30"/>
          <w14:textFill>
            <w14:solidFill>
              <w14:schemeClr w14:val="tx1"/>
            </w14:solidFill>
          </w14:textFill>
        </w:rPr>
        <w:t>3.</w:t>
      </w:r>
      <w:r>
        <w:rPr>
          <w:rFonts w:ascii="Times New Roman" w:hAnsi="Times New Roman" w:eastAsia="黑体"/>
          <w:color w:val="000000" w:themeColor="text1"/>
          <w:sz w:val="30"/>
          <w:szCs w:val="30"/>
          <w14:textFill>
            <w14:solidFill>
              <w14:schemeClr w14:val="tx1"/>
            </w14:solidFill>
          </w14:textFill>
        </w:rPr>
        <w:t>偏执性精神障碍</w:t>
      </w:r>
    </w:p>
    <w:tbl>
      <w:tblPr>
        <w:tblStyle w:val="4"/>
        <w:tblW w:w="8691" w:type="dxa"/>
        <w:tblInd w:w="93" w:type="dxa"/>
        <w:tblLayout w:type="fixed"/>
        <w:tblCellMar>
          <w:top w:w="0" w:type="dxa"/>
          <w:left w:w="108" w:type="dxa"/>
          <w:bottom w:w="0" w:type="dxa"/>
          <w:right w:w="108" w:type="dxa"/>
        </w:tblCellMar>
      </w:tblPr>
      <w:tblGrid>
        <w:gridCol w:w="786"/>
        <w:gridCol w:w="1472"/>
        <w:gridCol w:w="1650"/>
        <w:gridCol w:w="1978"/>
        <w:gridCol w:w="2805"/>
      </w:tblGrid>
      <w:tr>
        <w:tblPrEx>
          <w:tblCellMar>
            <w:top w:w="0" w:type="dxa"/>
            <w:left w:w="108" w:type="dxa"/>
            <w:bottom w:w="0" w:type="dxa"/>
            <w:right w:w="108" w:type="dxa"/>
          </w:tblCellMar>
        </w:tblPrEx>
        <w:trPr>
          <w:trHeight w:val="91" w:hRule="atLeast"/>
        </w:trPr>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31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22" w:type="dxa"/>
            <w:gridSpan w:val="2"/>
            <w:vMerge w:val="restart"/>
            <w:tcBorders>
              <w:top w:val="single" w:color="000000" w:sz="4" w:space="0"/>
              <w:left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F22.000</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妄想性障碍</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F22.001</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偏执性精神病</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F22.000</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妄想性障碍</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F22.001</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偏执性精神病</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F22.002</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妄想狂</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F22.003</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偏执状态</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F22.800</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持久的妄想性障碍，其他的</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F22.800x001</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更年期偏执状态</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F22.900</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持久妄想性障碍</w:t>
            </w:r>
          </w:p>
        </w:tc>
      </w:tr>
      <w:tr>
        <w:tblPrEx>
          <w:tblCellMar>
            <w:top w:w="0" w:type="dxa"/>
            <w:left w:w="108" w:type="dxa"/>
            <w:bottom w:w="0" w:type="dxa"/>
            <w:right w:w="108" w:type="dxa"/>
          </w:tblCellMar>
        </w:tblPrEx>
        <w:trPr>
          <w:trHeight w:val="91"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79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符合《ICD—10国际疾病分类与诊断标准（第十版）-精神与行为障碍》中妄想型精神障碍（F22）的诊断标准。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本组包括不能归类为器质性障碍、精神分裂症或情感性障碍的以期持续性妄想为唯一或最突出临床特征的各种障碍。它们可能是病因异质性的，与精神分裂症的关系尚不能确定。遗传、人格特点及生活环境在其起病中的相对作用也未能确定，估计各不相同。妄想型精神障碍包括妄想性障碍（F22.0）和其它持久的妄想性障碍（F22.8）。</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（1）妄想性障碍</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妄想是最突出的或唯一的临床特征，妄想必须存在至少三个月，必须明确地为病人的个人观念,而非亚文化观念。可间断性地出现抑郁症状甚至完全的抑郁发作(F32.-),但没有心境障碍时妄想仍持续存在不应存在脑疾病的证据;没有或偶然才有听幻觉;无精神分裂症性症状(被控制妄想、思维被广播等)的病史。包含:偏执狂；偏执性精神病；偏执状态</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（2）其它持久的妄想性障碍</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本类别是为持续妄想性障碍中不符合妄想性障碍(F22.0)标准者所保留的编码。在此处编码之障碍其妄想应伴有持久的幻听或伴有不足以诊断为精神分裂症(F20.-)的分裂性症状。妄想性障碍持续尚不足三个月者应在F23.-处编码(至少为暂时性)。</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包含:妄想性畸形恐怖；更年期偏执状态；好争辩的偏执狂</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2.有相关病史资料。精神专科医院或综合医院精神科（具有精神科执业范围的科室）出具的出院记录(记载病情和治疗方案）和诊断证明（加盖医疗机构公章）≥1次；或门诊诊疗记录（记载病情和治疗方案）每月1次连续6月以上。</w:t>
            </w:r>
          </w:p>
        </w:tc>
      </w:tr>
      <w:tr>
        <w:tblPrEx>
          <w:tblCellMar>
            <w:top w:w="0" w:type="dxa"/>
            <w:left w:w="108" w:type="dxa"/>
            <w:bottom w:w="0" w:type="dxa"/>
            <w:right w:w="108" w:type="dxa"/>
          </w:tblCellMar>
        </w:tblPrEx>
        <w:trPr>
          <w:trHeight w:val="91" w:hRule="atLeast"/>
        </w:trPr>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3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医保目录药品分类代码</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抗精神病药物</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XN05A</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抗精神病药</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治疗精神分裂症伴发其他精神症状的药物（包括抗抑郁药、抗焦虑药、心境稳定剂）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抗抑郁药物</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XN06A</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抗抑郁药</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抗癫痫药</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XN03AX</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其他抗癫痫药</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XN03AG</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脂肪酸衍生物</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XN03AF</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氨甲酰衍生物</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XN03AE</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苯二氮䓬衍生物</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镇静药物</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XN05C</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催眠药和镇静药</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抗焦虑药物</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XN05B</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抗焦虑药</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上述药物引起不良反应的对症治疗药物</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抗帕金森类药物</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XN04A</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抗胆碱能药</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治疗功能性胃肠道疾病的药物</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XA03B</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单方颠茄及其衍生物</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非选择性β-受体阻滞剂</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XC07AA</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非选择性β-受体阻滞剂</w:t>
            </w:r>
          </w:p>
        </w:tc>
      </w:tr>
      <w:tr>
        <w:tblPrEx>
          <w:tblCellMar>
            <w:top w:w="0" w:type="dxa"/>
            <w:left w:w="108" w:type="dxa"/>
            <w:bottom w:w="0" w:type="dxa"/>
            <w:right w:w="108" w:type="dxa"/>
          </w:tblCellMar>
        </w:tblPrEx>
        <w:trPr>
          <w:trHeight w:val="91" w:hRule="atLeast"/>
        </w:trPr>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3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医保目录医疗服务项目编码</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物理治疗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重复经颅磁刺激治疗（医保基金支付不超过30次/年，每次30分钟）</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311503031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经颅磁刺激治疗</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MECT治疗（医保基金支付不超过12次/年）</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311503005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多参数监护无抽搐电休克治疗</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血常规</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血细胞分析</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血脂</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血清总胆固醇测定</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血清甘油三酯测定</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血清高密度脂蛋白胆固醇测定</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血清低密度脂蛋白胆固醇测定</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血糖</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250302001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葡萄糖测定</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泌乳素</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250310002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血清泌乳素测定</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甲状腺功能（医保基金支付不超过4次/年）</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250310001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血清促甲状腺激素测定(TSH)</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250310010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血清甲状腺素(T4)测定</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250310011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血清三碘甲状原氨酸(T3)测定</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250310013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血清游离甲状腺素(FT4)测定</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250310014</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血清游离三碘甲状原氨酸(FT3)测定</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药物浓度</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250304013.a0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微量元素测定(锂测定)</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250309005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血清药物浓度测定</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肝功能</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血清总胆红素测定</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血清直接胆红素测定</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血清间接胆红素测定</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血清丙氨酸氨基转移酶测定</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血清天门冬氨酸氨基转移酶测定</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250305009</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血清γ-谷氨酰基转移酶测定</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血清碱性磷酸酶测定</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血清总蛋白测定</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血清白蛋白测定</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250306005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乳酸脱氢酶测定</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肾功能</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血清尿酸测定</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尿素测定</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肌酐测定</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心电图</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310701001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常规心电图检查</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脑电图</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310100003</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脑地形图</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310100002.20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特殊脑电图(特殊诱发)</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视觉电位+N400检查</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310100011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事件相关电位</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眼动检查（医保基金支付不超过2次/年）</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311502002</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眼动检查</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量表（每种量表医保基金支付不超过4次/年）</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011102010010000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临床量表评估（自评）</w:t>
            </w:r>
          </w:p>
        </w:tc>
      </w:tr>
      <w:tr>
        <w:tblPrEx>
          <w:tblCellMar>
            <w:top w:w="0" w:type="dxa"/>
            <w:left w:w="108" w:type="dxa"/>
            <w:bottom w:w="0" w:type="dxa"/>
            <w:right w:w="108" w:type="dxa"/>
          </w:tblCellMar>
        </w:tblPrEx>
        <w:trPr>
          <w:trHeight w:val="91" w:hRule="atLeast"/>
        </w:trPr>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1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011102010020000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临床量表评估（他评）</w:t>
            </w:r>
          </w:p>
        </w:tc>
      </w:tr>
    </w:tbl>
    <w:p>
      <w:pPr>
        <w:spacing w:line="340" w:lineRule="exac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pPr>
        <w:tabs>
          <w:tab w:val="left" w:pos="737"/>
        </w:tabs>
        <w:spacing w:line="340" w:lineRule="exact"/>
        <w:rPr>
          <w:rFonts w:ascii="Times New Roman" w:hAnsi="Times New Roman" w:eastAsia="黑体"/>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3</w:t>
      </w:r>
      <w:r>
        <w:rPr>
          <w:rFonts w:ascii="Times New Roman" w:hAnsi="Times New Roman"/>
          <w:color w:val="000000" w:themeColor="text1"/>
          <w:sz w:val="30"/>
          <w:szCs w:val="30"/>
          <w14:textFill>
            <w14:solidFill>
              <w14:schemeClr w14:val="tx1"/>
            </w14:solidFill>
          </w14:textFill>
        </w:rPr>
        <w:t>4.</w:t>
      </w:r>
      <w:r>
        <w:rPr>
          <w:rFonts w:ascii="Times New Roman" w:hAnsi="Times New Roman" w:eastAsia="黑体"/>
          <w:color w:val="000000" w:themeColor="text1"/>
          <w:sz w:val="30"/>
          <w:szCs w:val="30"/>
          <w14:textFill>
            <w14:solidFill>
              <w14:schemeClr w14:val="tx1"/>
            </w14:solidFill>
          </w14:textFill>
        </w:rPr>
        <w:t>分裂情感性障碍</w:t>
      </w:r>
    </w:p>
    <w:tbl>
      <w:tblPr>
        <w:tblStyle w:val="4"/>
        <w:tblW w:w="8813" w:type="dxa"/>
        <w:tblInd w:w="93" w:type="dxa"/>
        <w:tblLayout w:type="fixed"/>
        <w:tblCellMar>
          <w:top w:w="0" w:type="dxa"/>
          <w:left w:w="108" w:type="dxa"/>
          <w:bottom w:w="0" w:type="dxa"/>
          <w:right w:w="108" w:type="dxa"/>
        </w:tblCellMar>
      </w:tblPr>
      <w:tblGrid>
        <w:gridCol w:w="773"/>
        <w:gridCol w:w="1905"/>
        <w:gridCol w:w="1365"/>
        <w:gridCol w:w="1955"/>
        <w:gridCol w:w="2815"/>
      </w:tblGrid>
      <w:tr>
        <w:tblPrEx>
          <w:tblCellMar>
            <w:top w:w="0" w:type="dxa"/>
            <w:left w:w="108" w:type="dxa"/>
            <w:bottom w:w="0" w:type="dxa"/>
            <w:right w:w="108" w:type="dxa"/>
          </w:tblCellMar>
        </w:tblPrEx>
        <w:trPr>
          <w:trHeight w:val="91" w:hRule="atLeast"/>
        </w:trPr>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分裂情感性障碍</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F25.000</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分裂情感性障碍，躁狂型</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F25.000x001</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分裂情感性障碍躁狂发作</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F25.100</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分裂情感性障碍，抑郁型</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F25.100x001</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分裂情感性障碍抑郁发作</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F25.200</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分裂情感性障碍，混合型</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F25.200x001</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周期性精神病性障碍</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F25.200x002</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分裂情感性障碍混合发作</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F25.800</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分裂情感性障碍，其他的</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F25.900</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分裂情感性障碍</w:t>
            </w:r>
          </w:p>
        </w:tc>
      </w:tr>
      <w:tr>
        <w:tblPrEx>
          <w:tblCellMar>
            <w:top w:w="0" w:type="dxa"/>
            <w:left w:w="108" w:type="dxa"/>
            <w:bottom w:w="0" w:type="dxa"/>
            <w:right w:w="108" w:type="dxa"/>
          </w:tblCellMar>
        </w:tblPrEx>
        <w:trPr>
          <w:trHeight w:val="91"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80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1.符合《ICD—10国际疾病分类与诊断标准（第十版）-精神与行为障碍》中分裂情感性障碍(F25)的诊断标准。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为一种发作性障碍，情感性症状与分裂性症状在疾病的同一次发中都很明显,两种症状多为同时出现或至多相差几天。本类障碍与典心境(情感性)障碍(F30-F39)及精神分裂症(F20-F24)的关系尚确定，之所以给本症单独的目录是因为它十分常见，不容忽视。情感症状附加于预先存在的精神分裂症性疾病或组成其一部分，或与精神分裂症或其它持久的妄想性障碍共存或交替出现时,在F20-F29的适当类别中归类。情感性障碍与心境不   协调的妄想或幻觉(F30.2，F31.2，F31.5，F32.3或F33.3)本身并不能诊断为分裂情感性障碍。</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只有在疾病的同一次发作中，明显而确实的分裂性症状和情感性症状同时出现或只差几天,因而该发作既不符合精神分裂症亦不符合抑郁或躁狂发作的标准，此时方可作出分裂情感性障碍的诊断。</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2.有相关病史资料。精神专科医院或综合医院精神科（具有精神科执业范围的科室）出具的出院记录(记载病情和治疗方案）和诊断证明（加盖医疗机构公章）≥1次；或门诊诊疗记录（记载病情和治疗方案）每月1次连续6月以上。</w:t>
            </w:r>
          </w:p>
        </w:tc>
      </w:tr>
      <w:tr>
        <w:tblPrEx>
          <w:tblCellMar>
            <w:top w:w="0" w:type="dxa"/>
            <w:left w:w="108" w:type="dxa"/>
            <w:bottom w:w="0" w:type="dxa"/>
            <w:right w:w="108" w:type="dxa"/>
          </w:tblCellMar>
        </w:tblPrEx>
        <w:trPr>
          <w:trHeight w:val="91" w:hRule="atLeast"/>
        </w:trPr>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医保目录药品分类代码</w:t>
            </w:r>
          </w:p>
        </w:tc>
        <w:tc>
          <w:tcPr>
            <w:tcW w:w="2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抗精神病药物</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XN05A</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抗精神病药</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治疗精神分裂症伴发其他精神症状的药物（包括抗抑郁药、抗焦虑药、心境稳定剂）</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抗抑郁药物</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XN06A</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抗抑郁药</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抗癫痫药</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XN03AX</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其他抗癫痫药</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XN03AG</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脂肪酸衍生物</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XN03AF</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氨甲酰衍生物</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XN03AE</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苯二氮䓬衍生物</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镇静药物</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XN05C</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催眠药和镇静药</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抗焦虑药物</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XN05B</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抗焦虑药</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上述药物引起不良反应的对症治疗药物</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抗帕金森类药物</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XN04A</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抗胆碱能药</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治疗功能性胃肠道疾病的药物</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XA03B</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单方颠茄及其衍生物</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非选择性β-受体阻滞剂</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XC07AA</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非选择性β-受体阻滞剂</w:t>
            </w:r>
          </w:p>
        </w:tc>
      </w:tr>
      <w:tr>
        <w:tblPrEx>
          <w:tblCellMar>
            <w:top w:w="0" w:type="dxa"/>
            <w:left w:w="108" w:type="dxa"/>
            <w:bottom w:w="0" w:type="dxa"/>
            <w:right w:w="108" w:type="dxa"/>
          </w:tblCellMar>
        </w:tblPrEx>
        <w:trPr>
          <w:trHeight w:val="91" w:hRule="atLeast"/>
        </w:trPr>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医保目录医疗服务项目编码</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物理治疗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重复经颅磁刺激治疗（医保基金支付不超过30次/年，每次30分钟）</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311503031</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经颅磁刺激治疗</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MECT治疗（医保基金支付不超过12次/年）</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311503005</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多参数监护无抽搐电休克治疗</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血常规</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250101015</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血细胞分析</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血脂</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250303001</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血清总胆固醇测定</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250303002</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血清甘油三酯测定</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250303004</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血清高密度脂蛋白胆固醇测定</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250303005</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血清低密度脂蛋白胆固醇测定</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血糖</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250302001</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葡萄糖测定</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泌乳素</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250310002</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血清泌乳素测定</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甲状腺功能（医保基金支付不超过4次/年）</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250310001</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血清促甲状腺激素测定(TSH)</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250310010</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血清甲状腺素(T4)测定</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250310011</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血清三碘甲状原氨酸(T3)测定</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250310013</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血清游离甲状腺素(FT4)测定</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250310014</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血清游离三碘甲状原氨酸(FT3)测定</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药物浓度</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250304013.a0</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微量元素测定(锂测定)</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250309005</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血清药物浓度测定</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肝功能</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250305001</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血清总胆红素测定</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250305002</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血清直接胆红素测定</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250305003</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血清间接胆红素测定</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250305007</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血清丙氨酸氨基转移酶测定</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250305008</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血清天门冬氨酸氨基转移酶测定</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250305009</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血清γ-谷氨酰基转移酶测定</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250305011</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血清碱性磷酸酶测定</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250301001</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血清总蛋白测定</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250301002</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血清白蛋白测定</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250306005</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乳酸脱氢酶测定</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肾功能</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250307005</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血清尿酸测定</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250307001</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尿素测定</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250307002</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肌酐测定</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心电图</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310701001</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常规心电图检查</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脑电图</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310100003</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脑地形图</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310100002.20</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特殊脑电图(特殊诱发)</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视觉电位+N400检查（医保基金支付不超过2次/年）</w:t>
            </w:r>
          </w:p>
        </w:tc>
        <w:tc>
          <w:tcPr>
            <w:tcW w:w="1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310100011</w:t>
            </w:r>
          </w:p>
        </w:tc>
        <w:tc>
          <w:tcPr>
            <w:tcW w:w="2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事件相关电位</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眼动检查（医保基金支付不超过2次/年）</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311502002</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眼动检查</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量表（每种量表医保基金支付不超过4次/年）</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011102010010000</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临床量表评估（自评）</w:t>
            </w:r>
          </w:p>
        </w:tc>
      </w:tr>
      <w:tr>
        <w:tblPrEx>
          <w:tblCellMar>
            <w:top w:w="0" w:type="dxa"/>
            <w:left w:w="108" w:type="dxa"/>
            <w:bottom w:w="0" w:type="dxa"/>
            <w:right w:w="108" w:type="dxa"/>
          </w:tblCellMar>
        </w:tblPrEx>
        <w:trPr>
          <w:trHeight w:val="91"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011102010020000</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临床量表评估（他评）</w:t>
            </w:r>
          </w:p>
        </w:tc>
      </w:tr>
    </w:tbl>
    <w:p>
      <w:pPr>
        <w:spacing w:line="340" w:lineRule="exac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pPr>
        <w:tabs>
          <w:tab w:val="left" w:pos="737"/>
        </w:tabs>
        <w:spacing w:line="340" w:lineRule="exact"/>
        <w:rPr>
          <w:rFonts w:ascii="Times New Roman" w:hAnsi="Times New Roman" w:eastAsia="黑体"/>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3</w:t>
      </w:r>
      <w:r>
        <w:rPr>
          <w:rFonts w:ascii="Times New Roman" w:hAnsi="Times New Roman"/>
          <w:color w:val="000000" w:themeColor="text1"/>
          <w:sz w:val="30"/>
          <w:szCs w:val="30"/>
          <w14:textFill>
            <w14:solidFill>
              <w14:schemeClr w14:val="tx1"/>
            </w14:solidFill>
          </w14:textFill>
        </w:rPr>
        <w:t>5.</w:t>
      </w:r>
      <w:r>
        <w:rPr>
          <w:rFonts w:ascii="Times New Roman" w:hAnsi="Times New Roman" w:eastAsia="黑体"/>
          <w:color w:val="000000" w:themeColor="text1"/>
          <w:sz w:val="30"/>
          <w:szCs w:val="30"/>
          <w14:textFill>
            <w14:solidFill>
              <w14:schemeClr w14:val="tx1"/>
            </w14:solidFill>
          </w14:textFill>
        </w:rPr>
        <w:t>癫痫所致精神障碍</w:t>
      </w:r>
    </w:p>
    <w:tbl>
      <w:tblPr>
        <w:tblStyle w:val="4"/>
        <w:tblW w:w="8691" w:type="dxa"/>
        <w:tblInd w:w="93" w:type="dxa"/>
        <w:tblLayout w:type="fixed"/>
        <w:tblCellMar>
          <w:top w:w="0" w:type="dxa"/>
          <w:left w:w="108" w:type="dxa"/>
          <w:bottom w:w="0" w:type="dxa"/>
          <w:right w:w="108" w:type="dxa"/>
        </w:tblCellMar>
      </w:tblPr>
      <w:tblGrid>
        <w:gridCol w:w="698"/>
        <w:gridCol w:w="2980"/>
        <w:gridCol w:w="2045"/>
        <w:gridCol w:w="2968"/>
      </w:tblGrid>
      <w:tr>
        <w:tblPrEx>
          <w:tblCellMar>
            <w:top w:w="0" w:type="dxa"/>
            <w:left w:w="108" w:type="dxa"/>
            <w:bottom w:w="0" w:type="dxa"/>
            <w:right w:w="108" w:type="dxa"/>
          </w:tblCellMar>
        </w:tblPrEx>
        <w:trPr>
          <w:trHeight w:val="91"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2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1"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癫痫所致精神障碍</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F06.801</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癫痫性精神病</w:t>
            </w:r>
          </w:p>
        </w:tc>
      </w:tr>
      <w:tr>
        <w:tblPrEx>
          <w:tblCellMar>
            <w:top w:w="0" w:type="dxa"/>
            <w:left w:w="108" w:type="dxa"/>
            <w:bottom w:w="0" w:type="dxa"/>
            <w:right w:w="108" w:type="dxa"/>
          </w:tblCellMar>
        </w:tblPrEx>
        <w:trPr>
          <w:trHeight w:val="91"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7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1. 符合《ICD—10国际疾病分类与诊断标准（第十版）》癫痫所致精神障碍的诊断标准。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（1）符合器质性精神障碍的诊断标准；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（2）癫痫史或癫痫发作的证据；</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（3）精神障碍的发生及其病程与癫痫相关；</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4）是指一组反复发作的脑异常放电导致的精神障碍。可分为发作性和持续性精神障碍两类。前者为一定时间内的感觉、知觉、记忆、思维等障碍，心境恶劣，精神运动性发作，或短暂精神分裂症样发作，发作具有突然性、短暂性，及反复发作的特点；后者为分裂症样障碍、人格改变，或智能损害等。</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2.有相关病史资料。精神专科医院或综合医院精神科（具有精神科执业范围的科室）出具的出院记录(记载病情和治疗方案）和诊断证明（加盖医疗机构公章）≥1次；或门诊诊疗记录（记载病情和治疗方案）每月1次连续6月以上。</w:t>
            </w:r>
          </w:p>
        </w:tc>
      </w:tr>
      <w:tr>
        <w:tblPrEx>
          <w:tblCellMar>
            <w:top w:w="0" w:type="dxa"/>
            <w:left w:w="108" w:type="dxa"/>
            <w:bottom w:w="0" w:type="dxa"/>
            <w:right w:w="108" w:type="dxa"/>
          </w:tblCellMar>
        </w:tblPrEx>
        <w:trPr>
          <w:trHeight w:val="91"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29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2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医保目录药品分类代码</w:t>
            </w:r>
          </w:p>
        </w:tc>
        <w:tc>
          <w:tcPr>
            <w:tcW w:w="2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1"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抗癫痫药</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XN03A</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抗癫痫药</w:t>
            </w:r>
          </w:p>
        </w:tc>
      </w:tr>
      <w:tr>
        <w:tblPrEx>
          <w:tblCellMar>
            <w:top w:w="0" w:type="dxa"/>
            <w:left w:w="108" w:type="dxa"/>
            <w:bottom w:w="0" w:type="dxa"/>
            <w:right w:w="108" w:type="dxa"/>
          </w:tblCellMar>
        </w:tblPrEx>
        <w:trPr>
          <w:trHeight w:val="91"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抗精神病药物</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XN05A</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抗精神病药</w:t>
            </w:r>
          </w:p>
        </w:tc>
      </w:tr>
      <w:tr>
        <w:tblPrEx>
          <w:tblCellMar>
            <w:top w:w="0" w:type="dxa"/>
            <w:left w:w="108" w:type="dxa"/>
            <w:bottom w:w="0" w:type="dxa"/>
            <w:right w:w="108" w:type="dxa"/>
          </w:tblCellMar>
        </w:tblPrEx>
        <w:trPr>
          <w:trHeight w:val="91"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心境稳定剂</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XN05C</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催眠药和镇静药</w:t>
            </w:r>
          </w:p>
        </w:tc>
      </w:tr>
      <w:tr>
        <w:tblPrEx>
          <w:tblCellMar>
            <w:top w:w="0" w:type="dxa"/>
            <w:left w:w="108" w:type="dxa"/>
            <w:bottom w:w="0" w:type="dxa"/>
            <w:right w:w="108" w:type="dxa"/>
          </w:tblCellMar>
        </w:tblPrEx>
        <w:trPr>
          <w:trHeight w:val="91"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抗焦虑药物</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XN05B</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抗焦虑药</w:t>
            </w:r>
          </w:p>
        </w:tc>
      </w:tr>
      <w:tr>
        <w:tblPrEx>
          <w:tblCellMar>
            <w:top w:w="0" w:type="dxa"/>
            <w:left w:w="108" w:type="dxa"/>
            <w:bottom w:w="0" w:type="dxa"/>
            <w:right w:w="108" w:type="dxa"/>
          </w:tblCellMar>
        </w:tblPrEx>
        <w:trPr>
          <w:trHeight w:val="91"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抗帕金森类药物</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XN04</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抗帕金森氏病药</w:t>
            </w:r>
          </w:p>
        </w:tc>
      </w:tr>
      <w:tr>
        <w:tblPrEx>
          <w:tblCellMar>
            <w:top w:w="0" w:type="dxa"/>
            <w:left w:w="108" w:type="dxa"/>
            <w:bottom w:w="0" w:type="dxa"/>
            <w:right w:w="108" w:type="dxa"/>
          </w:tblCellMar>
        </w:tblPrEx>
        <w:trPr>
          <w:trHeight w:val="91" w:hRule="atLeast"/>
        </w:trPr>
        <w:tc>
          <w:tcPr>
            <w:tcW w:w="698"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非选择性β-受体阻滞剂</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XC07AA</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非选择性β-受体阻滞剂</w:t>
            </w:r>
          </w:p>
        </w:tc>
      </w:tr>
      <w:tr>
        <w:tblPrEx>
          <w:tblCellMar>
            <w:top w:w="0" w:type="dxa"/>
            <w:left w:w="108" w:type="dxa"/>
            <w:bottom w:w="0" w:type="dxa"/>
            <w:right w:w="108" w:type="dxa"/>
          </w:tblCellMar>
        </w:tblPrEx>
        <w:trPr>
          <w:trHeight w:val="91" w:hRule="atLeast"/>
        </w:trPr>
        <w:tc>
          <w:tcPr>
            <w:tcW w:w="69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2980"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医保目录医疗服务项目编码</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1" w:hRule="atLeast"/>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8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心电图</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310701001</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 xml:space="preserve"> 常规心电图检查 </w:t>
            </w:r>
          </w:p>
        </w:tc>
      </w:tr>
      <w:tr>
        <w:tblPrEx>
          <w:tblCellMar>
            <w:top w:w="0" w:type="dxa"/>
            <w:left w:w="108" w:type="dxa"/>
            <w:bottom w:w="0" w:type="dxa"/>
            <w:right w:w="108" w:type="dxa"/>
          </w:tblCellMar>
        </w:tblPrEx>
        <w:trPr>
          <w:trHeight w:val="91" w:hRule="atLeast"/>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8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血常规</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250101015</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血细胞分析</w:t>
            </w:r>
          </w:p>
        </w:tc>
      </w:tr>
      <w:tr>
        <w:tblPrEx>
          <w:tblCellMar>
            <w:top w:w="0" w:type="dxa"/>
            <w:left w:w="108" w:type="dxa"/>
            <w:bottom w:w="0" w:type="dxa"/>
            <w:right w:w="108" w:type="dxa"/>
          </w:tblCellMar>
        </w:tblPrEx>
        <w:trPr>
          <w:trHeight w:val="91" w:hRule="atLeast"/>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80"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脑电图</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310100003</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脑地形图</w:t>
            </w:r>
          </w:p>
        </w:tc>
      </w:tr>
      <w:tr>
        <w:tblPrEx>
          <w:tblCellMar>
            <w:top w:w="0" w:type="dxa"/>
            <w:left w:w="108" w:type="dxa"/>
            <w:bottom w:w="0" w:type="dxa"/>
            <w:right w:w="108" w:type="dxa"/>
          </w:tblCellMar>
        </w:tblPrEx>
        <w:trPr>
          <w:trHeight w:val="91" w:hRule="atLeast"/>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8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310100002.20</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特殊脑电图(特殊诱发)</w:t>
            </w:r>
          </w:p>
        </w:tc>
      </w:tr>
      <w:tr>
        <w:tblPrEx>
          <w:tblCellMar>
            <w:top w:w="0" w:type="dxa"/>
            <w:left w:w="108" w:type="dxa"/>
            <w:bottom w:w="0" w:type="dxa"/>
            <w:right w:w="108" w:type="dxa"/>
          </w:tblCellMar>
        </w:tblPrEx>
        <w:trPr>
          <w:trHeight w:val="91" w:hRule="atLeast"/>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80"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肝功能</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250305001</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血清总胆红素测定</w:t>
            </w:r>
          </w:p>
        </w:tc>
      </w:tr>
      <w:tr>
        <w:tblPrEx>
          <w:tblCellMar>
            <w:top w:w="0" w:type="dxa"/>
            <w:left w:w="108" w:type="dxa"/>
            <w:bottom w:w="0" w:type="dxa"/>
            <w:right w:w="108" w:type="dxa"/>
          </w:tblCellMar>
        </w:tblPrEx>
        <w:trPr>
          <w:trHeight w:val="91" w:hRule="atLeast"/>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8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250305002</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血清直接胆红素测定</w:t>
            </w:r>
          </w:p>
        </w:tc>
      </w:tr>
      <w:tr>
        <w:tblPrEx>
          <w:tblCellMar>
            <w:top w:w="0" w:type="dxa"/>
            <w:left w:w="108" w:type="dxa"/>
            <w:bottom w:w="0" w:type="dxa"/>
            <w:right w:w="108" w:type="dxa"/>
          </w:tblCellMar>
        </w:tblPrEx>
        <w:trPr>
          <w:trHeight w:val="91" w:hRule="atLeast"/>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8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250305003</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血清间接胆红素测定</w:t>
            </w:r>
          </w:p>
        </w:tc>
      </w:tr>
      <w:tr>
        <w:tblPrEx>
          <w:tblCellMar>
            <w:top w:w="0" w:type="dxa"/>
            <w:left w:w="108" w:type="dxa"/>
            <w:bottom w:w="0" w:type="dxa"/>
            <w:right w:w="108" w:type="dxa"/>
          </w:tblCellMar>
        </w:tblPrEx>
        <w:trPr>
          <w:trHeight w:val="91" w:hRule="atLeast"/>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8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250305007</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血清丙氨酸氨基转移酶测定</w:t>
            </w:r>
          </w:p>
        </w:tc>
      </w:tr>
      <w:tr>
        <w:tblPrEx>
          <w:tblCellMar>
            <w:top w:w="0" w:type="dxa"/>
            <w:left w:w="108" w:type="dxa"/>
            <w:bottom w:w="0" w:type="dxa"/>
            <w:right w:w="108" w:type="dxa"/>
          </w:tblCellMar>
        </w:tblPrEx>
        <w:trPr>
          <w:trHeight w:val="91" w:hRule="atLeast"/>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8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250305008</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血清天门冬氨酸氨基转移酶测定</w:t>
            </w:r>
          </w:p>
        </w:tc>
      </w:tr>
      <w:tr>
        <w:tblPrEx>
          <w:tblCellMar>
            <w:top w:w="0" w:type="dxa"/>
            <w:left w:w="108" w:type="dxa"/>
            <w:bottom w:w="0" w:type="dxa"/>
            <w:right w:w="108" w:type="dxa"/>
          </w:tblCellMar>
        </w:tblPrEx>
        <w:trPr>
          <w:trHeight w:val="91" w:hRule="atLeast"/>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8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250305009</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血清γ-谷氨酰基转移酶测定</w:t>
            </w:r>
          </w:p>
        </w:tc>
      </w:tr>
      <w:tr>
        <w:tblPrEx>
          <w:tblCellMar>
            <w:top w:w="0" w:type="dxa"/>
            <w:left w:w="108" w:type="dxa"/>
            <w:bottom w:w="0" w:type="dxa"/>
            <w:right w:w="108" w:type="dxa"/>
          </w:tblCellMar>
        </w:tblPrEx>
        <w:trPr>
          <w:trHeight w:val="91" w:hRule="atLeast"/>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8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250305011</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血清碱性磷酸酶测定</w:t>
            </w:r>
          </w:p>
        </w:tc>
      </w:tr>
      <w:tr>
        <w:tblPrEx>
          <w:tblCellMar>
            <w:top w:w="0" w:type="dxa"/>
            <w:left w:w="108" w:type="dxa"/>
            <w:bottom w:w="0" w:type="dxa"/>
            <w:right w:w="108" w:type="dxa"/>
          </w:tblCellMar>
        </w:tblPrEx>
        <w:trPr>
          <w:trHeight w:val="91" w:hRule="atLeast"/>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8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250301001</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血清总蛋白测定</w:t>
            </w:r>
          </w:p>
        </w:tc>
      </w:tr>
      <w:tr>
        <w:tblPrEx>
          <w:tblCellMar>
            <w:top w:w="0" w:type="dxa"/>
            <w:left w:w="108" w:type="dxa"/>
            <w:bottom w:w="0" w:type="dxa"/>
            <w:right w:w="108" w:type="dxa"/>
          </w:tblCellMar>
        </w:tblPrEx>
        <w:trPr>
          <w:trHeight w:val="91" w:hRule="atLeast"/>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8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250301002</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血清白蛋白测定</w:t>
            </w:r>
          </w:p>
        </w:tc>
      </w:tr>
      <w:tr>
        <w:tblPrEx>
          <w:tblCellMar>
            <w:top w:w="0" w:type="dxa"/>
            <w:left w:w="108" w:type="dxa"/>
            <w:bottom w:w="0" w:type="dxa"/>
            <w:right w:w="108" w:type="dxa"/>
          </w:tblCellMar>
        </w:tblPrEx>
        <w:trPr>
          <w:trHeight w:val="91" w:hRule="atLeast"/>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80"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肾功能</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250307005</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血清尿酸测定</w:t>
            </w:r>
          </w:p>
        </w:tc>
      </w:tr>
      <w:tr>
        <w:tblPrEx>
          <w:tblCellMar>
            <w:top w:w="0" w:type="dxa"/>
            <w:left w:w="108" w:type="dxa"/>
            <w:bottom w:w="0" w:type="dxa"/>
            <w:right w:w="108" w:type="dxa"/>
          </w:tblCellMar>
        </w:tblPrEx>
        <w:trPr>
          <w:trHeight w:val="91" w:hRule="atLeast"/>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8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250307001</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尿素测定</w:t>
            </w:r>
          </w:p>
        </w:tc>
      </w:tr>
      <w:tr>
        <w:tblPrEx>
          <w:tblCellMar>
            <w:top w:w="0" w:type="dxa"/>
            <w:left w:w="108" w:type="dxa"/>
            <w:bottom w:w="0" w:type="dxa"/>
            <w:right w:w="108" w:type="dxa"/>
          </w:tblCellMar>
        </w:tblPrEx>
        <w:trPr>
          <w:trHeight w:val="91" w:hRule="atLeast"/>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8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250307002</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肌酐测定</w:t>
            </w:r>
          </w:p>
        </w:tc>
      </w:tr>
      <w:tr>
        <w:tblPrEx>
          <w:tblCellMar>
            <w:top w:w="0" w:type="dxa"/>
            <w:left w:w="108" w:type="dxa"/>
            <w:bottom w:w="0" w:type="dxa"/>
            <w:right w:w="108" w:type="dxa"/>
          </w:tblCellMar>
        </w:tblPrEx>
        <w:trPr>
          <w:trHeight w:val="91" w:hRule="atLeast"/>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8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葡萄糖</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250302001</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葡萄糖测定</w:t>
            </w:r>
          </w:p>
        </w:tc>
      </w:tr>
      <w:tr>
        <w:tblPrEx>
          <w:tblCellMar>
            <w:top w:w="0" w:type="dxa"/>
            <w:left w:w="108" w:type="dxa"/>
            <w:bottom w:w="0" w:type="dxa"/>
            <w:right w:w="108" w:type="dxa"/>
          </w:tblCellMar>
        </w:tblPrEx>
        <w:trPr>
          <w:trHeight w:val="91" w:hRule="atLeast"/>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80" w:type="dxa"/>
            <w:vMerge w:val="restart"/>
            <w:tcBorders>
              <w:top w:val="nil"/>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药物浓度</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250304013.a0</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微量元素测定(锂测定)</w:t>
            </w:r>
          </w:p>
        </w:tc>
      </w:tr>
      <w:tr>
        <w:tblPrEx>
          <w:tblCellMar>
            <w:top w:w="0" w:type="dxa"/>
            <w:left w:w="108" w:type="dxa"/>
            <w:bottom w:w="0" w:type="dxa"/>
            <w:right w:w="108" w:type="dxa"/>
          </w:tblCellMar>
        </w:tblPrEx>
        <w:trPr>
          <w:trHeight w:val="91" w:hRule="atLeast"/>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80" w:type="dxa"/>
            <w:vMerge w:val="continue"/>
            <w:tcBorders>
              <w:top w:val="nil"/>
              <w:left w:val="single" w:color="auto"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250309005</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血清药物浓度测定</w:t>
            </w:r>
          </w:p>
        </w:tc>
      </w:tr>
      <w:tr>
        <w:tblPrEx>
          <w:tblCellMar>
            <w:top w:w="0" w:type="dxa"/>
            <w:left w:w="108" w:type="dxa"/>
            <w:bottom w:w="0" w:type="dxa"/>
            <w:right w:w="108" w:type="dxa"/>
          </w:tblCellMar>
        </w:tblPrEx>
        <w:trPr>
          <w:trHeight w:val="91" w:hRule="atLeast"/>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80"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血脂</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250303002</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血清甘油三酯测定</w:t>
            </w:r>
          </w:p>
        </w:tc>
      </w:tr>
      <w:tr>
        <w:tblPrEx>
          <w:tblCellMar>
            <w:top w:w="0" w:type="dxa"/>
            <w:left w:w="108" w:type="dxa"/>
            <w:bottom w:w="0" w:type="dxa"/>
            <w:right w:w="108" w:type="dxa"/>
          </w:tblCellMar>
        </w:tblPrEx>
        <w:trPr>
          <w:trHeight w:val="91" w:hRule="atLeast"/>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8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250303001</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血清总胆固醇测定</w:t>
            </w:r>
          </w:p>
        </w:tc>
      </w:tr>
      <w:tr>
        <w:tblPrEx>
          <w:tblCellMar>
            <w:top w:w="0" w:type="dxa"/>
            <w:left w:w="108" w:type="dxa"/>
            <w:bottom w:w="0" w:type="dxa"/>
            <w:right w:w="108" w:type="dxa"/>
          </w:tblCellMar>
        </w:tblPrEx>
        <w:trPr>
          <w:trHeight w:val="91" w:hRule="atLeast"/>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8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250303004</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血清高密度脂蛋白胆固醇测定</w:t>
            </w:r>
          </w:p>
        </w:tc>
      </w:tr>
      <w:tr>
        <w:tblPrEx>
          <w:tblCellMar>
            <w:top w:w="0" w:type="dxa"/>
            <w:left w:w="108" w:type="dxa"/>
            <w:bottom w:w="0" w:type="dxa"/>
            <w:right w:w="108" w:type="dxa"/>
          </w:tblCellMar>
        </w:tblPrEx>
        <w:trPr>
          <w:trHeight w:val="91" w:hRule="atLeast"/>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80"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250303005</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血清低密度脂蛋白胆固醇测定</w:t>
            </w:r>
          </w:p>
        </w:tc>
      </w:tr>
      <w:tr>
        <w:tblPrEx>
          <w:tblCellMar>
            <w:top w:w="0" w:type="dxa"/>
            <w:left w:w="108" w:type="dxa"/>
            <w:bottom w:w="0" w:type="dxa"/>
            <w:right w:w="108" w:type="dxa"/>
          </w:tblCellMar>
        </w:tblPrEx>
        <w:trPr>
          <w:trHeight w:val="91" w:hRule="atLeast"/>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量表（每种量表医保基金支付不超过4次/年）</w:t>
            </w:r>
          </w:p>
        </w:tc>
        <w:tc>
          <w:tcPr>
            <w:tcW w:w="204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011102010010000</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临床量表评估（自评）</w:t>
            </w:r>
          </w:p>
        </w:tc>
      </w:tr>
      <w:tr>
        <w:tblPrEx>
          <w:tblCellMar>
            <w:top w:w="0" w:type="dxa"/>
            <w:left w:w="108" w:type="dxa"/>
            <w:bottom w:w="0" w:type="dxa"/>
            <w:right w:w="108" w:type="dxa"/>
          </w:tblCellMar>
        </w:tblPrEx>
        <w:trPr>
          <w:trHeight w:val="91" w:hRule="atLeast"/>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011102010020000</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临床量表评估（他评）</w:t>
            </w:r>
          </w:p>
        </w:tc>
      </w:tr>
    </w:tbl>
    <w:p>
      <w:pPr>
        <w:spacing w:line="340" w:lineRule="exac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pPr>
        <w:tabs>
          <w:tab w:val="left" w:pos="737"/>
        </w:tabs>
        <w:spacing w:line="340" w:lineRule="exact"/>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3</w:t>
      </w:r>
      <w:r>
        <w:rPr>
          <w:rFonts w:ascii="Times New Roman" w:hAnsi="Times New Roman"/>
          <w:color w:val="000000" w:themeColor="text1"/>
          <w:sz w:val="30"/>
          <w:szCs w:val="30"/>
          <w14:textFill>
            <w14:solidFill>
              <w14:schemeClr w14:val="tx1"/>
            </w14:solidFill>
          </w14:textFill>
        </w:rPr>
        <w:t>6.</w:t>
      </w:r>
      <w:r>
        <w:rPr>
          <w:rFonts w:ascii="Times New Roman" w:hAnsi="Times New Roman" w:eastAsia="黑体"/>
          <w:color w:val="000000" w:themeColor="text1"/>
          <w:sz w:val="30"/>
          <w:szCs w:val="30"/>
          <w14:textFill>
            <w14:solidFill>
              <w14:schemeClr w14:val="tx1"/>
            </w14:solidFill>
          </w14:textFill>
        </w:rPr>
        <w:t>精神发育迟滞伴发精神障碍</w:t>
      </w:r>
    </w:p>
    <w:tbl>
      <w:tblPr>
        <w:tblStyle w:val="4"/>
        <w:tblW w:w="8798" w:type="dxa"/>
        <w:tblInd w:w="93" w:type="dxa"/>
        <w:tblLayout w:type="fixed"/>
        <w:tblCellMar>
          <w:top w:w="0" w:type="dxa"/>
          <w:left w:w="108" w:type="dxa"/>
          <w:bottom w:w="0" w:type="dxa"/>
          <w:right w:w="108" w:type="dxa"/>
        </w:tblCellMar>
      </w:tblPr>
      <w:tblGrid>
        <w:gridCol w:w="801"/>
        <w:gridCol w:w="1067"/>
        <w:gridCol w:w="1295"/>
        <w:gridCol w:w="1660"/>
        <w:gridCol w:w="3975"/>
      </w:tblGrid>
      <w:tr>
        <w:tblPrEx>
          <w:tblCellMar>
            <w:top w:w="0" w:type="dxa"/>
            <w:left w:w="108" w:type="dxa"/>
            <w:bottom w:w="0" w:type="dxa"/>
            <w:right w:w="108" w:type="dxa"/>
          </w:tblCellMar>
        </w:tblPrEx>
        <w:trPr>
          <w:trHeight w:val="91" w:hRule="atLeast"/>
        </w:trPr>
        <w:tc>
          <w:tcPr>
            <w:tcW w:w="8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23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精神发育迟滞伴发精神障碍</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F70.000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轻度精神发育迟缓，无或轻微行为缺陷的</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F70.000x001</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轻度精神发育迟滞</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F70.100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轻度精神发育迟缓，需要加以关注或治疗的显著行为缺陷</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F70.100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轻度精神发育迟缓，需要加以关注或治疗的显著行为缺陷</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F70.800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轻度精神发育迟缓，其他行为缺陷</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F70.800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轻度精神发育迟缓，其他行为缺陷</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F70.800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轻度精神发育迟缓，其他行为缺陷</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F70.900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轻度精神发育迟缓，未提及行为缺陷的</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F71.000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中度精神发育迟缓，无或轻微行为缺陷的</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F71.000x001</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中度精神发育迟滞</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F71.000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中度精神发育迟缓，无或轻微行为缺陷的</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F71.100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中度精神发育迟缓，需要加以关注或治疗的显著行为缺陷</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F71.100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中度精神发育迟缓，需要加以关注或治疗的显著行为缺陷</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F71.800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中度精神发育迟缓，其他的行为缺陷</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F71.800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中度精神发育迟缓，其他的行为缺陷</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F71.800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中度精神发育迟缓，其他的行为缺陷</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F71.900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中度精神发育迟缓，未提及行为缺陷的</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F72.000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重度精神发育迟缓，无或轻微行为缺陷的</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F72.000x001</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重度精神发育迟滞</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F72.000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重度精神发育迟缓，无或轻微行为缺陷的</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F72.100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重度精神发育迟缓，需要加以关注或治疗的显著行为缺陷</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F72.100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重度精神发育迟缓，需要加以关注或治疗的显著行为缺陷</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F72.800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重度精神发育迟缓，其他行为缺陷</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F72.800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重度精神发育迟缓，其他行为缺陷</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F72.800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重度精神发育迟缓，其他行为缺陷</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F72.900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重度精神发育迟缓，未提及行为缺陷的</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F73.000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极重度精神发育迟缓，无或轻微行为缺陷的</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F73.000x001</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极重度精神发育迟滞</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F73.000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极重度精神发育迟缓，无或轻微行为缺陷的</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F73.100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极重度精神发育迟缓，需要加以关注或治疗的显著行为缺陷</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F73.100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极重度精神发育迟缓，需要加以关注或治疗的显著行为缺陷</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F73.800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极重度精神发育迟缓，其他行为缺陷</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F73.800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极重度精神发育迟缓，其他行为缺陷</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F73.800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极重度精神发育迟缓，其他行为缺陷</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F73.900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极重度精神发育迟缓，未提及行为缺陷的</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F78.000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其他的精神发育迟缓，无或轻微行为缺陷的</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F78.100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其他精神发育迟缓，需要加以关注或治疗的显著行为缺陷</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F78.800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其他精神发育迟缓，其他行为缺陷的</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F78.800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其他精神发育迟缓，其他行为缺陷的</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F78.800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其他精神发育迟缓，其他行为缺陷的</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F78.900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精神发育迟缓其他的，未提及行为缺陷</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F79.000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精神发育迟缓，无或轻微行为缺陷的</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F79.000x001</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精神发育迟滞</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F79.000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精神发育迟缓，无或轻微行为缺陷的</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F79.100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精神发育迟缓，需要加以关注或治疗的显著行为缺陷</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F79.100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精神发育迟缓，需要加以关注或治疗的显著行为缺陷</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F79.100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精神发育迟缓，需要加以关注或治疗的显著行为缺陷</w:t>
            </w:r>
          </w:p>
        </w:tc>
      </w:tr>
      <w:tr>
        <w:tblPrEx>
          <w:tblCellMar>
            <w:top w:w="0" w:type="dxa"/>
            <w:left w:w="108" w:type="dxa"/>
            <w:bottom w:w="0" w:type="dxa"/>
            <w:right w:w="108" w:type="dxa"/>
          </w:tblCellMar>
        </w:tblPrEx>
        <w:trPr>
          <w:trHeight w:val="91"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7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1.符合《CCMD-3中国精神障碍分类与诊断标准（第三版）》精神发育迟滞的诊断标准。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 xml:space="preserve">（1）智力比正常人同龄人显著低下，标准智力测评的智商&lt;70。 </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（2）社会适应能力较相同文化背景的同龄人低下。</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（3）起源于18岁以前。</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（4）部分病人有某些特殊的体态、面容、躯体疾病以及神经系统体征。</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2.伴发精神障碍，需至少符合下列一项：①精神病性症状：约4%~6%的患者出现，一般症状较单调，思维和妄想内容贫乏。②行为障碍：多动、冲动、自伤等，有的表现刻板、 无目的行为，有的表现本能意向亢进。③心境障碍：可表现为抑郁或躁狂发作，但患者很难准确表达心境变化。</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3.有相关病史资料。精神专科医院或综合医院精神科（具有精神科执业范围的科室）出具的出院记录(记载病情和治疗方案）和诊断证明（加盖医疗机构公章）≥1次；或门诊诊疗记录（记载病情和治疗方案）每月1次连续6月以上。</w:t>
            </w:r>
          </w:p>
        </w:tc>
      </w:tr>
      <w:tr>
        <w:tblPrEx>
          <w:tblCellMar>
            <w:top w:w="0" w:type="dxa"/>
            <w:left w:w="108" w:type="dxa"/>
            <w:bottom w:w="0" w:type="dxa"/>
            <w:right w:w="108" w:type="dxa"/>
          </w:tblCellMar>
        </w:tblPrEx>
        <w:trPr>
          <w:trHeight w:val="91" w:hRule="atLeast"/>
        </w:trPr>
        <w:tc>
          <w:tcPr>
            <w:tcW w:w="8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23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医保目录药品分类代码</w:t>
            </w:r>
          </w:p>
        </w:tc>
        <w:tc>
          <w:tcPr>
            <w:tcW w:w="3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治疗伴发的精神症状所需要的精神类药物</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抗精神病药</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XN05A</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抗精神病药</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抗癫痫药</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XN03A</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抗癫痫药</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心境稳定剂</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XN05C</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催眠药和镇静药</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抗焦虑药物</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XN05B</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抗焦虑药</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上述药物引起不良反应的对症治疗药物</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抗帕金森类药物</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XN04A</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抗胆碱能药</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治疗功能性胃肠道疾病的药物</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XA03B</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单方颠茄及其衍生物</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非选择性β-受体阻滞剂</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XC07AA</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非选择性β-受体阻滞剂</w:t>
            </w:r>
          </w:p>
        </w:tc>
      </w:tr>
      <w:tr>
        <w:tblPrEx>
          <w:tblCellMar>
            <w:top w:w="0" w:type="dxa"/>
            <w:left w:w="108" w:type="dxa"/>
            <w:bottom w:w="0" w:type="dxa"/>
            <w:right w:w="108" w:type="dxa"/>
          </w:tblCellMar>
        </w:tblPrEx>
        <w:trPr>
          <w:trHeight w:val="91" w:hRule="atLeast"/>
        </w:trPr>
        <w:tc>
          <w:tcPr>
            <w:tcW w:w="8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23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医保目录医疗服务项目编码</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血常规</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250101015</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血细胞分析</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血脂</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250303001</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血清总胆固醇测定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250303002</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血清甘油三酯测定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250303004</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血清高密度脂蛋白胆固醇测定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250303005</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血清低密度脂蛋白胆固醇测定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血糖</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250302001</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葡萄糖测定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泌乳素</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250310002</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血清泌乳素测定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甲状腺功能（医保基金支付不超过4次/年）</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250310001</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血清促甲状腺激素测定(TSH)</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250310010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血清甲状腺素(T4)测定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250310011</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血清三碘甲状原氨酸(T3)测定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250310013</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血清游离甲状腺素(FT4)测定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250310014</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血清游离三碘甲状原氨酸(FT3)测定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药物浓度</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250304013.a0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微量元素测定(锂测定)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250309005</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血清药物浓度测定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肝功能</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250305001</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血清总胆红素测定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250305002</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血清直接胆红素测定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250305003</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血清间接胆红素测定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250305007</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血清丙氨酸氨基转移酶测定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250305008</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血清天门冬氨酸氨基转移酶测定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250305009</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血清γ-谷氨酰基转移酶测定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250305011</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血清碱性磷酸酶测定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250301001</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血清总蛋白测定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250301002</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血清白蛋白测定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250306005</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乳酸脱氢酶测定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肾功能</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250307005</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血清尿酸测定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250307001</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尿素测定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250307002</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肌酐测定</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心电图</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310701001</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常规心电图检查</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量表（每种量表医保基金支付不超过4次/年）</w:t>
            </w: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011102010010000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临床量表评估（自评）</w:t>
            </w:r>
          </w:p>
        </w:tc>
      </w:tr>
      <w:tr>
        <w:tblPrEx>
          <w:tblCellMar>
            <w:top w:w="0" w:type="dxa"/>
            <w:left w:w="108" w:type="dxa"/>
            <w:bottom w:w="0" w:type="dxa"/>
            <w:right w:w="108" w:type="dxa"/>
          </w:tblCellMar>
        </w:tblPrEx>
        <w:trPr>
          <w:trHeight w:val="91" w:hRule="atLeast"/>
        </w:trPr>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3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011102010020000</w:t>
            </w:r>
          </w:p>
        </w:tc>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临床量表评估（他评）</w:t>
            </w:r>
          </w:p>
        </w:tc>
      </w:tr>
    </w:tbl>
    <w:p>
      <w:pPr>
        <w:spacing w:line="340" w:lineRule="exac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pPr>
        <w:tabs>
          <w:tab w:val="left" w:pos="737"/>
        </w:tabs>
        <w:spacing w:line="340" w:lineRule="exact"/>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3</w:t>
      </w:r>
      <w:r>
        <w:rPr>
          <w:rFonts w:ascii="Times New Roman" w:hAnsi="Times New Roman"/>
          <w:color w:val="000000" w:themeColor="text1"/>
          <w:sz w:val="30"/>
          <w:szCs w:val="30"/>
          <w14:textFill>
            <w14:solidFill>
              <w14:schemeClr w14:val="tx1"/>
            </w14:solidFill>
          </w14:textFill>
        </w:rPr>
        <w:t>7.</w:t>
      </w:r>
      <w:r>
        <w:rPr>
          <w:rFonts w:ascii="Times New Roman" w:hAnsi="Times New Roman" w:eastAsia="黑体"/>
          <w:color w:val="000000" w:themeColor="text1"/>
          <w:sz w:val="30"/>
          <w:szCs w:val="30"/>
          <w14:textFill>
            <w14:solidFill>
              <w14:schemeClr w14:val="tx1"/>
            </w14:solidFill>
          </w14:textFill>
        </w:rPr>
        <w:t>焦虑症</w:t>
      </w:r>
    </w:p>
    <w:tbl>
      <w:tblPr>
        <w:tblStyle w:val="4"/>
        <w:tblW w:w="8691" w:type="dxa"/>
        <w:tblInd w:w="93" w:type="dxa"/>
        <w:tblLayout w:type="fixed"/>
        <w:tblCellMar>
          <w:top w:w="0" w:type="dxa"/>
          <w:left w:w="108" w:type="dxa"/>
          <w:bottom w:w="0" w:type="dxa"/>
          <w:right w:w="108" w:type="dxa"/>
        </w:tblCellMar>
      </w:tblPr>
      <w:tblGrid>
        <w:gridCol w:w="818"/>
        <w:gridCol w:w="1365"/>
        <w:gridCol w:w="1604"/>
        <w:gridCol w:w="2040"/>
        <w:gridCol w:w="2864"/>
      </w:tblGrid>
      <w:tr>
        <w:tblPrEx>
          <w:tblCellMar>
            <w:top w:w="0" w:type="dxa"/>
            <w:left w:w="108" w:type="dxa"/>
            <w:bottom w:w="0" w:type="dxa"/>
            <w:right w:w="108" w:type="dxa"/>
          </w:tblCellMar>
        </w:tblPrEx>
        <w:trPr>
          <w:trHeight w:val="91" w:hRule="atLeast"/>
        </w:trPr>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29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焦虑症</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F41.0</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惊恐障碍〔间歇发作性焦虑〕</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F41.1</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hint="eastAsia" w:ascii="Times New Roman" w:hAnsi="Times New Roman" w:eastAsia="方正仿宋_GBK" w:cs="方正仿宋_GBK"/>
                <w:color w:val="000000" w:themeColor="text1"/>
                <w:kern w:val="0"/>
                <w:szCs w:val="21"/>
                <w:lang w:bidi="ar"/>
                <w14:textFill>
                  <w14:solidFill>
                    <w14:schemeClr w14:val="tx1"/>
                  </w14:solidFill>
                </w14:textFill>
              </w:rPr>
              <w:t>广泛性焦虑障碍</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F41.2</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混合性焦虑和抑郁障碍</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F41.3</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其他混合性焦虑障碍</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F41.8</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其他特定的焦虑障碍</w:t>
            </w:r>
          </w:p>
        </w:tc>
      </w:tr>
      <w:tr>
        <w:tblPrEx>
          <w:tblCellMar>
            <w:top w:w="0" w:type="dxa"/>
            <w:left w:w="108" w:type="dxa"/>
            <w:bottom w:w="0" w:type="dxa"/>
            <w:right w:w="108" w:type="dxa"/>
          </w:tblCellMar>
        </w:tblPrEx>
        <w:trPr>
          <w:trHeight w:val="91"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78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1.符合《ICD—10国际疾病分类与诊断标准（第十版）-精神与行为障碍》中关于其他焦虑症（F41）的诊断标准。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焦虑的表现是本类障碍的主要症状，且并不局限于任何特定的外部情境,可同时存在抑郁和强迫症状，甚至存在某些恐怖性焦虑的要素,但这些症状必须显然是继发的或不太严重。包括惊恐障碍〔间歇发作性焦虑〕（F41.0）、广泛性焦虑障碍（F41.1）、混合性焦虑和抑郁障碍（F41.2）、其他混合性焦虑障碍（F41.3）、其他特定的焦虑障碍（F41.8）。</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2.有相关病史资料。精神专科医院或综合医院精神科（具有精神科执业范围的科室）出具的出院记录(记载病情和治疗方案）和诊断证明（加盖医疗机构公章）≥1次；或门诊诊疗记录（记载病情和治疗方案）每月1次连续12月以上。</w:t>
            </w:r>
          </w:p>
        </w:tc>
      </w:tr>
      <w:tr>
        <w:tblPrEx>
          <w:tblCellMar>
            <w:top w:w="0" w:type="dxa"/>
            <w:left w:w="108" w:type="dxa"/>
            <w:bottom w:w="0" w:type="dxa"/>
            <w:right w:w="108" w:type="dxa"/>
          </w:tblCellMar>
        </w:tblPrEx>
        <w:trPr>
          <w:trHeight w:val="91" w:hRule="atLeast"/>
        </w:trPr>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29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医保目录药品分类代码</w:t>
            </w:r>
          </w:p>
        </w:tc>
        <w:tc>
          <w:tcPr>
            <w:tcW w:w="2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抗精神病药物、抗抑郁药、抗焦虑药</w:t>
            </w:r>
          </w:p>
        </w:tc>
        <w:tc>
          <w:tcPr>
            <w:tcW w:w="1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抗精神病药</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XN05AH</w:t>
            </w:r>
          </w:p>
        </w:tc>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二氮卓类、去甲羟二氮卓类和硫氮杂卓类</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XN05AX</w:t>
            </w:r>
          </w:p>
        </w:tc>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left"/>
              <w:textAlignment w:val="center"/>
              <w:rPr>
                <w:rFonts w:ascii="Times New Roman" w:hAnsi="Times New Roman" w:eastAsia="方正仿宋_GBK" w:cs="方正仿宋_GBK"/>
                <w:color w:val="000000" w:themeColor="text1"/>
                <w:kern w:val="0"/>
                <w:szCs w:val="21"/>
                <w:lang w:bidi="ar"/>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其他抗精神病药</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抗抑郁药物</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XN06A</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抗抑郁药</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镇静药</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XN05C</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催眠药和镇静药</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抗焦虑药物</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XN05B</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抗焦虑药</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非选择性β-受体阻滞剂</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XC07AA</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非选择性β-受体阻滞剂</w:t>
            </w:r>
          </w:p>
        </w:tc>
      </w:tr>
      <w:tr>
        <w:tblPrEx>
          <w:tblCellMar>
            <w:top w:w="0" w:type="dxa"/>
            <w:left w:w="108" w:type="dxa"/>
            <w:bottom w:w="0" w:type="dxa"/>
            <w:right w:w="108" w:type="dxa"/>
          </w:tblCellMar>
        </w:tblPrEx>
        <w:trPr>
          <w:trHeight w:val="91" w:hRule="atLeast"/>
        </w:trPr>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29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医保目录医疗服务项目编码</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物理治疗</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重复经颅磁刺激治疗（医保基金支付不超过30次/年，每次30分钟）</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311503031</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经颅磁刺激治疗</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血常规</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250101015</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血细胞分析</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血脂</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250303001</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血清总胆固醇测定</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250303002</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血清甘油三酯测定</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250303004</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血清高密度脂蛋白胆固醇测定</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250303005</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血清低密度脂蛋白胆固醇测定</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血糖</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250302001</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葡萄糖测定</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甲状腺功能（医保基金支付不超过4次/年）</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250310001</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血清促甲状腺激素测定(TSH)</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250310010</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血清甲状腺素(T4)测定</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250310011</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血清三碘甲状原氨酸(T3)测定</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250310013</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血清游离甲状腺素(FT4)测定</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250310014</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血清游离三碘甲状原氨酸(FT3)测定</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血清药物浓度测定</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250309005</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血清药物浓度测定</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肝功能</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250305001</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血清总胆红素测定</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250305002</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血清直接胆红素测定</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250305003</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血清间接胆红素测定</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250305007</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血清丙氨酸氨基转移酶测定</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250305008</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血清天门冬氨酸氨基转移酶测定</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250305009</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血清γ-谷氨酰基转移酶测定</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250305011</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血清碱性磷酸酶测定</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250301001</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血清总蛋白测定</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250301002</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血清白蛋白测定</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250306005</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乳酸脱氢酶测定</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肾功能</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250307005</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血清尿酸测定</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250307001</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尿素测定</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250307002</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肌酐测定</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心电图</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310701001</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常规心电图检查</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量表（每种量表医保基金支付不超过4次/年）</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011102010010000</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临床量表评估（自评）</w:t>
            </w:r>
          </w:p>
        </w:tc>
      </w:tr>
      <w:tr>
        <w:tblPrEx>
          <w:tblCellMar>
            <w:top w:w="0" w:type="dxa"/>
            <w:left w:w="108" w:type="dxa"/>
            <w:bottom w:w="0" w:type="dxa"/>
            <w:right w:w="108" w:type="dxa"/>
          </w:tblCellMar>
        </w:tblPrEx>
        <w:trPr>
          <w:trHeight w:val="91"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9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011102010020000</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临床量表评估（他评）</w:t>
            </w:r>
          </w:p>
        </w:tc>
      </w:tr>
    </w:tbl>
    <w:p>
      <w:pPr>
        <w:spacing w:line="340" w:lineRule="exac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pPr>
        <w:tabs>
          <w:tab w:val="left" w:pos="737"/>
        </w:tabs>
        <w:spacing w:line="340" w:lineRule="exact"/>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3</w:t>
      </w:r>
      <w:r>
        <w:rPr>
          <w:rFonts w:ascii="Times New Roman" w:hAnsi="Times New Roman"/>
          <w:color w:val="000000" w:themeColor="text1"/>
          <w:sz w:val="30"/>
          <w:szCs w:val="30"/>
          <w14:textFill>
            <w14:solidFill>
              <w14:schemeClr w14:val="tx1"/>
            </w14:solidFill>
          </w14:textFill>
        </w:rPr>
        <w:t>8.</w:t>
      </w:r>
      <w:r>
        <w:rPr>
          <w:rFonts w:ascii="Times New Roman" w:hAnsi="Times New Roman" w:eastAsia="黑体"/>
          <w:color w:val="000000" w:themeColor="text1"/>
          <w:sz w:val="30"/>
          <w:szCs w:val="30"/>
          <w14:textFill>
            <w14:solidFill>
              <w14:schemeClr w14:val="tx1"/>
            </w14:solidFill>
          </w14:textFill>
        </w:rPr>
        <w:t>强迫症</w:t>
      </w:r>
    </w:p>
    <w:tbl>
      <w:tblPr>
        <w:tblStyle w:val="4"/>
        <w:tblW w:w="8691" w:type="dxa"/>
        <w:tblInd w:w="93" w:type="dxa"/>
        <w:tblLayout w:type="fixed"/>
        <w:tblCellMar>
          <w:top w:w="0" w:type="dxa"/>
          <w:left w:w="108" w:type="dxa"/>
          <w:bottom w:w="0" w:type="dxa"/>
          <w:right w:w="108" w:type="dxa"/>
        </w:tblCellMar>
      </w:tblPr>
      <w:tblGrid>
        <w:gridCol w:w="758"/>
        <w:gridCol w:w="1800"/>
        <w:gridCol w:w="1770"/>
        <w:gridCol w:w="1949"/>
        <w:gridCol w:w="2414"/>
      </w:tblGrid>
      <w:tr>
        <w:tblPrEx>
          <w:tblCellMar>
            <w:top w:w="0" w:type="dxa"/>
            <w:left w:w="108" w:type="dxa"/>
            <w:bottom w:w="0" w:type="dxa"/>
            <w:right w:w="108" w:type="dxa"/>
          </w:tblCellMar>
        </w:tblPrEx>
        <w:trPr>
          <w:trHeight w:val="91"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强迫症</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F42</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强迫性障碍</w:t>
            </w:r>
          </w:p>
        </w:tc>
      </w:tr>
      <w:tr>
        <w:tblPrEx>
          <w:tblCellMar>
            <w:top w:w="0" w:type="dxa"/>
            <w:left w:w="108" w:type="dxa"/>
            <w:bottom w:w="0" w:type="dxa"/>
            <w:right w:w="108" w:type="dxa"/>
          </w:tblCellMar>
        </w:tblPrEx>
        <w:trPr>
          <w:trHeight w:val="91"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79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1.符合《ICD—10国际疾病分类与诊断标准（第十版）-精神与行为障碍》中关于强迫性障碍（F42）的诊断标准。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由于抑郁障碍与强迫障碍经常同时存在，两者的鉴别可能很困难。对于急性发作的障碍，优先考虑首先出现的症状，如果两组症状都存在且都不占优势,一般最好将抑郁视为原发。对于慢性障碍,单独存在的那组症状中出现最频繁的应作为优先考虑的诊断。</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要作出肯定诊断，必须在连续两周中的大多数日子里存在强迫症或强迫动作，或两者并存。这些症状引起痛苦或妨碍活动。强迫症状具备以下特点:</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(a)必须被看作是患者自己的思维或冲动;</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(b)必须至少有一种思想或动作仍在被患者徒劳地加以抵制，即患者不再对其它症状加以抵制;</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(c)实施动作的想法本身应该是令人不愉快的(单纯为缓解紧张或虑不视为这种意义上的愉快);</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(d)想法、表象或冲动必须是令人不快地一再出现包含:强迫性(anankastic)神经症；强迫神经症；强迫-强制神经症。</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2. 有相关病史资料。精神专科医院或综合医院精神科（具有精神科执业范围的科室）出具的出院记录(记载病情和治疗方案）和诊断证明（加盖医疗机构公章）≥1次；或门诊诊疗记录（记载病情和治疗方案）每月1次连续12月以上。</w:t>
            </w:r>
          </w:p>
        </w:tc>
      </w:tr>
      <w:tr>
        <w:tblPrEx>
          <w:tblCellMar>
            <w:top w:w="0" w:type="dxa"/>
            <w:left w:w="108" w:type="dxa"/>
            <w:bottom w:w="0" w:type="dxa"/>
            <w:right w:w="108" w:type="dxa"/>
          </w:tblCellMar>
        </w:tblPrEx>
        <w:trPr>
          <w:trHeight w:val="91"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9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医保目录药品分类代码</w:t>
            </w:r>
          </w:p>
        </w:tc>
        <w:tc>
          <w:tcPr>
            <w:tcW w:w="24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抗精神病药物</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XN05A</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抗精神病药</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抗精神病药物，抗抑郁药物，心境稳定剂</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抗抑郁药物</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XN06A</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抗抑郁药</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镇静药</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XN05C</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催眠药和镇静药</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抗焦虑药物</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XN05B</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抗焦虑药</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上述药物引起不良反应的对症治疗药物</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抗帕金森类药物</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XN04</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抗帕金森氏病药</w:t>
            </w:r>
          </w:p>
        </w:tc>
      </w:tr>
      <w:tr>
        <w:tblPrEx>
          <w:tblCellMar>
            <w:top w:w="0" w:type="dxa"/>
            <w:left w:w="108" w:type="dxa"/>
            <w:bottom w:w="0" w:type="dxa"/>
            <w:right w:w="108" w:type="dxa"/>
          </w:tblCellMar>
        </w:tblPrEx>
        <w:trPr>
          <w:trHeight w:val="91" w:hRule="atLeast"/>
        </w:trPr>
        <w:tc>
          <w:tcPr>
            <w:tcW w:w="75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80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77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β-受体阻滞剂</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XC07AA</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非选择性β-受体阻滞剂</w:t>
            </w:r>
          </w:p>
        </w:tc>
      </w:tr>
      <w:tr>
        <w:tblPrEx>
          <w:tblCellMar>
            <w:top w:w="0" w:type="dxa"/>
            <w:left w:w="108" w:type="dxa"/>
            <w:bottom w:w="0" w:type="dxa"/>
            <w:right w:w="108" w:type="dxa"/>
          </w:tblCellMar>
        </w:tblPrEx>
        <w:trPr>
          <w:trHeight w:val="91" w:hRule="atLeast"/>
        </w:trPr>
        <w:tc>
          <w:tcPr>
            <w:tcW w:w="7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357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949"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医保目录医疗服务项目编码</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1" w:hRule="atLeast"/>
        </w:trPr>
        <w:tc>
          <w:tcPr>
            <w:tcW w:w="7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物理治疗</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重复经颅磁刺激治疗（医保基金支付不超过30次/年，每次30分钟）</w:t>
            </w:r>
          </w:p>
        </w:tc>
        <w:tc>
          <w:tcPr>
            <w:tcW w:w="1949"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311503031</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经颅磁刺激治疗</w:t>
            </w:r>
          </w:p>
        </w:tc>
      </w:tr>
      <w:tr>
        <w:tblPrEx>
          <w:tblCellMar>
            <w:top w:w="0" w:type="dxa"/>
            <w:left w:w="108" w:type="dxa"/>
            <w:bottom w:w="0" w:type="dxa"/>
            <w:right w:w="108" w:type="dxa"/>
          </w:tblCellMar>
        </w:tblPrEx>
        <w:trPr>
          <w:trHeight w:val="91" w:hRule="atLeast"/>
        </w:trPr>
        <w:tc>
          <w:tcPr>
            <w:tcW w:w="7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MECT治疗（医保基金支付不超过12次/年）</w:t>
            </w:r>
          </w:p>
        </w:tc>
        <w:tc>
          <w:tcPr>
            <w:tcW w:w="1949"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311503005</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多参数监护无抽搐电休克治疗</w:t>
            </w:r>
          </w:p>
        </w:tc>
      </w:tr>
      <w:tr>
        <w:tblPrEx>
          <w:tblCellMar>
            <w:top w:w="0" w:type="dxa"/>
            <w:left w:w="108" w:type="dxa"/>
            <w:bottom w:w="0" w:type="dxa"/>
            <w:right w:w="108" w:type="dxa"/>
          </w:tblCellMar>
        </w:tblPrEx>
        <w:trPr>
          <w:trHeight w:val="91" w:hRule="atLeast"/>
        </w:trPr>
        <w:tc>
          <w:tcPr>
            <w:tcW w:w="758" w:type="dxa"/>
            <w:vMerge w:val="continue"/>
            <w:tcBorders>
              <w:top w:val="single" w:color="auto" w:sz="4" w:space="0"/>
              <w:left w:val="single" w:color="auto" w:sz="4" w:space="0"/>
              <w:bottom w:val="nil"/>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570"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血常规</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250101015</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血细胞分析</w:t>
            </w:r>
          </w:p>
        </w:tc>
      </w:tr>
      <w:tr>
        <w:tblPrEx>
          <w:tblCellMar>
            <w:top w:w="0" w:type="dxa"/>
            <w:left w:w="108" w:type="dxa"/>
            <w:bottom w:w="0" w:type="dxa"/>
            <w:right w:w="108" w:type="dxa"/>
          </w:tblCellMar>
        </w:tblPrEx>
        <w:trPr>
          <w:trHeight w:val="91" w:hRule="atLeast"/>
        </w:trPr>
        <w:tc>
          <w:tcPr>
            <w:tcW w:w="758" w:type="dxa"/>
            <w:vMerge w:val="continue"/>
            <w:tcBorders>
              <w:top w:val="nil"/>
              <w:left w:val="single" w:color="auto" w:sz="4" w:space="0"/>
              <w:bottom w:val="nil"/>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5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血脂</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250303001</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血清总胆固醇测定</w:t>
            </w:r>
          </w:p>
        </w:tc>
      </w:tr>
      <w:tr>
        <w:tblPrEx>
          <w:tblCellMar>
            <w:top w:w="0" w:type="dxa"/>
            <w:left w:w="108" w:type="dxa"/>
            <w:bottom w:w="0" w:type="dxa"/>
            <w:right w:w="108" w:type="dxa"/>
          </w:tblCellMar>
        </w:tblPrEx>
        <w:trPr>
          <w:trHeight w:val="91" w:hRule="atLeast"/>
        </w:trPr>
        <w:tc>
          <w:tcPr>
            <w:tcW w:w="758" w:type="dxa"/>
            <w:vMerge w:val="continue"/>
            <w:tcBorders>
              <w:top w:val="nil"/>
              <w:left w:val="single" w:color="auto" w:sz="4" w:space="0"/>
              <w:bottom w:val="nil"/>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5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250303002</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血清甘油三酯测定</w:t>
            </w:r>
          </w:p>
        </w:tc>
      </w:tr>
      <w:tr>
        <w:tblPrEx>
          <w:tblCellMar>
            <w:top w:w="0" w:type="dxa"/>
            <w:left w:w="108" w:type="dxa"/>
            <w:bottom w:w="0" w:type="dxa"/>
            <w:right w:w="108" w:type="dxa"/>
          </w:tblCellMar>
        </w:tblPrEx>
        <w:trPr>
          <w:trHeight w:val="91" w:hRule="atLeast"/>
        </w:trPr>
        <w:tc>
          <w:tcPr>
            <w:tcW w:w="758" w:type="dxa"/>
            <w:vMerge w:val="continue"/>
            <w:tcBorders>
              <w:top w:val="nil"/>
              <w:left w:val="single" w:color="auto" w:sz="4" w:space="0"/>
              <w:bottom w:val="nil"/>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5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250303004</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血清高密度脂蛋白胆固醇测定</w:t>
            </w:r>
          </w:p>
        </w:tc>
      </w:tr>
      <w:tr>
        <w:tblPrEx>
          <w:tblCellMar>
            <w:top w:w="0" w:type="dxa"/>
            <w:left w:w="108" w:type="dxa"/>
            <w:bottom w:w="0" w:type="dxa"/>
            <w:right w:w="108" w:type="dxa"/>
          </w:tblCellMar>
        </w:tblPrEx>
        <w:trPr>
          <w:trHeight w:val="91" w:hRule="atLeast"/>
        </w:trPr>
        <w:tc>
          <w:tcPr>
            <w:tcW w:w="758" w:type="dxa"/>
            <w:vMerge w:val="continue"/>
            <w:tcBorders>
              <w:top w:val="nil"/>
              <w:left w:val="single" w:color="auto" w:sz="4" w:space="0"/>
              <w:bottom w:val="nil"/>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5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250303005</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血清低密度脂蛋白胆固醇测定</w:t>
            </w:r>
          </w:p>
        </w:tc>
      </w:tr>
      <w:tr>
        <w:tblPrEx>
          <w:tblCellMar>
            <w:top w:w="0" w:type="dxa"/>
            <w:left w:w="108" w:type="dxa"/>
            <w:bottom w:w="0" w:type="dxa"/>
            <w:right w:w="108" w:type="dxa"/>
          </w:tblCellMar>
        </w:tblPrEx>
        <w:trPr>
          <w:trHeight w:val="91" w:hRule="atLeast"/>
        </w:trPr>
        <w:tc>
          <w:tcPr>
            <w:tcW w:w="758" w:type="dxa"/>
            <w:vMerge w:val="continue"/>
            <w:tcBorders>
              <w:top w:val="nil"/>
              <w:left w:val="single" w:color="auto" w:sz="4" w:space="0"/>
              <w:bottom w:val="nil"/>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血糖</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250302001</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葡萄糖测定</w:t>
            </w:r>
          </w:p>
        </w:tc>
      </w:tr>
      <w:tr>
        <w:tblPrEx>
          <w:tblCellMar>
            <w:top w:w="0" w:type="dxa"/>
            <w:left w:w="108" w:type="dxa"/>
            <w:bottom w:w="0" w:type="dxa"/>
            <w:right w:w="108" w:type="dxa"/>
          </w:tblCellMar>
        </w:tblPrEx>
        <w:trPr>
          <w:trHeight w:val="91" w:hRule="atLeast"/>
        </w:trPr>
        <w:tc>
          <w:tcPr>
            <w:tcW w:w="758" w:type="dxa"/>
            <w:vMerge w:val="continue"/>
            <w:tcBorders>
              <w:top w:val="nil"/>
              <w:left w:val="single" w:color="auto" w:sz="4" w:space="0"/>
              <w:bottom w:val="nil"/>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泌乳素</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250310002</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血清泌乳素测定</w:t>
            </w:r>
          </w:p>
        </w:tc>
      </w:tr>
      <w:tr>
        <w:tblPrEx>
          <w:tblCellMar>
            <w:top w:w="0" w:type="dxa"/>
            <w:left w:w="108" w:type="dxa"/>
            <w:bottom w:w="0" w:type="dxa"/>
            <w:right w:w="108" w:type="dxa"/>
          </w:tblCellMar>
        </w:tblPrEx>
        <w:trPr>
          <w:trHeight w:val="91" w:hRule="atLeast"/>
        </w:trPr>
        <w:tc>
          <w:tcPr>
            <w:tcW w:w="758" w:type="dxa"/>
            <w:vMerge w:val="continue"/>
            <w:tcBorders>
              <w:top w:val="nil"/>
              <w:left w:val="single" w:color="auto" w:sz="4" w:space="0"/>
              <w:bottom w:val="nil"/>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5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甲状腺功能（医保基金支付不超过4次/年）</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250310001</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血清促甲状腺激素测定(TSH)</w:t>
            </w:r>
          </w:p>
        </w:tc>
      </w:tr>
      <w:tr>
        <w:tblPrEx>
          <w:tblCellMar>
            <w:top w:w="0" w:type="dxa"/>
            <w:left w:w="108" w:type="dxa"/>
            <w:bottom w:w="0" w:type="dxa"/>
            <w:right w:w="108" w:type="dxa"/>
          </w:tblCellMar>
        </w:tblPrEx>
        <w:trPr>
          <w:trHeight w:val="91" w:hRule="atLeast"/>
        </w:trPr>
        <w:tc>
          <w:tcPr>
            <w:tcW w:w="758" w:type="dxa"/>
            <w:vMerge w:val="continue"/>
            <w:tcBorders>
              <w:top w:val="nil"/>
              <w:left w:val="single" w:color="auto" w:sz="4" w:space="0"/>
              <w:bottom w:val="nil"/>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5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250310010</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血清甲状腺素(T4)测定</w:t>
            </w:r>
          </w:p>
        </w:tc>
      </w:tr>
      <w:tr>
        <w:tblPrEx>
          <w:tblCellMar>
            <w:top w:w="0" w:type="dxa"/>
            <w:left w:w="108" w:type="dxa"/>
            <w:bottom w:w="0" w:type="dxa"/>
            <w:right w:w="108" w:type="dxa"/>
          </w:tblCellMar>
        </w:tblPrEx>
        <w:trPr>
          <w:trHeight w:val="91" w:hRule="atLeast"/>
        </w:trPr>
        <w:tc>
          <w:tcPr>
            <w:tcW w:w="758" w:type="dxa"/>
            <w:vMerge w:val="continue"/>
            <w:tcBorders>
              <w:top w:val="nil"/>
              <w:left w:val="single" w:color="auto" w:sz="4" w:space="0"/>
              <w:bottom w:val="nil"/>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5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250310011</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血清三碘甲状原氨酸(T3)测定</w:t>
            </w:r>
          </w:p>
        </w:tc>
      </w:tr>
      <w:tr>
        <w:tblPrEx>
          <w:tblCellMar>
            <w:top w:w="0" w:type="dxa"/>
            <w:left w:w="108" w:type="dxa"/>
            <w:bottom w:w="0" w:type="dxa"/>
            <w:right w:w="108" w:type="dxa"/>
          </w:tblCellMar>
        </w:tblPrEx>
        <w:trPr>
          <w:trHeight w:val="91" w:hRule="atLeast"/>
        </w:trPr>
        <w:tc>
          <w:tcPr>
            <w:tcW w:w="758" w:type="dxa"/>
            <w:vMerge w:val="continue"/>
            <w:tcBorders>
              <w:top w:val="nil"/>
              <w:left w:val="single" w:color="auto" w:sz="4" w:space="0"/>
              <w:bottom w:val="nil"/>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5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250310013</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血清游离甲状腺素(FT4)测定</w:t>
            </w:r>
          </w:p>
        </w:tc>
      </w:tr>
      <w:tr>
        <w:tblPrEx>
          <w:tblCellMar>
            <w:top w:w="0" w:type="dxa"/>
            <w:left w:w="108" w:type="dxa"/>
            <w:bottom w:w="0" w:type="dxa"/>
            <w:right w:w="108" w:type="dxa"/>
          </w:tblCellMar>
        </w:tblPrEx>
        <w:trPr>
          <w:trHeight w:val="91" w:hRule="atLeast"/>
        </w:trPr>
        <w:tc>
          <w:tcPr>
            <w:tcW w:w="758" w:type="dxa"/>
            <w:vMerge w:val="continue"/>
            <w:tcBorders>
              <w:top w:val="nil"/>
              <w:left w:val="single" w:color="auto" w:sz="4" w:space="0"/>
              <w:bottom w:val="nil"/>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5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250310014</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血清游离三碘甲状原氨酸(FT3)测定</w:t>
            </w:r>
          </w:p>
        </w:tc>
      </w:tr>
      <w:tr>
        <w:tblPrEx>
          <w:tblCellMar>
            <w:top w:w="0" w:type="dxa"/>
            <w:left w:w="108" w:type="dxa"/>
            <w:bottom w:w="0" w:type="dxa"/>
            <w:right w:w="108" w:type="dxa"/>
          </w:tblCellMar>
        </w:tblPrEx>
        <w:trPr>
          <w:trHeight w:val="91" w:hRule="atLeast"/>
        </w:trPr>
        <w:tc>
          <w:tcPr>
            <w:tcW w:w="758" w:type="dxa"/>
            <w:vMerge w:val="continue"/>
            <w:tcBorders>
              <w:top w:val="nil"/>
              <w:left w:val="single" w:color="auto" w:sz="4" w:space="0"/>
              <w:bottom w:val="nil"/>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血清药物浓度测定</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250309005</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血清药物浓度测定</w:t>
            </w:r>
          </w:p>
        </w:tc>
      </w:tr>
      <w:tr>
        <w:tblPrEx>
          <w:tblCellMar>
            <w:top w:w="0" w:type="dxa"/>
            <w:left w:w="108" w:type="dxa"/>
            <w:bottom w:w="0" w:type="dxa"/>
            <w:right w:w="108" w:type="dxa"/>
          </w:tblCellMar>
        </w:tblPrEx>
        <w:trPr>
          <w:trHeight w:val="91" w:hRule="atLeast"/>
        </w:trPr>
        <w:tc>
          <w:tcPr>
            <w:tcW w:w="758" w:type="dxa"/>
            <w:vMerge w:val="continue"/>
            <w:tcBorders>
              <w:top w:val="nil"/>
              <w:left w:val="single" w:color="auto" w:sz="4" w:space="0"/>
              <w:bottom w:val="nil"/>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5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肝功能</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250305001</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血清总胆红素测定</w:t>
            </w:r>
          </w:p>
        </w:tc>
      </w:tr>
      <w:tr>
        <w:tblPrEx>
          <w:tblCellMar>
            <w:top w:w="0" w:type="dxa"/>
            <w:left w:w="108" w:type="dxa"/>
            <w:bottom w:w="0" w:type="dxa"/>
            <w:right w:w="108" w:type="dxa"/>
          </w:tblCellMar>
        </w:tblPrEx>
        <w:trPr>
          <w:trHeight w:val="91" w:hRule="atLeast"/>
        </w:trPr>
        <w:tc>
          <w:tcPr>
            <w:tcW w:w="758" w:type="dxa"/>
            <w:vMerge w:val="continue"/>
            <w:tcBorders>
              <w:top w:val="nil"/>
              <w:left w:val="single" w:color="auto" w:sz="4" w:space="0"/>
              <w:bottom w:val="nil"/>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5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250305002</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血清直接胆红素测定</w:t>
            </w:r>
          </w:p>
        </w:tc>
      </w:tr>
      <w:tr>
        <w:tblPrEx>
          <w:tblCellMar>
            <w:top w:w="0" w:type="dxa"/>
            <w:left w:w="108" w:type="dxa"/>
            <w:bottom w:w="0" w:type="dxa"/>
            <w:right w:w="108" w:type="dxa"/>
          </w:tblCellMar>
        </w:tblPrEx>
        <w:trPr>
          <w:trHeight w:val="91" w:hRule="atLeast"/>
        </w:trPr>
        <w:tc>
          <w:tcPr>
            <w:tcW w:w="758" w:type="dxa"/>
            <w:vMerge w:val="continue"/>
            <w:tcBorders>
              <w:top w:val="nil"/>
              <w:left w:val="single" w:color="auto" w:sz="4" w:space="0"/>
              <w:bottom w:val="nil"/>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5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250305003</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血清间接胆红素测定</w:t>
            </w:r>
          </w:p>
        </w:tc>
      </w:tr>
      <w:tr>
        <w:tblPrEx>
          <w:tblCellMar>
            <w:top w:w="0" w:type="dxa"/>
            <w:left w:w="108" w:type="dxa"/>
            <w:bottom w:w="0" w:type="dxa"/>
            <w:right w:w="108" w:type="dxa"/>
          </w:tblCellMar>
        </w:tblPrEx>
        <w:trPr>
          <w:trHeight w:val="91" w:hRule="atLeast"/>
        </w:trPr>
        <w:tc>
          <w:tcPr>
            <w:tcW w:w="758" w:type="dxa"/>
            <w:vMerge w:val="continue"/>
            <w:tcBorders>
              <w:top w:val="nil"/>
              <w:left w:val="single" w:color="auto" w:sz="4" w:space="0"/>
              <w:bottom w:val="nil"/>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5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250305007</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血清丙氨酸氨基转移酶测定</w:t>
            </w:r>
          </w:p>
        </w:tc>
      </w:tr>
      <w:tr>
        <w:tblPrEx>
          <w:tblCellMar>
            <w:top w:w="0" w:type="dxa"/>
            <w:left w:w="108" w:type="dxa"/>
            <w:bottom w:w="0" w:type="dxa"/>
            <w:right w:w="108" w:type="dxa"/>
          </w:tblCellMar>
        </w:tblPrEx>
        <w:trPr>
          <w:trHeight w:val="91" w:hRule="atLeast"/>
        </w:trPr>
        <w:tc>
          <w:tcPr>
            <w:tcW w:w="758" w:type="dxa"/>
            <w:vMerge w:val="continue"/>
            <w:tcBorders>
              <w:top w:val="nil"/>
              <w:left w:val="single" w:color="auto" w:sz="4" w:space="0"/>
              <w:bottom w:val="nil"/>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5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250305008</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血清天门冬氨酸氨基转移酶测定</w:t>
            </w:r>
          </w:p>
        </w:tc>
      </w:tr>
      <w:tr>
        <w:tblPrEx>
          <w:tblCellMar>
            <w:top w:w="0" w:type="dxa"/>
            <w:left w:w="108" w:type="dxa"/>
            <w:bottom w:w="0" w:type="dxa"/>
            <w:right w:w="108" w:type="dxa"/>
          </w:tblCellMar>
        </w:tblPrEx>
        <w:trPr>
          <w:trHeight w:val="91" w:hRule="atLeast"/>
        </w:trPr>
        <w:tc>
          <w:tcPr>
            <w:tcW w:w="758" w:type="dxa"/>
            <w:vMerge w:val="continue"/>
            <w:tcBorders>
              <w:top w:val="nil"/>
              <w:left w:val="single" w:color="auto" w:sz="4" w:space="0"/>
              <w:bottom w:val="nil"/>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5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250305009</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血清γ-谷氨酰基转移酶测定</w:t>
            </w:r>
          </w:p>
        </w:tc>
      </w:tr>
      <w:tr>
        <w:tblPrEx>
          <w:tblCellMar>
            <w:top w:w="0" w:type="dxa"/>
            <w:left w:w="108" w:type="dxa"/>
            <w:bottom w:w="0" w:type="dxa"/>
            <w:right w:w="108" w:type="dxa"/>
          </w:tblCellMar>
        </w:tblPrEx>
        <w:trPr>
          <w:trHeight w:val="91" w:hRule="atLeast"/>
        </w:trPr>
        <w:tc>
          <w:tcPr>
            <w:tcW w:w="758" w:type="dxa"/>
            <w:vMerge w:val="continue"/>
            <w:tcBorders>
              <w:top w:val="nil"/>
              <w:left w:val="single" w:color="auto" w:sz="4" w:space="0"/>
              <w:bottom w:val="nil"/>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5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250305011</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血清碱性磷酸酶测定</w:t>
            </w:r>
          </w:p>
        </w:tc>
      </w:tr>
      <w:tr>
        <w:tblPrEx>
          <w:tblCellMar>
            <w:top w:w="0" w:type="dxa"/>
            <w:left w:w="108" w:type="dxa"/>
            <w:bottom w:w="0" w:type="dxa"/>
            <w:right w:w="108" w:type="dxa"/>
          </w:tblCellMar>
        </w:tblPrEx>
        <w:trPr>
          <w:trHeight w:val="91" w:hRule="atLeast"/>
        </w:trPr>
        <w:tc>
          <w:tcPr>
            <w:tcW w:w="758" w:type="dxa"/>
            <w:vMerge w:val="continue"/>
            <w:tcBorders>
              <w:top w:val="nil"/>
              <w:left w:val="single" w:color="auto" w:sz="4" w:space="0"/>
              <w:bottom w:val="nil"/>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5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250301001</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血清总蛋白测定</w:t>
            </w:r>
          </w:p>
        </w:tc>
      </w:tr>
      <w:tr>
        <w:tblPrEx>
          <w:tblCellMar>
            <w:top w:w="0" w:type="dxa"/>
            <w:left w:w="108" w:type="dxa"/>
            <w:bottom w:w="0" w:type="dxa"/>
            <w:right w:w="108" w:type="dxa"/>
          </w:tblCellMar>
        </w:tblPrEx>
        <w:trPr>
          <w:trHeight w:val="91" w:hRule="atLeast"/>
        </w:trPr>
        <w:tc>
          <w:tcPr>
            <w:tcW w:w="758" w:type="dxa"/>
            <w:vMerge w:val="continue"/>
            <w:tcBorders>
              <w:top w:val="nil"/>
              <w:left w:val="single" w:color="auto" w:sz="4" w:space="0"/>
              <w:bottom w:val="nil"/>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5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250301002</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血清白蛋白测定</w:t>
            </w:r>
          </w:p>
        </w:tc>
      </w:tr>
      <w:tr>
        <w:tblPrEx>
          <w:tblCellMar>
            <w:top w:w="0" w:type="dxa"/>
            <w:left w:w="108" w:type="dxa"/>
            <w:bottom w:w="0" w:type="dxa"/>
            <w:right w:w="108" w:type="dxa"/>
          </w:tblCellMar>
        </w:tblPrEx>
        <w:trPr>
          <w:trHeight w:val="91" w:hRule="atLeast"/>
        </w:trPr>
        <w:tc>
          <w:tcPr>
            <w:tcW w:w="758" w:type="dxa"/>
            <w:vMerge w:val="continue"/>
            <w:tcBorders>
              <w:top w:val="nil"/>
              <w:left w:val="single" w:color="auto" w:sz="4" w:space="0"/>
              <w:bottom w:val="single" w:color="auto" w:sz="4" w:space="0"/>
              <w:right w:val="single" w:color="000000"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570" w:type="dxa"/>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000000" w:sz="4" w:space="0"/>
              <w:left w:val="single" w:color="000000" w:sz="4" w:space="0"/>
              <w:bottom w:val="single" w:color="auto"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250306005</w:t>
            </w:r>
          </w:p>
        </w:tc>
        <w:tc>
          <w:tcPr>
            <w:tcW w:w="2414" w:type="dxa"/>
            <w:tcBorders>
              <w:top w:val="single" w:color="000000" w:sz="4" w:space="0"/>
              <w:left w:val="single" w:color="000000" w:sz="4" w:space="0"/>
              <w:bottom w:val="single" w:color="auto"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乳酸脱氢酶测定</w:t>
            </w:r>
          </w:p>
        </w:tc>
      </w:tr>
      <w:tr>
        <w:tblPrEx>
          <w:tblCellMar>
            <w:top w:w="0" w:type="dxa"/>
            <w:left w:w="108" w:type="dxa"/>
            <w:bottom w:w="0" w:type="dxa"/>
            <w:right w:w="108" w:type="dxa"/>
          </w:tblCellMar>
        </w:tblPrEx>
        <w:trPr>
          <w:trHeight w:val="91" w:hRule="atLeast"/>
        </w:trPr>
        <w:tc>
          <w:tcPr>
            <w:tcW w:w="7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57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肾功能</w:t>
            </w:r>
          </w:p>
        </w:tc>
        <w:tc>
          <w:tcPr>
            <w:tcW w:w="194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250307005</w:t>
            </w:r>
          </w:p>
        </w:tc>
        <w:tc>
          <w:tcPr>
            <w:tcW w:w="2414"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血清尿酸测定</w:t>
            </w:r>
          </w:p>
        </w:tc>
      </w:tr>
      <w:tr>
        <w:tblPrEx>
          <w:tblCellMar>
            <w:top w:w="0" w:type="dxa"/>
            <w:left w:w="108" w:type="dxa"/>
            <w:bottom w:w="0" w:type="dxa"/>
            <w:right w:w="108" w:type="dxa"/>
          </w:tblCellMar>
        </w:tblPrEx>
        <w:trPr>
          <w:trHeight w:val="91" w:hRule="atLeast"/>
        </w:trPr>
        <w:tc>
          <w:tcPr>
            <w:tcW w:w="7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57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250307001</w:t>
            </w:r>
          </w:p>
        </w:tc>
        <w:tc>
          <w:tcPr>
            <w:tcW w:w="2414"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尿素测定</w:t>
            </w:r>
          </w:p>
        </w:tc>
      </w:tr>
      <w:tr>
        <w:tblPrEx>
          <w:tblCellMar>
            <w:top w:w="0" w:type="dxa"/>
            <w:left w:w="108" w:type="dxa"/>
            <w:bottom w:w="0" w:type="dxa"/>
            <w:right w:w="108" w:type="dxa"/>
          </w:tblCellMar>
        </w:tblPrEx>
        <w:trPr>
          <w:trHeight w:val="91" w:hRule="atLeast"/>
        </w:trPr>
        <w:tc>
          <w:tcPr>
            <w:tcW w:w="7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57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250307002</w:t>
            </w:r>
          </w:p>
        </w:tc>
        <w:tc>
          <w:tcPr>
            <w:tcW w:w="2414"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肌酐测定</w:t>
            </w:r>
          </w:p>
        </w:tc>
      </w:tr>
      <w:tr>
        <w:tblPrEx>
          <w:tblCellMar>
            <w:top w:w="0" w:type="dxa"/>
            <w:left w:w="108" w:type="dxa"/>
            <w:bottom w:w="0" w:type="dxa"/>
            <w:right w:w="108" w:type="dxa"/>
          </w:tblCellMar>
        </w:tblPrEx>
        <w:trPr>
          <w:trHeight w:val="91" w:hRule="atLeast"/>
        </w:trPr>
        <w:tc>
          <w:tcPr>
            <w:tcW w:w="7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5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心电图</w:t>
            </w:r>
          </w:p>
        </w:tc>
        <w:tc>
          <w:tcPr>
            <w:tcW w:w="19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310701001</w:t>
            </w:r>
          </w:p>
        </w:tc>
        <w:tc>
          <w:tcPr>
            <w:tcW w:w="24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常规心电图检查</w:t>
            </w:r>
          </w:p>
        </w:tc>
      </w:tr>
      <w:tr>
        <w:tblPrEx>
          <w:tblCellMar>
            <w:top w:w="0" w:type="dxa"/>
            <w:left w:w="108" w:type="dxa"/>
            <w:bottom w:w="0" w:type="dxa"/>
            <w:right w:w="108" w:type="dxa"/>
          </w:tblCellMar>
        </w:tblPrEx>
        <w:trPr>
          <w:trHeight w:val="91" w:hRule="atLeast"/>
        </w:trPr>
        <w:tc>
          <w:tcPr>
            <w:tcW w:w="7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57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脑电图</w:t>
            </w:r>
          </w:p>
        </w:tc>
        <w:tc>
          <w:tcPr>
            <w:tcW w:w="19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310100003</w:t>
            </w:r>
          </w:p>
        </w:tc>
        <w:tc>
          <w:tcPr>
            <w:tcW w:w="24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脑地形图</w:t>
            </w:r>
          </w:p>
        </w:tc>
      </w:tr>
      <w:tr>
        <w:tblPrEx>
          <w:tblCellMar>
            <w:top w:w="0" w:type="dxa"/>
            <w:left w:w="108" w:type="dxa"/>
            <w:bottom w:w="0" w:type="dxa"/>
            <w:right w:w="108" w:type="dxa"/>
          </w:tblCellMar>
        </w:tblPrEx>
        <w:trPr>
          <w:trHeight w:val="91" w:hRule="atLeast"/>
        </w:trPr>
        <w:tc>
          <w:tcPr>
            <w:tcW w:w="7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57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310100002.20</w:t>
            </w:r>
          </w:p>
        </w:tc>
        <w:tc>
          <w:tcPr>
            <w:tcW w:w="24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特殊脑电图(特殊诱发)</w:t>
            </w:r>
          </w:p>
        </w:tc>
      </w:tr>
      <w:tr>
        <w:tblPrEx>
          <w:tblCellMar>
            <w:top w:w="0" w:type="dxa"/>
            <w:left w:w="108" w:type="dxa"/>
            <w:bottom w:w="0" w:type="dxa"/>
            <w:right w:w="108" w:type="dxa"/>
          </w:tblCellMar>
        </w:tblPrEx>
        <w:trPr>
          <w:trHeight w:val="91" w:hRule="atLeast"/>
        </w:trPr>
        <w:tc>
          <w:tcPr>
            <w:tcW w:w="7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57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视觉电位+N400检查（医保基金支付不超过2次/年）</w:t>
            </w:r>
          </w:p>
        </w:tc>
        <w:tc>
          <w:tcPr>
            <w:tcW w:w="19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310100011</w:t>
            </w:r>
          </w:p>
        </w:tc>
        <w:tc>
          <w:tcPr>
            <w:tcW w:w="241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事件相关电位</w:t>
            </w:r>
          </w:p>
        </w:tc>
      </w:tr>
      <w:tr>
        <w:tblPrEx>
          <w:tblCellMar>
            <w:top w:w="0" w:type="dxa"/>
            <w:left w:w="108" w:type="dxa"/>
            <w:bottom w:w="0" w:type="dxa"/>
            <w:right w:w="108" w:type="dxa"/>
          </w:tblCellMar>
        </w:tblPrEx>
        <w:trPr>
          <w:trHeight w:val="91" w:hRule="atLeast"/>
        </w:trPr>
        <w:tc>
          <w:tcPr>
            <w:tcW w:w="7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57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眼动检查（医保基金支付不超过2次/年）</w:t>
            </w:r>
          </w:p>
        </w:tc>
        <w:tc>
          <w:tcPr>
            <w:tcW w:w="194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311502002</w:t>
            </w:r>
          </w:p>
        </w:tc>
        <w:tc>
          <w:tcPr>
            <w:tcW w:w="241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眼动检查</w:t>
            </w:r>
          </w:p>
        </w:tc>
      </w:tr>
      <w:tr>
        <w:tblPrEx>
          <w:tblCellMar>
            <w:top w:w="0" w:type="dxa"/>
            <w:left w:w="108" w:type="dxa"/>
            <w:bottom w:w="0" w:type="dxa"/>
            <w:right w:w="108" w:type="dxa"/>
          </w:tblCellMar>
        </w:tblPrEx>
        <w:trPr>
          <w:trHeight w:val="91" w:hRule="atLeast"/>
        </w:trPr>
        <w:tc>
          <w:tcPr>
            <w:tcW w:w="7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57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量表（每种量表医保基金支付不超过4次/年）</w:t>
            </w:r>
          </w:p>
        </w:tc>
        <w:tc>
          <w:tcPr>
            <w:tcW w:w="19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011102010010000</w:t>
            </w:r>
          </w:p>
        </w:tc>
        <w:tc>
          <w:tcPr>
            <w:tcW w:w="24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临床量表评估（自评）</w:t>
            </w:r>
          </w:p>
        </w:tc>
      </w:tr>
      <w:tr>
        <w:tblPrEx>
          <w:tblCellMar>
            <w:top w:w="0" w:type="dxa"/>
            <w:left w:w="108" w:type="dxa"/>
            <w:bottom w:w="0" w:type="dxa"/>
            <w:right w:w="108" w:type="dxa"/>
          </w:tblCellMar>
        </w:tblPrEx>
        <w:trPr>
          <w:trHeight w:val="91" w:hRule="atLeast"/>
        </w:trPr>
        <w:tc>
          <w:tcPr>
            <w:tcW w:w="7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357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011102010020000</w:t>
            </w:r>
          </w:p>
        </w:tc>
        <w:tc>
          <w:tcPr>
            <w:tcW w:w="24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临床量表评估（他评）</w:t>
            </w:r>
          </w:p>
        </w:tc>
      </w:tr>
    </w:tbl>
    <w:p>
      <w:pPr>
        <w:spacing w:line="340" w:lineRule="exac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pPr>
        <w:tabs>
          <w:tab w:val="left" w:pos="737"/>
        </w:tabs>
        <w:spacing w:line="340" w:lineRule="exact"/>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3</w:t>
      </w:r>
      <w:r>
        <w:rPr>
          <w:rFonts w:ascii="Times New Roman" w:hAnsi="Times New Roman"/>
          <w:color w:val="000000" w:themeColor="text1"/>
          <w:sz w:val="30"/>
          <w:szCs w:val="30"/>
          <w14:textFill>
            <w14:solidFill>
              <w14:schemeClr w14:val="tx1"/>
            </w14:solidFill>
          </w14:textFill>
        </w:rPr>
        <w:t>9.</w:t>
      </w:r>
      <w:r>
        <w:rPr>
          <w:rFonts w:ascii="Times New Roman" w:hAnsi="Times New Roman" w:eastAsia="黑体"/>
          <w:color w:val="000000" w:themeColor="text1"/>
          <w:sz w:val="30"/>
          <w:szCs w:val="30"/>
          <w14:textFill>
            <w14:solidFill>
              <w14:schemeClr w14:val="tx1"/>
            </w14:solidFill>
          </w14:textFill>
        </w:rPr>
        <w:t>抑郁症</w:t>
      </w:r>
    </w:p>
    <w:tbl>
      <w:tblPr>
        <w:tblStyle w:val="4"/>
        <w:tblW w:w="8691" w:type="dxa"/>
        <w:tblInd w:w="93" w:type="dxa"/>
        <w:tblLayout w:type="fixed"/>
        <w:tblCellMar>
          <w:top w:w="0" w:type="dxa"/>
          <w:left w:w="108" w:type="dxa"/>
          <w:bottom w:w="0" w:type="dxa"/>
          <w:right w:w="108" w:type="dxa"/>
        </w:tblCellMar>
      </w:tblPr>
      <w:tblGrid>
        <w:gridCol w:w="728"/>
        <w:gridCol w:w="1185"/>
        <w:gridCol w:w="1250"/>
        <w:gridCol w:w="1915"/>
        <w:gridCol w:w="3613"/>
      </w:tblGrid>
      <w:tr>
        <w:tblPrEx>
          <w:tblCellMar>
            <w:top w:w="0" w:type="dxa"/>
            <w:left w:w="108" w:type="dxa"/>
            <w:bottom w:w="0" w:type="dxa"/>
            <w:right w:w="108" w:type="dxa"/>
          </w:tblCellMar>
        </w:tblPrEx>
        <w:trPr>
          <w:trHeight w:val="91" w:hRule="atLeast"/>
        </w:trPr>
        <w:tc>
          <w:tcPr>
            <w:tcW w:w="7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病种名称</w:t>
            </w:r>
          </w:p>
        </w:tc>
        <w:tc>
          <w:tcPr>
            <w:tcW w:w="2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特病病种名称</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诊断编码</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诊断名称</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抑郁症</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F32.000</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轻度抑郁发作</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F32.000x002</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不伴有躯体症状的轻度抑郁发作</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F32.000x011</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伴有躯体症状的轻度抑郁发作</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F32.100</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中度抑郁发作</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F32.100x002</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不伴有躯体症状的中度抑郁发作</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F32.100x011</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伴有躯体症状的中度抑郁发作</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F32.200</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不伴有精神病性症状的重度抑郁发作</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F32.300</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伴有精神病性症状的重度抑郁发作</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F32.301</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抑郁性精神病</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F32.800</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抑郁发作，其他的</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F32.800x001</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抑郁性木僵</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F32.800x002</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难治性抑郁症</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F32.801</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更年期抑郁症</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F32.802</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非典型抑郁症</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F32.900</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抑郁发作</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F33.000</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复发性抑郁障碍，目前为轻度发作</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F33.000</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复发性抑郁障碍，目前为轻度发作</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F33.000x002</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复发性抑郁障碍,目前为伴有躯体症状的轻度发作</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F33.000x011</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复发性抑郁障碍,目前为不伴有躯体症状的轻度发作</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F33.100</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复发性抑郁障碍，目前为中度发作</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F33.100</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复发性抑郁障碍，目前为中度发作</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F33.100x002</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复发性抑郁障碍,目前为伴有躯体症状的中度发作</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F33.100x011</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复发性抑郁障碍,目前为不伴有躯体症状的中度发作</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F33.200</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复发性抑郁障碍，目前为不伴有精神病性症状的重度发作</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F33.200</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复发性抑郁障碍，目前为不伴有精神病性症状的重度发作</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F33.300</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复发性抑郁障碍，目前为伴有精神病性症状的重度发作</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F33.300</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复发性抑郁障碍，目前为伴有精神病性症状的重度发作</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F33.400</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复发性抑郁障碍，目前为缓解状态</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F33.400</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复发性抑郁障碍，目前为缓解状态</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F33.800</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复发性抑郁障碍，其他的</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F33.900</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复发性抑郁障碍</w:t>
            </w:r>
          </w:p>
        </w:tc>
      </w:tr>
      <w:tr>
        <w:tblPrEx>
          <w:tblCellMar>
            <w:top w:w="0" w:type="dxa"/>
            <w:left w:w="108" w:type="dxa"/>
            <w:bottom w:w="0" w:type="dxa"/>
            <w:right w:w="108" w:type="dxa"/>
          </w:tblCellMar>
        </w:tblPrEx>
        <w:trPr>
          <w:trHeight w:val="91"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诊断标准</w:t>
            </w:r>
          </w:p>
        </w:tc>
        <w:tc>
          <w:tcPr>
            <w:tcW w:w="7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1.符合《ICD—10国际疾病分类与诊断标准（第十版）-精神与行为障碍》中相关心境障碍（F32-F33抑郁症）的诊断标准。</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（1）抑郁发作：</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有以下三种不同形式的抑郁发作:轻度(F32.0)、中度(F32.1)、重度(F32.2)和(F32.3)。各种形式的典型发作中，病人通常有心境低落、兴趣和愉快感丧失，导致劳累感增加和活动减少的精力降低。也很常见的症状还有稍作事情即觉明显的倦息。其它常见症状是:</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（a）集中注意和注意的能力降低;</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（b）自我评价和自信降低;</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（c）自罪观念和无价值感(即使在轻度发作中也有);</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（d）认为前途暗淡悲观;</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（e）自伤或自杀的观念或行为;</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（f）睡眠障碍;</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（g）食欲下降。</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（2）复发性抑郁障碍</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本障碍的特点是反复出现抑郁发作〔轻度(F32.0)、中度(F321)、重度(F32.2和F32.3)〕中所标明的抑郁发作历史，不存在符合躁狂(F30.1和F30.2)标准的心境高涨和活动过度的独立发作。然而，如果紧接在抑郁之后出现短暂的符合轻躁狂标准(F30.0)的轻度心境高涨和活动增加(有时显然是由抗抑郁剂治疗所诱发)，仍应使用本类别。抑郁发作的起病年龄、严重程度、持续时间、发作频率等均无固定规律一般而言，初次发作晚于双相障碍，平均起病年龄为40-49岁。每次发作同样持续3-12个月(中数约6个月)，但复发频率低些。发作间期一般缓解完全，但少数病人可发展为持续性抑郁，主要见于老年(这种情况仍用本类别)。不同严重程度的一次发作一般都是由应激性生活事件诱发。</w:t>
            </w:r>
            <w:r>
              <w:rPr>
                <w:rFonts w:ascii="Times New Roman" w:hAnsi="Times New Roman" w:eastAsia="方正仿宋_GBK" w:cs="方正仿宋_GBK"/>
                <w:color w:val="000000" w:themeColor="text1"/>
                <w:kern w:val="0"/>
                <w:szCs w:val="21"/>
                <w:lang w:bidi="ar"/>
                <w14:textFill>
                  <w14:solidFill>
                    <w14:schemeClr w14:val="tx1"/>
                  </w14:solidFill>
                </w14:textFill>
              </w:rPr>
              <w:br w:type="textWrapping"/>
            </w:r>
            <w:r>
              <w:rPr>
                <w:rFonts w:ascii="Times New Roman" w:hAnsi="Times New Roman" w:eastAsia="方正仿宋_GBK" w:cs="方正仿宋_GBK"/>
                <w:color w:val="000000" w:themeColor="text1"/>
                <w:kern w:val="0"/>
                <w:szCs w:val="21"/>
                <w:lang w:bidi="ar"/>
                <w14:textFill>
                  <w14:solidFill>
                    <w14:schemeClr w14:val="tx1"/>
                  </w14:solidFill>
                </w14:textFill>
              </w:rPr>
              <w:t>2.有相关病史资料。精神专科医院或综合医院精神科（具有精神科执业范围的科室）出具的出院记录(记载病情和治疗方案）和诊断证明（加盖医疗机构公章）≥1次；或门诊诊疗记录（记载病情和治疗方案）每月1次连续6月以上。</w:t>
            </w:r>
          </w:p>
        </w:tc>
      </w:tr>
      <w:tr>
        <w:tblPrEx>
          <w:tblCellMar>
            <w:top w:w="0" w:type="dxa"/>
            <w:left w:w="108" w:type="dxa"/>
            <w:bottom w:w="0" w:type="dxa"/>
            <w:right w:w="108" w:type="dxa"/>
          </w:tblCellMar>
        </w:tblPrEx>
        <w:trPr>
          <w:trHeight w:val="91" w:hRule="atLeast"/>
        </w:trPr>
        <w:tc>
          <w:tcPr>
            <w:tcW w:w="7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药品类别</w:t>
            </w:r>
          </w:p>
        </w:tc>
        <w:tc>
          <w:tcPr>
            <w:tcW w:w="2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医保目录药品分类代码</w:t>
            </w:r>
          </w:p>
        </w:tc>
        <w:tc>
          <w:tcPr>
            <w:tcW w:w="3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医保目录药品分类名称</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抗精神病药物</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XN05A</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抗精神病药</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抗抑郁药、抗焦虑药、心境稳定剂</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抗抑郁药物</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XN06A</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抗抑郁药</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仿宋_GBK" w:cs="方正仿宋_GBK"/>
                <w:color w:val="000000" w:themeColor="text1"/>
                <w:szCs w:val="21"/>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抗癫痫药</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XN03A</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抗癫痫药</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仿宋_GBK" w:cs="方正仿宋_GBK"/>
                <w:color w:val="000000" w:themeColor="text1"/>
                <w:szCs w:val="21"/>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镇静药</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XN05C</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催眠药和镇静药</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仿宋_GBK" w:cs="方正仿宋_GBK"/>
                <w:color w:val="000000" w:themeColor="text1"/>
                <w:szCs w:val="21"/>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抗焦虑药物</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XN05B</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抗焦虑药</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Times New Roman" w:hAnsi="Times New Roman" w:eastAsia="方正仿宋_GBK" w:cs="方正仿宋_GBK"/>
                <w:color w:val="000000" w:themeColor="text1"/>
                <w:szCs w:val="21"/>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甲状腺制剂</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XH03A</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甲状腺制剂</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上述药物引起不良反应的对症治疗药物</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抗帕金森类药物</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XN04A</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抗胆碱能药</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治疗功能性胃肠道疾病的药物</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XA03B</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单方颠茄及其衍生物</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非选择性β-受体阻滞剂</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XC07AA</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非选择性β-受体阻滞剂</w:t>
            </w:r>
          </w:p>
        </w:tc>
      </w:tr>
      <w:tr>
        <w:tblPrEx>
          <w:tblCellMar>
            <w:top w:w="0" w:type="dxa"/>
            <w:left w:w="108" w:type="dxa"/>
            <w:bottom w:w="0" w:type="dxa"/>
            <w:right w:w="108" w:type="dxa"/>
          </w:tblCellMar>
        </w:tblPrEx>
        <w:trPr>
          <w:trHeight w:val="91" w:hRule="atLeast"/>
        </w:trPr>
        <w:tc>
          <w:tcPr>
            <w:tcW w:w="7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黑体_GBK" w:cs="方正黑体_GBK"/>
                <w:color w:val="000000" w:themeColor="text1"/>
                <w:szCs w:val="21"/>
                <w:lang w:eastAsia="zh-CN"/>
                <w14:textFill>
                  <w14:solidFill>
                    <w14:schemeClr w14:val="tx1"/>
                  </w14:solidFill>
                </w14:textFill>
              </w:rPr>
            </w:pPr>
            <w:r>
              <w:rPr>
                <w:rFonts w:hint="eastAsia" w:ascii="Times New Roman" w:hAnsi="Times New Roman" w:eastAsia="方正黑体_GBK" w:cs="方正黑体_GBK"/>
                <w:color w:val="000000" w:themeColor="text1"/>
                <w:kern w:val="0"/>
                <w:szCs w:val="21"/>
                <w:lang w:eastAsia="zh-CN" w:bidi="ar"/>
                <w14:textFill>
                  <w14:solidFill>
                    <w14:schemeClr w14:val="tx1"/>
                  </w14:solidFill>
                </w14:textFill>
              </w:rPr>
              <w:t>诊疗项目</w:t>
            </w:r>
          </w:p>
        </w:tc>
        <w:tc>
          <w:tcPr>
            <w:tcW w:w="2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医保报销范围</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医保目录医疗服务项目编码</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ascii="Times New Roman" w:hAnsi="Times New Roman" w:eastAsia="方正黑体_GBK" w:cs="方正黑体_GBK"/>
                <w:color w:val="000000" w:themeColor="text1"/>
                <w:szCs w:val="21"/>
                <w14:textFill>
                  <w14:solidFill>
                    <w14:schemeClr w14:val="tx1"/>
                  </w14:solidFill>
                </w14:textFill>
              </w:rPr>
            </w:pPr>
            <w:r>
              <w:rPr>
                <w:rFonts w:hint="eastAsia" w:ascii="Times New Roman" w:hAnsi="Times New Roman" w:eastAsia="方正黑体_GBK" w:cs="方正黑体_GBK"/>
                <w:color w:val="000000" w:themeColor="text1"/>
                <w:kern w:val="0"/>
                <w:szCs w:val="21"/>
                <w:lang w:bidi="ar"/>
                <w14:textFill>
                  <w14:solidFill>
                    <w14:schemeClr w14:val="tx1"/>
                  </w14:solidFill>
                </w14:textFill>
              </w:rPr>
              <w:t>医保目录医疗服务项目名称</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物理治疗</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重复经颅磁刺激治疗（医保基金支付不超过30次/年，每次30分钟）</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311503031</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经颅磁刺激治疗</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MECT治疗（医保基金支付不超过12次/年）</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311503005</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多参数监护无抽搐电休克治疗</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血常规</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250101015</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血细胞分析</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血脂</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250303001</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血清总胆固醇测定</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250303002</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血清甘油三酯测定</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250303004</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血清高密度脂蛋白胆固醇测定</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250303005</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血清低密度脂蛋白胆固醇测定</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血糖</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250302001</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葡萄糖测定</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泌乳素</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250310002</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血清泌乳素测定</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甲状腺功能（医保基金支付不超过4次/年）</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250310001</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血清促甲状腺激素测定(TSH)</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250310010</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血清甲状腺素(T4)测定</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250310011</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血清三碘甲状原氨酸(T3)测定</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250310013</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血清游离甲状腺素(FT4)测定</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250310014</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血清游离三碘甲状原氨酸(FT3)测定</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微量元素测定</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250304013.a0</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微量元素测定(锂测定)</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250309005</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血清药物浓度测定</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肝功能</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250305001</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血清总胆红素测定</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250305002</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血清直接胆红素测定</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250305003</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血清间接胆红素测定</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250305007</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血清丙氨酸氨基转移酶测定</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250305008</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血清天门冬氨酸氨基转移酶测定</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250305009</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血清γ-谷氨酰基转移酶测定</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250305011</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血清碱性磷酸酶测定</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250301001</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血清总蛋白测定</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250301002</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血清白蛋白测定</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250306005</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乳酸脱氢酶测定</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肾功能</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250307005</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血清尿酸测定</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250307001</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尿素测定</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250307002</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left"/>
              <w:textAlignment w:val="bottom"/>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肌酐测定</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心电图</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310701001</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常规心电图检查</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脑电图</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310100003</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脑地形图</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310100002.20</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特殊脑电图(特殊诱发)</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视觉电位+N400检查（医保基金支付不超过2次/年）</w:t>
            </w:r>
          </w:p>
        </w:tc>
        <w:tc>
          <w:tcPr>
            <w:tcW w:w="1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310100011</w:t>
            </w:r>
          </w:p>
        </w:tc>
        <w:tc>
          <w:tcPr>
            <w:tcW w:w="3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事件相关电位</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眼动检查（医保基金支付不超过2次/年）</w:t>
            </w:r>
          </w:p>
        </w:tc>
        <w:tc>
          <w:tcPr>
            <w:tcW w:w="1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311502002</w:t>
            </w:r>
          </w:p>
        </w:tc>
        <w:tc>
          <w:tcPr>
            <w:tcW w:w="3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眼动检查</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量表（每种量表医保基金支付不超过4次/年）</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011102010010000</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临床量表评估（自评）</w:t>
            </w:r>
          </w:p>
        </w:tc>
      </w:tr>
      <w:tr>
        <w:tblPrEx>
          <w:tblCellMar>
            <w:top w:w="0" w:type="dxa"/>
            <w:left w:w="108" w:type="dxa"/>
            <w:bottom w:w="0" w:type="dxa"/>
            <w:right w:w="108" w:type="dxa"/>
          </w:tblCellMar>
        </w:tblPrEx>
        <w:trPr>
          <w:trHeight w:val="91"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40" w:lineRule="exact"/>
              <w:jc w:val="center"/>
              <w:rPr>
                <w:rFonts w:ascii="Times New Roman" w:hAnsi="Times New Roman" w:eastAsia="方正黑体_GBK" w:cs="方正黑体_GBK"/>
                <w:color w:val="000000" w:themeColor="text1"/>
                <w:szCs w:val="21"/>
                <w14:textFill>
                  <w14:solidFill>
                    <w14:schemeClr w14:val="tx1"/>
                  </w14:solidFill>
                </w14:textFill>
              </w:rPr>
            </w:pPr>
          </w:p>
        </w:tc>
        <w:tc>
          <w:tcPr>
            <w:tcW w:w="24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Times New Roman" w:hAnsi="Times New Roman" w:eastAsia="方正仿宋_GBK" w:cs="方正仿宋_GBK"/>
                <w:color w:val="000000" w:themeColor="text1"/>
                <w:szCs w:val="21"/>
                <w14:textFill>
                  <w14:solidFill>
                    <w14:schemeClr w14:val="tx1"/>
                  </w14:solidFill>
                </w14:textFill>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011102010020000</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left"/>
              <w:textAlignment w:val="center"/>
              <w:rPr>
                <w:rFonts w:ascii="Times New Roman" w:hAnsi="Times New Roman" w:eastAsia="方正仿宋_GBK" w:cs="方正仿宋_GBK"/>
                <w:color w:val="000000" w:themeColor="text1"/>
                <w:szCs w:val="21"/>
                <w14:textFill>
                  <w14:solidFill>
                    <w14:schemeClr w14:val="tx1"/>
                  </w14:solidFill>
                </w14:textFill>
              </w:rPr>
            </w:pPr>
            <w:r>
              <w:rPr>
                <w:rFonts w:ascii="Times New Roman" w:hAnsi="Times New Roman" w:eastAsia="方正仿宋_GBK" w:cs="方正仿宋_GBK"/>
                <w:color w:val="000000" w:themeColor="text1"/>
                <w:kern w:val="0"/>
                <w:szCs w:val="21"/>
                <w:lang w:bidi="ar"/>
                <w14:textFill>
                  <w14:solidFill>
                    <w14:schemeClr w14:val="tx1"/>
                  </w14:solidFill>
                </w14:textFill>
              </w:rPr>
              <w:t>临床量表评估（他评）</w:t>
            </w:r>
          </w:p>
        </w:tc>
      </w:tr>
    </w:tbl>
    <w:p>
      <w:pPr>
        <w:spacing w:line="340" w:lineRule="exact"/>
        <w:rPr>
          <w:rFonts w:ascii="Times New Roman" w:hAnsi="Times New Roman"/>
          <w:color w:val="000000" w:themeColor="text1"/>
          <w:sz w:val="30"/>
          <w:szCs w:val="30"/>
          <w14:textFill>
            <w14:solidFill>
              <w14:schemeClr w14:val="tx1"/>
            </w14:solidFill>
          </w14:textFill>
        </w:rPr>
      </w:pPr>
    </w:p>
    <w:p>
      <w:pPr>
        <w:spacing w:line="340" w:lineRule="exact"/>
        <w:rPr>
          <w:rFonts w:ascii="Times New Roman" w:hAnsi="Times New Roman"/>
          <w:color w:val="000000" w:themeColor="text1"/>
          <w:sz w:val="30"/>
          <w:szCs w:val="30"/>
          <w14:textFill>
            <w14:solidFill>
              <w14:schemeClr w14:val="tx1"/>
            </w14:solidFill>
          </w14:textFill>
        </w:rPr>
      </w:pPr>
    </w:p>
    <w:sectPr>
      <w:footerReference r:id="rId8" w:type="default"/>
      <w:pgSz w:w="11906" w:h="16838"/>
      <w:pgMar w:top="2098" w:right="1474" w:bottom="1985"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6"/>
      </w:rPr>
      <w:id w:val="5485414"/>
      <w:docPartObj>
        <w:docPartGallery w:val="autotext"/>
      </w:docPartObj>
    </w:sdtPr>
    <w:sdtEndPr>
      <w:rPr>
        <w:rStyle w:val="6"/>
      </w:rPr>
    </w:sdtEndPr>
    <w:sdtContent>
      <w:p>
        <w:pPr>
          <w:pStyle w:val="2"/>
          <w:framePr w:wrap="around" w:vAnchor="text" w:hAnchor="margin" w:xAlign="center" w:y="1"/>
          <w:rPr>
            <w:rStyle w:val="6"/>
          </w:rPr>
        </w:pPr>
        <w:r>
          <w:rPr>
            <w:rStyle w:val="6"/>
          </w:rPr>
          <w:fldChar w:fldCharType="begin"/>
        </w:r>
        <w:r>
          <w:rPr>
            <w:rStyle w:val="6"/>
          </w:rPr>
          <w:instrText xml:space="preserve"> PAGE </w:instrText>
        </w:r>
        <w:r>
          <w:rPr>
            <w:rStyle w:val="6"/>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rPr>
                        <w:rFonts w:hint="eastAsia"/>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SpellingErrors/>
  <w:hideGrammaticalErrors/>
  <w:documentProtection w:edit="readOnly" w:enforcement="1" w:cryptProviderType="rsaFull" w:cryptAlgorithmClass="hash" w:cryptAlgorithmType="typeAny" w:cryptAlgorithmSid="4" w:cryptSpinCount="0" w:hash="HNYhZwBBqEdvukD8nXtvb4WmMbE=" w:salt="3/A2YjUr+1nK08L1GNkvKw=="/>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DD42EB"/>
    <w:rsid w:val="00250E79"/>
    <w:rsid w:val="00262754"/>
    <w:rsid w:val="002947A6"/>
    <w:rsid w:val="005015A0"/>
    <w:rsid w:val="0063482B"/>
    <w:rsid w:val="00852C3A"/>
    <w:rsid w:val="00916B70"/>
    <w:rsid w:val="009A730C"/>
    <w:rsid w:val="009E3362"/>
    <w:rsid w:val="00D033BA"/>
    <w:rsid w:val="00D048F1"/>
    <w:rsid w:val="00D34322"/>
    <w:rsid w:val="00E6095D"/>
    <w:rsid w:val="00E60F6A"/>
    <w:rsid w:val="00F02661"/>
    <w:rsid w:val="00FD775B"/>
    <w:rsid w:val="00FF190B"/>
    <w:rsid w:val="03602F97"/>
    <w:rsid w:val="049A52F6"/>
    <w:rsid w:val="04FA7A94"/>
    <w:rsid w:val="06F10034"/>
    <w:rsid w:val="08211329"/>
    <w:rsid w:val="08966904"/>
    <w:rsid w:val="0CD957A2"/>
    <w:rsid w:val="0D1424ED"/>
    <w:rsid w:val="0F02192F"/>
    <w:rsid w:val="10796E21"/>
    <w:rsid w:val="13422D15"/>
    <w:rsid w:val="154325B1"/>
    <w:rsid w:val="18624A54"/>
    <w:rsid w:val="195341B2"/>
    <w:rsid w:val="199F6B77"/>
    <w:rsid w:val="19B4014C"/>
    <w:rsid w:val="19D35A3A"/>
    <w:rsid w:val="1EFE76AE"/>
    <w:rsid w:val="208B37CD"/>
    <w:rsid w:val="22442EDB"/>
    <w:rsid w:val="23DD42EB"/>
    <w:rsid w:val="291C24B0"/>
    <w:rsid w:val="2F8877C4"/>
    <w:rsid w:val="316258EF"/>
    <w:rsid w:val="33205EA2"/>
    <w:rsid w:val="34623121"/>
    <w:rsid w:val="34C66973"/>
    <w:rsid w:val="35223149"/>
    <w:rsid w:val="35694A98"/>
    <w:rsid w:val="36B24676"/>
    <w:rsid w:val="371E7A83"/>
    <w:rsid w:val="37B065E5"/>
    <w:rsid w:val="3A667F7C"/>
    <w:rsid w:val="3A86459E"/>
    <w:rsid w:val="3AD030D5"/>
    <w:rsid w:val="3B4B1E15"/>
    <w:rsid w:val="3D5A2538"/>
    <w:rsid w:val="3D6E0D11"/>
    <w:rsid w:val="3E7D0370"/>
    <w:rsid w:val="3EE432A4"/>
    <w:rsid w:val="3F7B2102"/>
    <w:rsid w:val="3F9E5AC2"/>
    <w:rsid w:val="3FE47979"/>
    <w:rsid w:val="41C554A5"/>
    <w:rsid w:val="440441A3"/>
    <w:rsid w:val="455C4456"/>
    <w:rsid w:val="45650866"/>
    <w:rsid w:val="45F91CA4"/>
    <w:rsid w:val="461A5919"/>
    <w:rsid w:val="47062F78"/>
    <w:rsid w:val="47847862"/>
    <w:rsid w:val="494C6E4D"/>
    <w:rsid w:val="4A092A83"/>
    <w:rsid w:val="4AB42F1C"/>
    <w:rsid w:val="4AC65A7F"/>
    <w:rsid w:val="4E4C0585"/>
    <w:rsid w:val="504829E4"/>
    <w:rsid w:val="5205201A"/>
    <w:rsid w:val="52513CAC"/>
    <w:rsid w:val="56A21DA4"/>
    <w:rsid w:val="57405109"/>
    <w:rsid w:val="58633B93"/>
    <w:rsid w:val="591C5D9D"/>
    <w:rsid w:val="5C9E4192"/>
    <w:rsid w:val="61073070"/>
    <w:rsid w:val="6269682B"/>
    <w:rsid w:val="63D1494C"/>
    <w:rsid w:val="65B66266"/>
    <w:rsid w:val="66BA7997"/>
    <w:rsid w:val="67F87EA2"/>
    <w:rsid w:val="685C1EF3"/>
    <w:rsid w:val="698E08AB"/>
    <w:rsid w:val="6AB558AA"/>
    <w:rsid w:val="6B2370D5"/>
    <w:rsid w:val="6BAB6F14"/>
    <w:rsid w:val="6FA50623"/>
    <w:rsid w:val="6FD5205C"/>
    <w:rsid w:val="70736458"/>
    <w:rsid w:val="709D12FB"/>
    <w:rsid w:val="70C30115"/>
    <w:rsid w:val="752671C1"/>
    <w:rsid w:val="781F6F8A"/>
    <w:rsid w:val="78830834"/>
    <w:rsid w:val="7892370F"/>
    <w:rsid w:val="7A033C1D"/>
    <w:rsid w:val="7A5501E4"/>
    <w:rsid w:val="7B671D87"/>
    <w:rsid w:val="7BA92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qFormat/>
    <w:uiPriority w:val="0"/>
    <w:pPr>
      <w:tabs>
        <w:tab w:val="center" w:pos="4153"/>
        <w:tab w:val="right" w:pos="8306"/>
      </w:tabs>
      <w:snapToGrid w:val="0"/>
      <w:jc w:val="left"/>
    </w:pPr>
    <w:rPr>
      <w:sz w:val="18"/>
      <w:szCs w:val="18"/>
    </w:rPr>
  </w:style>
  <w:style w:type="paragraph" w:styleId="3">
    <w:name w:val="header"/>
    <w:basedOn w:val="1"/>
    <w:link w:val="18"/>
    <w:qFormat/>
    <w:uiPriority w:val="0"/>
    <w:pP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font21"/>
    <w:basedOn w:val="5"/>
    <w:qFormat/>
    <w:uiPriority w:val="0"/>
    <w:rPr>
      <w:rFonts w:hint="default" w:ascii="方正仿宋_GBK" w:hAnsi="方正仿宋_GBK" w:eastAsia="方正仿宋_GBK" w:cs="方正仿宋_GBK"/>
      <w:color w:val="000000"/>
      <w:sz w:val="24"/>
      <w:szCs w:val="24"/>
      <w:u w:val="none"/>
    </w:rPr>
  </w:style>
  <w:style w:type="character" w:customStyle="1" w:styleId="8">
    <w:name w:val="font41"/>
    <w:basedOn w:val="5"/>
    <w:qFormat/>
    <w:uiPriority w:val="0"/>
    <w:rPr>
      <w:rFonts w:hint="default" w:ascii="方正仿宋_GBK" w:hAnsi="方正仿宋_GBK" w:eastAsia="方正仿宋_GBK" w:cs="方正仿宋_GBK"/>
      <w:color w:val="000000"/>
      <w:sz w:val="24"/>
      <w:szCs w:val="24"/>
      <w:u w:val="none"/>
    </w:rPr>
  </w:style>
  <w:style w:type="character" w:customStyle="1" w:styleId="9">
    <w:name w:val="font51"/>
    <w:basedOn w:val="5"/>
    <w:qFormat/>
    <w:uiPriority w:val="0"/>
    <w:rPr>
      <w:rFonts w:hint="eastAsia" w:ascii="方正黑体_GBK" w:hAnsi="方正黑体_GBK" w:eastAsia="方正黑体_GBK" w:cs="方正黑体_GBK"/>
      <w:b/>
      <w:bCs/>
      <w:color w:val="000000"/>
      <w:sz w:val="24"/>
      <w:szCs w:val="24"/>
      <w:u w:val="none"/>
    </w:rPr>
  </w:style>
  <w:style w:type="character" w:customStyle="1" w:styleId="10">
    <w:name w:val="font31"/>
    <w:basedOn w:val="5"/>
    <w:qFormat/>
    <w:uiPriority w:val="0"/>
    <w:rPr>
      <w:rFonts w:hint="default" w:ascii="方正楷体_GBK" w:hAnsi="方正楷体_GBK" w:eastAsia="方正楷体_GBK" w:cs="方正楷体_GBK"/>
      <w:b/>
      <w:bCs/>
      <w:color w:val="000000"/>
      <w:sz w:val="24"/>
      <w:szCs w:val="24"/>
      <w:u w:val="none"/>
    </w:rPr>
  </w:style>
  <w:style w:type="character" w:customStyle="1" w:styleId="11">
    <w:name w:val="font61"/>
    <w:basedOn w:val="5"/>
    <w:qFormat/>
    <w:uiPriority w:val="0"/>
    <w:rPr>
      <w:rFonts w:ascii="方正书宋_GBK" w:hAnsi="方正书宋_GBK" w:eastAsia="方正书宋_GBK" w:cs="方正书宋_GBK"/>
      <w:color w:val="000000"/>
      <w:sz w:val="24"/>
      <w:szCs w:val="24"/>
      <w:u w:val="none"/>
    </w:rPr>
  </w:style>
  <w:style w:type="character" w:customStyle="1" w:styleId="12">
    <w:name w:val="font11"/>
    <w:basedOn w:val="5"/>
    <w:qFormat/>
    <w:uiPriority w:val="0"/>
    <w:rPr>
      <w:rFonts w:hint="eastAsia" w:ascii="方正黑体_GBK" w:hAnsi="方正黑体_GBK" w:eastAsia="方正黑体_GBK" w:cs="方正黑体_GBK"/>
      <w:color w:val="000000"/>
      <w:sz w:val="24"/>
      <w:szCs w:val="24"/>
      <w:u w:val="none"/>
    </w:rPr>
  </w:style>
  <w:style w:type="character" w:customStyle="1" w:styleId="13">
    <w:name w:val="font71"/>
    <w:basedOn w:val="5"/>
    <w:qFormat/>
    <w:uiPriority w:val="0"/>
    <w:rPr>
      <w:rFonts w:ascii="方正书宋_GBK" w:hAnsi="方正书宋_GBK" w:eastAsia="方正书宋_GBK" w:cs="方正书宋_GBK"/>
      <w:color w:val="000000"/>
      <w:sz w:val="24"/>
      <w:szCs w:val="24"/>
      <w:u w:val="none"/>
    </w:rPr>
  </w:style>
  <w:style w:type="character" w:customStyle="1" w:styleId="14">
    <w:name w:val="font81"/>
    <w:basedOn w:val="5"/>
    <w:qFormat/>
    <w:uiPriority w:val="0"/>
    <w:rPr>
      <w:rFonts w:ascii="Arial" w:hAnsi="Arial" w:cs="Arial"/>
      <w:color w:val="000000"/>
      <w:sz w:val="24"/>
      <w:szCs w:val="24"/>
      <w:u w:val="none"/>
    </w:rPr>
  </w:style>
  <w:style w:type="character" w:customStyle="1" w:styleId="15">
    <w:name w:val="font101"/>
    <w:basedOn w:val="5"/>
    <w:qFormat/>
    <w:uiPriority w:val="0"/>
    <w:rPr>
      <w:rFonts w:ascii="方正书宋_GBK" w:hAnsi="方正书宋_GBK" w:eastAsia="方正书宋_GBK" w:cs="方正书宋_GBK"/>
      <w:color w:val="000000"/>
      <w:sz w:val="24"/>
      <w:szCs w:val="24"/>
      <w:u w:val="none"/>
    </w:rPr>
  </w:style>
  <w:style w:type="character" w:customStyle="1" w:styleId="16">
    <w:name w:val="font91"/>
    <w:basedOn w:val="5"/>
    <w:qFormat/>
    <w:uiPriority w:val="0"/>
    <w:rPr>
      <w:rFonts w:ascii="方正书宋_GBK" w:hAnsi="方正书宋_GBK" w:eastAsia="方正书宋_GBK" w:cs="方正书宋_GBK"/>
      <w:color w:val="000000"/>
      <w:sz w:val="24"/>
      <w:szCs w:val="24"/>
      <w:u w:val="none"/>
    </w:rPr>
  </w:style>
  <w:style w:type="paragraph" w:styleId="17">
    <w:name w:val="List Paragraph"/>
    <w:basedOn w:val="1"/>
    <w:unhideWhenUsed/>
    <w:qFormat/>
    <w:uiPriority w:val="99"/>
    <w:pPr>
      <w:ind w:firstLine="420" w:firstLineChars="200"/>
    </w:pPr>
  </w:style>
  <w:style w:type="character" w:customStyle="1" w:styleId="18">
    <w:name w:val="页眉 字符"/>
    <w:basedOn w:val="5"/>
    <w:link w:val="3"/>
    <w:qFormat/>
    <w:uiPriority w:val="0"/>
    <w:rPr>
      <w:rFonts w:asciiTheme="minorHAnsi" w:hAnsiTheme="minorHAnsi" w:eastAsiaTheme="minorEastAsia" w:cstheme="minorBidi"/>
      <w:kern w:val="2"/>
      <w:sz w:val="18"/>
      <w:szCs w:val="18"/>
    </w:rPr>
  </w:style>
  <w:style w:type="character" w:customStyle="1" w:styleId="19">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179</Pages>
  <Words>1567</Words>
  <Characters>6322</Characters>
  <Lines>894</Lines>
  <Paragraphs>251</Paragraphs>
  <TotalTime>1116</TotalTime>
  <ScaleCrop>false</ScaleCrop>
  <LinksUpToDate>false</LinksUpToDate>
  <CharactersWithSpaces>6334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2025-03-13T06:09:00Z</dcterms:created>
  <dc:creator>吴小静</dc:creator>
  <cp:lastModifiedBy>胡娟</cp:lastModifiedBy>
  <cp:lastPrinted>2025-07-25T07:48:00Z</cp:lastPrinted>
  <dcterms:modified xsi:type="dcterms:W3CDTF">2025-08-13T01:56:05Z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A6660542F747429D929B3C284D09F970</vt:lpwstr>
  </property>
  <property fmtid="{D5CDD505-2E9C-101B-9397-08002B2CF9AE}" pid="4" name="KSOTemplateDocerSaveRecord">
    <vt:lpwstr>eyJoZGlkIjoiMTE5NzVlNjAwNmI3ZGMzZGYwMDdlZWI2NzgyNWQ1MjIiLCJ1c2VySWQiOiI1Mjk3OTI3OTAifQ==</vt:lpwstr>
  </property>
</Properties>
</file>