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lang w:val="zh-CN"/>
        </w:rPr>
        <w:id w:val="244467750"/>
        <w:docPartObj>
          <w:docPartGallery w:val="Table of Contents"/>
          <w:docPartUnique/>
        </w:docPartObj>
      </w:sdtPr>
      <w:sdtEndPr>
        <w:rPr>
          <w:rFonts w:hint="eastAsia" w:ascii="方正仿宋_GBK" w:eastAsia="方正仿宋_GBK"/>
          <w:lang w:val="zh-CN"/>
        </w:rPr>
      </w:sdtEndPr>
      <w:sdtContent>
        <w:p>
          <w:pPr>
            <w:widowControl/>
            <w:spacing w:line="580" w:lineRule="exact"/>
            <w:jc w:val="center"/>
            <w:rPr>
              <w:rFonts w:ascii="黑体" w:hAnsi="宋体" w:eastAsia="黑体" w:cs="宋体"/>
              <w:color w:val="000000"/>
              <w:kern w:val="0"/>
              <w:sz w:val="36"/>
              <w:szCs w:val="36"/>
            </w:rPr>
          </w:pPr>
          <w:r>
            <w:rPr>
              <w:rFonts w:hint="eastAsia" w:ascii="黑体" w:hAnsi="宋体" w:eastAsia="黑体" w:cs="宋体"/>
              <w:color w:val="000000"/>
              <w:kern w:val="0"/>
              <w:sz w:val="36"/>
              <w:szCs w:val="36"/>
            </w:rPr>
            <w:t>目     录</w:t>
          </w:r>
        </w:p>
        <w:p>
          <w:pPr>
            <w:widowControl/>
            <w:spacing w:line="580" w:lineRule="exact"/>
            <w:jc w:val="center"/>
            <w:rPr>
              <w:rFonts w:ascii="黑体" w:hAnsi="宋体" w:eastAsia="黑体" w:cs="宋体"/>
              <w:color w:val="000000"/>
              <w:kern w:val="0"/>
              <w:sz w:val="36"/>
              <w:szCs w:val="36"/>
            </w:rPr>
          </w:pP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b/>
              <w:color w:val="000000"/>
              <w:kern w:val="0"/>
              <w:sz w:val="32"/>
              <w:szCs w:val="32"/>
            </w:rPr>
          </w:pPr>
          <w:r>
            <w:rPr>
              <w:rFonts w:hint="eastAsia" w:ascii="黑体" w:hAnsi="黑体" w:eastAsia="黑体" w:cs="宋体"/>
              <w:b/>
              <w:color w:val="000000"/>
              <w:kern w:val="0"/>
              <w:sz w:val="32"/>
              <w:szCs w:val="32"/>
            </w:rPr>
            <w:t>第一</w:t>
          </w:r>
          <w:r>
            <w:rPr>
              <w:rFonts w:ascii="黑体" w:hAnsi="黑体" w:eastAsia="黑体" w:cs="宋体"/>
              <w:b/>
              <w:color w:val="000000"/>
              <w:kern w:val="0"/>
              <w:sz w:val="32"/>
              <w:szCs w:val="32"/>
            </w:rPr>
            <w:t>部分：</w:t>
          </w:r>
          <w:r>
            <w:rPr>
              <w:rFonts w:hint="eastAsia" w:ascii="黑体" w:hAnsi="黑体" w:eastAsia="黑体" w:cs="宋体"/>
              <w:b/>
              <w:color w:val="000000"/>
              <w:kern w:val="0"/>
              <w:sz w:val="32"/>
              <w:szCs w:val="32"/>
            </w:rPr>
            <w:t>2020年执行情况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财政预算收入执行表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表2：2020年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财政预算支出执行表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表3：2020年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一般公共预算收支执行表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表4：2020年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一般公共预算本级支出执行表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表5：2020年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一般公共预算转移支付收支执行表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表6：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一般公共预算转移支付支出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执行表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（分地区）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表7：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一般公共预算转移支付支出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执行表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（分项目）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表8：2020年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政府性基金预算收支执行表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表9：2020年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政府性基金预算本级支出执行表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表10：2020年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政府性基金预算转移支付收支执行表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表11：2020年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国有资本经营预算收支执行表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eastAsia="方正仿宋_GBK"/>
              <w:b/>
              <w:bCs/>
              <w:lang w:val="zh-CN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表12：2020年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社会保险基金预算收支执行表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黑体" w:hAnsi="黑体" w:eastAsia="黑体" w:cs="宋体"/>
              <w:b/>
              <w:color w:val="000000"/>
              <w:kern w:val="0"/>
              <w:sz w:val="32"/>
              <w:szCs w:val="32"/>
            </w:rPr>
          </w:pPr>
          <w:r>
            <w:rPr>
              <w:rFonts w:hint="eastAsia" w:ascii="黑体" w:hAnsi="黑体" w:eastAsia="黑体" w:cs="宋体"/>
              <w:b/>
              <w:color w:val="000000"/>
              <w:kern w:val="0"/>
              <w:sz w:val="32"/>
              <w:szCs w:val="32"/>
            </w:rPr>
            <w:t>第二</w:t>
          </w:r>
          <w:r>
            <w:rPr>
              <w:rFonts w:ascii="黑体" w:hAnsi="黑体" w:eastAsia="黑体" w:cs="宋体"/>
              <w:b/>
              <w:color w:val="000000"/>
              <w:kern w:val="0"/>
              <w:sz w:val="32"/>
              <w:szCs w:val="32"/>
            </w:rPr>
            <w:t>部分：</w:t>
          </w:r>
          <w:r>
            <w:rPr>
              <w:rFonts w:hint="eastAsia" w:ascii="黑体" w:hAnsi="黑体" w:eastAsia="黑体" w:cs="宋体"/>
              <w:b/>
              <w:color w:val="000000"/>
              <w:kern w:val="0"/>
              <w:sz w:val="32"/>
              <w:szCs w:val="32"/>
            </w:rPr>
            <w:t>2021年预算</w:t>
          </w:r>
          <w:r>
            <w:rPr>
              <w:rFonts w:hint="eastAsia" w:ascii="黑体" w:hAnsi="黑体" w:eastAsia="黑体" w:cs="宋体"/>
              <w:color w:val="000000"/>
              <w:kern w:val="0"/>
              <w:sz w:val="32"/>
              <w:szCs w:val="32"/>
            </w:rPr>
            <w:t>(</w:t>
          </w:r>
          <w:r>
            <w:rPr>
              <w:rFonts w:hint="eastAsia" w:ascii="黑体" w:hAnsi="黑体" w:eastAsia="黑体" w:cs="宋体"/>
              <w:b/>
              <w:color w:val="000000"/>
              <w:kern w:val="0"/>
              <w:sz w:val="32"/>
              <w:szCs w:val="32"/>
            </w:rPr>
            <w:t>草案</w:t>
          </w:r>
          <w:r>
            <w:rPr>
              <w:rFonts w:hint="eastAsia" w:ascii="黑体" w:hAnsi="黑体" w:eastAsia="黑体" w:cs="宋体"/>
              <w:color w:val="000000"/>
              <w:kern w:val="0"/>
              <w:sz w:val="32"/>
              <w:szCs w:val="32"/>
            </w:rPr>
            <w:t>)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表13：2021年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一般公共预算收支预算表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表14：2021年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一般公共预算本级支出预算表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ind w:left="1050" w:hanging="1050" w:hangingChars="350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表15：2021年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一般公共预算本级支出预算表（按功能分类科目的基本支出和项目支出）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ind w:left="1050" w:hanging="1050" w:hangingChars="350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表16：2021年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一般公共预算本级基本支出预算表（按经济分类科目）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rPr>
              <w:rFonts w:ascii="方正仿宋_GBK" w:hAnsi="宋体" w:eastAsia="方正仿宋_GBK" w:cs="宋体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kern w:val="0"/>
              <w:sz w:val="30"/>
              <w:szCs w:val="30"/>
            </w:rPr>
            <w:t>表17：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一般公共预算转移支付收支预算表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表18：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一般公共预算转移支付支出预算表（分地区）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eastAsia="方正仿宋_GBK"/>
              <w:b/>
              <w:bCs/>
              <w:lang w:val="zh-CN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表19：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spacing w:val="-20"/>
              <w:kern w:val="0"/>
              <w:sz w:val="30"/>
              <w:szCs w:val="30"/>
            </w:rPr>
            <w:t>一般公共预算转移支付支出预算表（分项目）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eastAsia="方正仿宋_GBK"/>
              <w:b/>
              <w:bCs/>
              <w:lang w:val="zh-CN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表20：2021年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政府性基金预算收支预算表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eastAsia="方正仿宋_GBK"/>
              <w:b/>
              <w:bCs/>
              <w:lang w:val="zh-CN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表21：2021年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政府性基金预算本级支出预算表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表22：2021年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政府性基金预算转移支付收支预算表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表23：2021年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国有资本经营预算收支预算表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eastAsia="方正仿宋_GBK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表24：2021年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社会保险基金</w:t>
          </w:r>
          <w:r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  <w:t>收入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预算表</w:t>
          </w:r>
          <w:r>
            <w:rPr>
              <w:rFonts w:ascii="方正仿宋_GBK" w:eastAsia="方正仿宋_GBK"/>
            </w:rPr>
            <w:t xml:space="preserve"> </w:t>
          </w:r>
        </w:p>
        <w:p>
          <w:pPr>
            <w:widowControl/>
            <w:spacing w:line="580" w:lineRule="exact"/>
            <w:jc w:val="left"/>
            <w:rPr>
              <w:rFonts w:ascii="方正仿宋_GBK" w:eastAsia="方正仿宋_GBK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表2</w:t>
          </w:r>
          <w:r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  <w:t>5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社会保险基金支出预算表</w:t>
          </w:r>
        </w:p>
        <w:p>
          <w:pPr>
            <w:widowControl/>
            <w:spacing w:line="580" w:lineRule="exact"/>
            <w:jc w:val="left"/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</w:pP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表2</w:t>
          </w:r>
          <w:r>
            <w:rPr>
              <w:rFonts w:ascii="方正仿宋_GBK" w:hAnsi="宋体" w:eastAsia="方正仿宋_GBK" w:cs="宋体"/>
              <w:color w:val="000000"/>
              <w:kern w:val="0"/>
              <w:sz w:val="30"/>
              <w:szCs w:val="30"/>
            </w:rPr>
            <w:t>6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：2021年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val="en-US" w:eastAsia="zh-CN"/>
            </w:rPr>
            <w:t>柳荫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  <w:lang w:eastAsia="zh-CN"/>
            </w:rPr>
            <w:t>镇</w:t>
          </w:r>
          <w:r>
            <w:rPr>
              <w:rFonts w:hint="eastAsia" w:ascii="方正仿宋_GBK" w:hAnsi="宋体" w:eastAsia="方正仿宋_GBK" w:cs="宋体"/>
              <w:color w:val="000000"/>
              <w:kern w:val="0"/>
              <w:sz w:val="30"/>
              <w:szCs w:val="30"/>
            </w:rPr>
            <w:t>社会保险基金结余预算表</w:t>
          </w:r>
        </w:p>
      </w:sdtContent>
    </w:sdt>
    <w:p>
      <w:bookmarkStart w:id="0" w:name="_GoBack"/>
      <w:bookmarkEnd w:id="0"/>
    </w:p>
    <w:sectPr>
      <w:footerReference r:id="rId3" w:type="default"/>
      <w:pgSz w:w="11906" w:h="16838"/>
      <w:pgMar w:top="1361" w:right="1701" w:bottom="1304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3622B"/>
    <w:rsid w:val="4F03622B"/>
    <w:rsid w:val="70A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2021-04-09T11:29:00Z</dcterms:created>
  <dc:creator>Administrator</dc:creator>
  <cp:lastModifiedBy>Administrator</cp:lastModifiedBy>
  <dcterms:modified xsi:type="dcterms:W3CDTF">2021-04-09T11:31:49Z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