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color w:val="auto"/>
          <w:sz w:val="44"/>
          <w:szCs w:val="44"/>
          <w:highlight w:val="none"/>
        </w:rPr>
      </w:pPr>
      <w:r>
        <w:rPr>
          <w:rFonts w:hint="eastAsia" w:ascii="宋体" w:hAnsi="宋体"/>
          <w:color w:val="auto"/>
          <w:sz w:val="44"/>
          <w:szCs w:val="44"/>
          <w:highlight w:val="none"/>
        </w:rPr>
        <w:t>第一部分 合同协议书</w:t>
      </w:r>
    </w:p>
    <w:p>
      <w:pPr>
        <w:pStyle w:val="10"/>
        <w:snapToGrid w:val="0"/>
        <w:spacing w:before="0" w:line="360" w:lineRule="auto"/>
        <w:ind w:firstLine="562" w:firstLineChars="200"/>
        <w:rPr>
          <w:rFonts w:ascii="宋体" w:hAnsi="宋体"/>
          <w:color w:val="auto"/>
          <w:highlight w:val="none"/>
        </w:rPr>
      </w:pPr>
    </w:p>
    <w:p>
      <w:pPr>
        <w:pStyle w:val="10"/>
        <w:snapToGrid w:val="0"/>
        <w:spacing w:before="0" w:line="360" w:lineRule="auto"/>
        <w:ind w:firstLine="480" w:firstLineChars="200"/>
        <w:rPr>
          <w:rFonts w:ascii="宋体" w:hAnsi="宋体"/>
          <w:b w:val="0"/>
          <w:i/>
          <w:color w:val="auto"/>
          <w:sz w:val="24"/>
          <w:szCs w:val="24"/>
          <w:highlight w:val="none"/>
        </w:rPr>
      </w:pPr>
      <w:bookmarkStart w:id="0" w:name="_Toc28182"/>
      <w:bookmarkStart w:id="1" w:name="_Toc9255"/>
      <w:r>
        <w:rPr>
          <w:rFonts w:ascii="宋体" w:hAnsi="宋体"/>
          <w:b w:val="0"/>
          <w:i/>
          <w:color w:val="auto"/>
          <w:sz w:val="24"/>
          <w:szCs w:val="24"/>
          <w:highlight w:val="none"/>
        </w:rPr>
        <w:t>[提示</w:t>
      </w:r>
      <w:r>
        <w:rPr>
          <w:rFonts w:hint="eastAsia" w:ascii="宋体" w:hAnsi="宋体"/>
          <w:b w:val="0"/>
          <w:i/>
          <w:color w:val="auto"/>
          <w:sz w:val="24"/>
          <w:szCs w:val="24"/>
          <w:highlight w:val="none"/>
        </w:rPr>
        <w:t>：</w:t>
      </w:r>
      <w:r>
        <w:rPr>
          <w:rFonts w:ascii="宋体" w:hAnsi="宋体"/>
          <w:b w:val="0"/>
          <w:i/>
          <w:color w:val="auto"/>
          <w:sz w:val="21"/>
          <w:szCs w:val="21"/>
          <w:highlight w:val="none"/>
        </w:rPr>
        <w:t>合同协议书为示范性内容，招标人在编制招标文件时不必填写，供中标后签订合同时填写。</w:t>
      </w:r>
      <w:bookmarkEnd w:id="0"/>
      <w:bookmarkEnd w:id="1"/>
      <w:r>
        <w:rPr>
          <w:rFonts w:ascii="宋体" w:hAnsi="宋体"/>
          <w:b w:val="0"/>
          <w:i/>
          <w:color w:val="auto"/>
          <w:sz w:val="24"/>
          <w:szCs w:val="24"/>
          <w:highlight w:val="none"/>
        </w:rPr>
        <w:t>]</w:t>
      </w:r>
    </w:p>
    <w:p>
      <w:pPr>
        <w:rPr>
          <w:rFonts w:ascii="宋体" w:hAnsi="宋体"/>
          <w:b/>
          <w:color w:val="auto"/>
          <w:highlight w:val="none"/>
        </w:rPr>
      </w:pPr>
      <w:r>
        <w:rPr>
          <w:rFonts w:ascii="宋体" w:hAnsi="宋体"/>
          <w:color w:val="auto"/>
          <w:highlight w:val="none"/>
        </w:rPr>
        <mc:AlternateContent>
          <mc:Choice Requires="wps">
            <w:drawing>
              <wp:anchor distT="0" distB="0" distL="114300" distR="114300" simplePos="0" relativeHeight="251659264" behindDoc="0" locked="0" layoutInCell="1" allowOverlap="1">
                <wp:simplePos x="0" y="0"/>
                <wp:positionH relativeFrom="column">
                  <wp:posOffset>2691130</wp:posOffset>
                </wp:positionH>
                <wp:positionV relativeFrom="paragraph">
                  <wp:posOffset>8717280</wp:posOffset>
                </wp:positionV>
                <wp:extent cx="807720" cy="693420"/>
                <wp:effectExtent l="0" t="0" r="11430" b="11430"/>
                <wp:wrapNone/>
                <wp:docPr id="110" name="矩形 130"/>
                <wp:cNvGraphicFramePr/>
                <a:graphic xmlns:a="http://schemas.openxmlformats.org/drawingml/2006/main">
                  <a:graphicData uri="http://schemas.microsoft.com/office/word/2010/wordprocessingShape">
                    <wps:wsp>
                      <wps:cNvSpPr>
                        <a:spLocks noChangeArrowheads="1"/>
                      </wps:cNvSpPr>
                      <wps:spPr bwMode="auto">
                        <a:xfrm>
                          <a:off x="0" y="0"/>
                          <a:ext cx="807720" cy="693420"/>
                        </a:xfrm>
                        <a:prstGeom prst="rect">
                          <a:avLst/>
                        </a:prstGeom>
                        <a:solidFill>
                          <a:srgbClr val="FFFFFF"/>
                        </a:solidFill>
                        <a:ln>
                          <a:noFill/>
                        </a:ln>
                        <a:effectLst/>
                      </wps:spPr>
                      <wps:txbx>
                        <w:txbxContent>
                          <w:p/>
                        </w:txbxContent>
                      </wps:txbx>
                      <wps:bodyPr rot="0" vert="horz" wrap="square" lIns="91440" tIns="45720" rIns="91440" bIns="45720" anchor="t" anchorCtr="0" upright="1">
                        <a:noAutofit/>
                      </wps:bodyPr>
                    </wps:wsp>
                  </a:graphicData>
                </a:graphic>
              </wp:anchor>
            </w:drawing>
          </mc:Choice>
          <mc:Fallback>
            <w:pict>
              <v:rect id="矩形 130" o:spid="_x0000_s1026" o:spt="1" style="position:absolute;left:0pt;margin-left:211.9pt;margin-top:686.4pt;height:54.6pt;width:63.6pt;z-index:251659264;mso-width-relative:page;mso-height-relative:page;" fillcolor="#FFFFFF" filled="t" stroked="f" coordsize="21600,21600" o:gfxdata="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PPXnd9kAAAANAQAADwAAAAAAAAABACAAAAAiAAAAZHJzL2Rvd25yZXYueG1sUEsBAhQAFAAAAAgA&#10;h07iQG38y2ckAgAAQgQAAA4AAAAAAAAAAQAgAAAAKAEAAGRycy9lMm9Eb2MueG1sUEsFBgAAAAAG&#10;AAYAWQEAAL4FAAAAAA==&#10;">
                <v:fill on="t" focussize="0,0"/>
                <v:stroke on="f"/>
                <v:imagedata o:title=""/>
                <o:lock v:ext="edit" aspectratio="f"/>
                <v:textbox>
                  <w:txbxContent>
                    <w:p/>
                  </w:txbxContent>
                </v:textbox>
              </v:rect>
            </w:pict>
          </mc:Fallback>
        </mc:AlternateContent>
      </w:r>
      <w:r>
        <w:rPr>
          <w:rFonts w:ascii="宋体" w:hAnsi="宋体"/>
          <w:color w:val="auto"/>
          <w:highlight w:val="none"/>
        </w:rPr>
        <w:br w:type="page"/>
      </w:r>
    </w:p>
    <w:p>
      <w:pPr>
        <w:pStyle w:val="4"/>
        <w:jc w:val="center"/>
        <w:rPr>
          <w:rFonts w:ascii="宋体" w:hAnsi="宋体"/>
          <w:b w:val="0"/>
          <w:color w:val="auto"/>
          <w:sz w:val="44"/>
          <w:szCs w:val="44"/>
          <w:highlight w:val="none"/>
        </w:rPr>
      </w:pPr>
      <w:bookmarkStart w:id="2" w:name="_Toc12845"/>
      <w:bookmarkStart w:id="3" w:name="_Toc57905907"/>
      <w:bookmarkStart w:id="4" w:name="_Toc509218786"/>
      <w:bookmarkStart w:id="5" w:name="_Toc534185765"/>
      <w:bookmarkStart w:id="6" w:name="_Toc351203494"/>
      <w:r>
        <w:rPr>
          <w:rFonts w:ascii="宋体" w:hAnsi="宋体"/>
          <w:color w:val="auto"/>
          <w:sz w:val="44"/>
          <w:szCs w:val="44"/>
          <w:highlight w:val="none"/>
        </w:rPr>
        <w:t>第一部分 合同协议书</w:t>
      </w:r>
      <w:bookmarkEnd w:id="2"/>
      <w:bookmarkEnd w:id="3"/>
      <w:bookmarkEnd w:id="4"/>
      <w:bookmarkEnd w:id="5"/>
    </w:p>
    <w:bookmarkEnd w:id="6"/>
    <w:p>
      <w:pPr>
        <w:snapToGrid w:val="0"/>
        <w:spacing w:line="600" w:lineRule="exact"/>
        <w:ind w:firstLine="480" w:firstLineChars="200"/>
        <w:rPr>
          <w:rFonts w:ascii="宋体" w:hAnsi="宋体"/>
          <w:color w:val="auto"/>
          <w:sz w:val="24"/>
          <w:highlight w:val="none"/>
        </w:rPr>
      </w:pPr>
    </w:p>
    <w:p>
      <w:pPr>
        <w:snapToGrid w:val="0"/>
        <w:spacing w:line="360" w:lineRule="auto"/>
        <w:ind w:firstLine="422" w:firstLineChars="200"/>
        <w:rPr>
          <w:rFonts w:ascii="宋体" w:hAnsi="宋体"/>
          <w:b/>
          <w:color w:val="auto"/>
          <w:szCs w:val="21"/>
          <w:highlight w:val="none"/>
          <w:u w:val="single"/>
        </w:rPr>
      </w:pPr>
      <w:r>
        <w:rPr>
          <w:rFonts w:hint="eastAsia" w:ascii="宋体" w:hAnsi="宋体"/>
          <w:b/>
          <w:color w:val="auto"/>
          <w:szCs w:val="21"/>
          <w:highlight w:val="none"/>
        </w:rPr>
        <w:t>发包人（全称）：</w:t>
      </w:r>
      <w:r>
        <w:rPr>
          <w:rFonts w:hint="eastAsia" w:ascii="宋体" w:hAnsi="宋体"/>
          <w:color w:val="auto"/>
          <w:szCs w:val="21"/>
          <w:highlight w:val="none"/>
          <w:u w:val="single"/>
        </w:rPr>
        <w:t xml:space="preserve">                             </w:t>
      </w:r>
    </w:p>
    <w:p>
      <w:pPr>
        <w:snapToGrid w:val="0"/>
        <w:spacing w:line="360" w:lineRule="auto"/>
        <w:ind w:firstLine="422" w:firstLineChars="200"/>
        <w:rPr>
          <w:rFonts w:ascii="宋体" w:hAnsi="宋体"/>
          <w:b/>
          <w:color w:val="auto"/>
          <w:szCs w:val="21"/>
          <w:highlight w:val="none"/>
          <w:u w:val="single"/>
        </w:rPr>
      </w:pPr>
      <w:r>
        <w:rPr>
          <w:rFonts w:hint="eastAsia" w:ascii="宋体" w:hAnsi="宋体"/>
          <w:b/>
          <w:color w:val="auto"/>
          <w:szCs w:val="21"/>
          <w:highlight w:val="none"/>
        </w:rPr>
        <w:t>承包人（全称）：</w:t>
      </w:r>
      <w:r>
        <w:rPr>
          <w:rFonts w:hint="eastAsia" w:ascii="宋体" w:hAnsi="宋体"/>
          <w:color w:val="auto"/>
          <w:szCs w:val="21"/>
          <w:highlight w:val="none"/>
          <w:u w:val="single"/>
        </w:rPr>
        <w:t xml:space="preserve">                             </w:t>
      </w:r>
    </w:p>
    <w:p>
      <w:pPr>
        <w:spacing w:line="360" w:lineRule="auto"/>
        <w:ind w:firstLine="420" w:firstLineChars="200"/>
        <w:rPr>
          <w:rFonts w:ascii="宋体" w:hAnsi="宋体"/>
          <w:b/>
          <w:color w:val="auto"/>
          <w:szCs w:val="21"/>
          <w:highlight w:val="none"/>
          <w:u w:val="single"/>
        </w:rPr>
      </w:pPr>
      <w:r>
        <w:rPr>
          <w:rFonts w:hint="eastAsia" w:ascii="宋体" w:hAnsi="宋体"/>
          <w:color w:val="auto"/>
          <w:szCs w:val="21"/>
          <w:highlight w:val="none"/>
        </w:rPr>
        <w:t>根据《中华人民共和国民法典》、《中华人民共和国建筑法》及有关法律、法规规定，遵循平等、自愿、公平和诚实信用的原则，双方就</w:t>
      </w:r>
      <w:r>
        <w:rPr>
          <w:rFonts w:hint="eastAsia" w:ascii="宋体" w:hAnsi="宋体"/>
          <w:color w:val="auto"/>
          <w:szCs w:val="21"/>
          <w:highlight w:val="none"/>
          <w:u w:val="single"/>
        </w:rPr>
        <w:t xml:space="preserve">                           </w:t>
      </w:r>
      <w:r>
        <w:rPr>
          <w:rFonts w:hint="eastAsia" w:ascii="宋体" w:hAnsi="宋体"/>
          <w:color w:val="auto"/>
          <w:szCs w:val="21"/>
          <w:highlight w:val="none"/>
        </w:rPr>
        <w:t>工程施工及有关事项协商一致，共同达成如下协议：</w:t>
      </w:r>
    </w:p>
    <w:p>
      <w:pPr>
        <w:pStyle w:val="5"/>
        <w:keepNext/>
        <w:keepLines/>
        <w:spacing w:before="120" w:after="120" w:line="360" w:lineRule="auto"/>
        <w:ind w:firstLine="422" w:firstLineChars="200"/>
        <w:jc w:val="both"/>
        <w:rPr>
          <w:color w:val="auto"/>
          <w:kern w:val="2"/>
          <w:sz w:val="21"/>
          <w:szCs w:val="21"/>
          <w:highlight w:val="none"/>
        </w:rPr>
      </w:pPr>
      <w:bookmarkStart w:id="7" w:name="_Toc532375573"/>
      <w:bookmarkStart w:id="8" w:name="_Toc532377166"/>
      <w:bookmarkStart w:id="9" w:name="_Toc351203481"/>
      <w:r>
        <w:rPr>
          <w:rFonts w:hint="eastAsia"/>
          <w:color w:val="auto"/>
          <w:kern w:val="2"/>
          <w:sz w:val="21"/>
          <w:szCs w:val="21"/>
          <w:highlight w:val="none"/>
        </w:rPr>
        <w:t>一、工程概况</w:t>
      </w:r>
      <w:bookmarkEnd w:id="7"/>
      <w:bookmarkEnd w:id="8"/>
      <w:bookmarkEnd w:id="9"/>
    </w:p>
    <w:p>
      <w:pPr>
        <w:snapToGrid w:val="0"/>
        <w:spacing w:line="360" w:lineRule="auto"/>
        <w:ind w:firstLine="420" w:firstLineChars="200"/>
        <w:rPr>
          <w:rFonts w:ascii="宋体" w:hAnsi="宋体"/>
          <w:color w:val="auto"/>
          <w:szCs w:val="21"/>
          <w:highlight w:val="none"/>
          <w:u w:val="single"/>
        </w:rPr>
      </w:pPr>
      <w:r>
        <w:rPr>
          <w:rFonts w:hint="eastAsia" w:ascii="宋体" w:hAnsi="宋体"/>
          <w:bCs/>
          <w:color w:val="auto"/>
          <w:szCs w:val="21"/>
          <w:highlight w:val="none"/>
        </w:rPr>
        <w:t>1.工程名称</w:t>
      </w:r>
      <w:r>
        <w:rPr>
          <w:rFonts w:hint="eastAsia" w:ascii="宋体" w:hAnsi="宋体"/>
          <w:color w:val="auto"/>
          <w:szCs w:val="21"/>
          <w:highlight w:val="none"/>
        </w:rPr>
        <w:t>：</w:t>
      </w:r>
      <w:r>
        <w:rPr>
          <w:rFonts w:hint="eastAsia" w:ascii="宋体" w:hAnsi="宋体"/>
          <w:color w:val="auto"/>
          <w:szCs w:val="21"/>
          <w:highlight w:val="none"/>
          <w:u w:val="single"/>
        </w:rPr>
        <w:t xml:space="preserve">                                 </w:t>
      </w:r>
      <w:r>
        <w:rPr>
          <w:rFonts w:hint="eastAsia" w:ascii="宋体" w:hAnsi="宋体"/>
          <w:color w:val="auto"/>
          <w:szCs w:val="21"/>
          <w:highlight w:val="none"/>
        </w:rPr>
        <w:t>。</w:t>
      </w:r>
    </w:p>
    <w:p>
      <w:pPr>
        <w:snapToGrid w:val="0"/>
        <w:spacing w:line="360" w:lineRule="auto"/>
        <w:ind w:firstLine="420" w:firstLineChars="200"/>
        <w:rPr>
          <w:rFonts w:ascii="宋体" w:hAnsi="宋体"/>
          <w:bCs/>
          <w:color w:val="auto"/>
          <w:szCs w:val="21"/>
          <w:highlight w:val="none"/>
        </w:rPr>
      </w:pPr>
      <w:r>
        <w:rPr>
          <w:rFonts w:hint="eastAsia" w:ascii="宋体" w:hAnsi="宋体"/>
          <w:bCs/>
          <w:color w:val="auto"/>
          <w:szCs w:val="21"/>
          <w:highlight w:val="none"/>
        </w:rPr>
        <w:t>2.工程地点：</w:t>
      </w:r>
      <w:r>
        <w:rPr>
          <w:rFonts w:hint="eastAsia" w:ascii="宋体" w:hAnsi="宋体"/>
          <w:color w:val="auto"/>
          <w:szCs w:val="21"/>
          <w:highlight w:val="none"/>
          <w:u w:val="single"/>
        </w:rPr>
        <w:t xml:space="preserve">                                 </w:t>
      </w:r>
      <w:r>
        <w:rPr>
          <w:rFonts w:hint="eastAsia" w:ascii="宋体" w:hAnsi="宋体"/>
          <w:color w:val="auto"/>
          <w:szCs w:val="21"/>
          <w:highlight w:val="none"/>
        </w:rPr>
        <w:t>。</w:t>
      </w:r>
    </w:p>
    <w:p>
      <w:pPr>
        <w:snapToGrid w:val="0"/>
        <w:spacing w:line="360" w:lineRule="auto"/>
        <w:ind w:firstLine="420" w:firstLineChars="200"/>
        <w:rPr>
          <w:rFonts w:ascii="宋体" w:hAnsi="宋体"/>
          <w:bCs/>
          <w:color w:val="auto"/>
          <w:szCs w:val="21"/>
          <w:highlight w:val="none"/>
        </w:rPr>
      </w:pPr>
      <w:r>
        <w:rPr>
          <w:rFonts w:hint="eastAsia" w:ascii="宋体" w:hAnsi="宋体"/>
          <w:bCs/>
          <w:color w:val="auto"/>
          <w:szCs w:val="21"/>
          <w:highlight w:val="none"/>
        </w:rPr>
        <w:t>3.工程立项批准文号：</w:t>
      </w:r>
      <w:r>
        <w:rPr>
          <w:rFonts w:hint="eastAsia" w:ascii="宋体" w:hAnsi="宋体"/>
          <w:color w:val="auto"/>
          <w:szCs w:val="21"/>
          <w:highlight w:val="none"/>
          <w:u w:val="single"/>
        </w:rPr>
        <w:t xml:space="preserve">                        </w:t>
      </w:r>
      <w:r>
        <w:rPr>
          <w:rFonts w:hint="eastAsia" w:ascii="宋体" w:hAnsi="宋体"/>
          <w:bCs/>
          <w:color w:val="auto"/>
          <w:szCs w:val="21"/>
          <w:highlight w:val="none"/>
        </w:rPr>
        <w:t>。</w:t>
      </w:r>
    </w:p>
    <w:p>
      <w:pPr>
        <w:snapToGrid w:val="0"/>
        <w:spacing w:line="360" w:lineRule="auto"/>
        <w:ind w:firstLine="420" w:firstLineChars="200"/>
        <w:rPr>
          <w:rFonts w:ascii="宋体" w:hAnsi="宋体"/>
          <w:bCs/>
          <w:color w:val="auto"/>
          <w:szCs w:val="21"/>
          <w:highlight w:val="none"/>
        </w:rPr>
      </w:pPr>
      <w:r>
        <w:rPr>
          <w:rFonts w:hint="eastAsia" w:ascii="宋体" w:hAnsi="宋体"/>
          <w:bCs/>
          <w:color w:val="auto"/>
          <w:szCs w:val="21"/>
          <w:highlight w:val="none"/>
        </w:rPr>
        <w:t>4.资金来源：</w:t>
      </w:r>
      <w:r>
        <w:rPr>
          <w:rFonts w:hint="eastAsia" w:ascii="宋体" w:hAnsi="宋体"/>
          <w:color w:val="auto"/>
          <w:szCs w:val="21"/>
          <w:highlight w:val="none"/>
          <w:u w:val="single"/>
        </w:rPr>
        <w:t xml:space="preserve">                                 </w:t>
      </w:r>
      <w:r>
        <w:rPr>
          <w:rFonts w:hint="eastAsia" w:ascii="宋体" w:hAnsi="宋体"/>
          <w:color w:val="auto"/>
          <w:szCs w:val="21"/>
          <w:highlight w:val="none"/>
        </w:rPr>
        <w:t>。</w:t>
      </w:r>
    </w:p>
    <w:p>
      <w:pPr>
        <w:snapToGrid w:val="0"/>
        <w:spacing w:line="360" w:lineRule="auto"/>
        <w:ind w:firstLine="420" w:firstLineChars="200"/>
        <w:rPr>
          <w:rFonts w:ascii="宋体" w:hAnsi="宋体"/>
          <w:bCs/>
          <w:color w:val="auto"/>
          <w:szCs w:val="21"/>
          <w:highlight w:val="none"/>
        </w:rPr>
      </w:pPr>
      <w:r>
        <w:rPr>
          <w:rFonts w:hint="eastAsia" w:ascii="宋体" w:hAnsi="宋体"/>
          <w:bCs/>
          <w:color w:val="auto"/>
          <w:szCs w:val="21"/>
          <w:highlight w:val="none"/>
        </w:rPr>
        <w:t>5.工程内容：</w:t>
      </w:r>
      <w:r>
        <w:rPr>
          <w:rFonts w:hint="eastAsia" w:ascii="宋体" w:hAnsi="宋体"/>
          <w:color w:val="auto"/>
          <w:szCs w:val="21"/>
          <w:highlight w:val="none"/>
          <w:u w:val="single"/>
        </w:rPr>
        <w:t xml:space="preserve">                                 </w:t>
      </w:r>
      <w:r>
        <w:rPr>
          <w:rFonts w:hint="eastAsia" w:ascii="宋体" w:hAnsi="宋体"/>
          <w:color w:val="auto"/>
          <w:szCs w:val="21"/>
          <w:highlight w:val="none"/>
        </w:rPr>
        <w:t>。</w:t>
      </w:r>
    </w:p>
    <w:p>
      <w:pPr>
        <w:snapToGrid w:val="0"/>
        <w:spacing w:line="360" w:lineRule="auto"/>
        <w:ind w:firstLine="420" w:firstLineChars="200"/>
        <w:jc w:val="left"/>
        <w:rPr>
          <w:rFonts w:ascii="宋体" w:hAnsi="宋体"/>
          <w:bCs/>
          <w:color w:val="auto"/>
          <w:szCs w:val="21"/>
          <w:highlight w:val="none"/>
        </w:rPr>
      </w:pPr>
      <w:r>
        <w:rPr>
          <w:rFonts w:hint="eastAsia" w:ascii="宋体" w:hAnsi="宋体"/>
          <w:bCs/>
          <w:color w:val="auto"/>
          <w:szCs w:val="21"/>
          <w:highlight w:val="none"/>
        </w:rPr>
        <w:t>6.工程承包范围：</w:t>
      </w:r>
      <w:r>
        <w:rPr>
          <w:rFonts w:hint="eastAsia" w:ascii="宋体" w:hAnsi="宋体"/>
          <w:color w:val="auto"/>
          <w:szCs w:val="21"/>
          <w:highlight w:val="none"/>
          <w:u w:val="single"/>
        </w:rPr>
        <w:t xml:space="preserve">                     </w:t>
      </w:r>
      <w:r>
        <w:rPr>
          <w:rFonts w:hint="eastAsia" w:ascii="宋体" w:hAnsi="宋体"/>
          <w:color w:val="auto"/>
          <w:szCs w:val="21"/>
          <w:highlight w:val="none"/>
        </w:rPr>
        <w:t>。</w:t>
      </w:r>
    </w:p>
    <w:p>
      <w:pPr>
        <w:pStyle w:val="5"/>
        <w:keepNext/>
        <w:keepLines/>
        <w:spacing w:before="120" w:after="120" w:line="360" w:lineRule="auto"/>
        <w:ind w:firstLine="422" w:firstLineChars="200"/>
        <w:jc w:val="both"/>
        <w:rPr>
          <w:color w:val="auto"/>
          <w:kern w:val="2"/>
          <w:sz w:val="21"/>
          <w:szCs w:val="21"/>
          <w:highlight w:val="none"/>
        </w:rPr>
      </w:pPr>
      <w:bookmarkStart w:id="10" w:name="_Toc532377167"/>
      <w:bookmarkStart w:id="11" w:name="_Toc532375574"/>
      <w:bookmarkStart w:id="12" w:name="_Toc351203482"/>
      <w:r>
        <w:rPr>
          <w:rFonts w:hint="eastAsia"/>
          <w:color w:val="auto"/>
          <w:kern w:val="2"/>
          <w:sz w:val="21"/>
          <w:szCs w:val="21"/>
          <w:highlight w:val="none"/>
        </w:rPr>
        <w:t>二、合同工期</w:t>
      </w:r>
      <w:bookmarkEnd w:id="10"/>
      <w:bookmarkEnd w:id="11"/>
      <w:bookmarkEnd w:id="12"/>
    </w:p>
    <w:p>
      <w:pPr>
        <w:spacing w:line="360" w:lineRule="auto"/>
        <w:ind w:firstLine="420" w:firstLineChars="200"/>
        <w:rPr>
          <w:rFonts w:hint="eastAsia" w:ascii="宋体" w:hAnsi="宋体"/>
          <w:bCs/>
          <w:color w:val="auto"/>
          <w:szCs w:val="21"/>
          <w:highlight w:val="none"/>
        </w:rPr>
      </w:pPr>
      <w:r>
        <w:rPr>
          <w:rFonts w:hint="eastAsia" w:ascii="宋体" w:hAnsi="宋体"/>
          <w:bCs/>
          <w:color w:val="auto"/>
          <w:szCs w:val="21"/>
          <w:highlight w:val="none"/>
        </w:rPr>
        <w:t>承包人投标函中承诺的工期：</w:t>
      </w:r>
      <w:r>
        <w:rPr>
          <w:rFonts w:hint="eastAsia" w:ascii="宋体" w:hAnsi="宋体"/>
          <w:bCs/>
          <w:color w:val="auto"/>
          <w:szCs w:val="21"/>
          <w:highlight w:val="none"/>
          <w:u w:val="single"/>
        </w:rPr>
        <w:t>日历天</w:t>
      </w:r>
      <w:r>
        <w:rPr>
          <w:rFonts w:hint="eastAsia" w:ascii="宋体" w:hAnsi="宋体"/>
          <w:bCs/>
          <w:color w:val="auto"/>
          <w:szCs w:val="21"/>
          <w:highlight w:val="none"/>
        </w:rPr>
        <w:t>。</w:t>
      </w:r>
    </w:p>
    <w:p>
      <w:pPr>
        <w:spacing w:line="360" w:lineRule="auto"/>
        <w:ind w:firstLine="420" w:firstLineChars="200"/>
        <w:rPr>
          <w:rFonts w:ascii="宋体" w:hAnsi="宋体"/>
          <w:bCs/>
          <w:color w:val="auto"/>
          <w:szCs w:val="21"/>
          <w:highlight w:val="none"/>
        </w:rPr>
      </w:pPr>
      <w:r>
        <w:rPr>
          <w:rFonts w:hint="eastAsia" w:ascii="宋体" w:hAnsi="宋体"/>
          <w:bCs/>
          <w:color w:val="auto"/>
          <w:szCs w:val="21"/>
          <w:highlight w:val="none"/>
        </w:rPr>
        <w:t>计划开工日期：</w:t>
      </w:r>
      <w:r>
        <w:rPr>
          <w:rFonts w:hint="eastAsia" w:ascii="宋体" w:hAnsi="宋体"/>
          <w:bCs/>
          <w:color w:val="auto"/>
          <w:szCs w:val="21"/>
          <w:highlight w:val="none"/>
          <w:u w:val="single"/>
        </w:rPr>
        <w:t></w:t>
      </w:r>
      <w:r>
        <w:rPr>
          <w:rFonts w:hint="eastAsia" w:ascii="宋体" w:hAnsi="宋体"/>
          <w:bCs/>
          <w:color w:val="auto"/>
          <w:szCs w:val="21"/>
          <w:highlight w:val="none"/>
        </w:rPr>
        <w:t>年</w:t>
      </w:r>
      <w:r>
        <w:rPr>
          <w:rFonts w:hint="eastAsia" w:ascii="宋体" w:hAnsi="宋体"/>
          <w:bCs/>
          <w:color w:val="auto"/>
          <w:szCs w:val="21"/>
          <w:highlight w:val="none"/>
          <w:u w:val="single"/>
        </w:rPr>
        <w:t></w:t>
      </w:r>
      <w:r>
        <w:rPr>
          <w:rFonts w:hint="eastAsia" w:ascii="宋体" w:hAnsi="宋体"/>
          <w:bCs/>
          <w:color w:val="auto"/>
          <w:szCs w:val="21"/>
          <w:highlight w:val="none"/>
        </w:rPr>
        <w:t>月</w:t>
      </w:r>
      <w:r>
        <w:rPr>
          <w:rFonts w:hint="eastAsia" w:ascii="宋体" w:hAnsi="宋体"/>
          <w:bCs/>
          <w:color w:val="auto"/>
          <w:szCs w:val="21"/>
          <w:highlight w:val="none"/>
          <w:u w:val="single"/>
        </w:rPr>
        <w:t></w:t>
      </w:r>
      <w:r>
        <w:rPr>
          <w:rFonts w:hint="eastAsia" w:ascii="宋体" w:hAnsi="宋体"/>
          <w:bCs/>
          <w:color w:val="auto"/>
          <w:szCs w:val="21"/>
          <w:highlight w:val="none"/>
        </w:rPr>
        <w:t>日，实际开工日期以监理工程师签发的工程开工通知明确的开工日期为准。</w:t>
      </w:r>
    </w:p>
    <w:p>
      <w:pPr>
        <w:spacing w:line="360" w:lineRule="auto"/>
        <w:ind w:firstLine="420" w:firstLineChars="200"/>
        <w:rPr>
          <w:rFonts w:ascii="宋体" w:hAnsi="宋体"/>
          <w:bCs/>
          <w:color w:val="auto"/>
          <w:szCs w:val="21"/>
          <w:highlight w:val="none"/>
        </w:rPr>
      </w:pPr>
      <w:r>
        <w:rPr>
          <w:rFonts w:hint="eastAsia" w:ascii="宋体" w:hAnsi="宋体"/>
          <w:bCs/>
          <w:color w:val="auto"/>
          <w:szCs w:val="21"/>
          <w:highlight w:val="none"/>
        </w:rPr>
        <w:t>计划竣工日期：</w:t>
      </w:r>
      <w:r>
        <w:rPr>
          <w:rFonts w:hint="eastAsia" w:ascii="宋体" w:hAnsi="宋体"/>
          <w:bCs/>
          <w:color w:val="auto"/>
          <w:szCs w:val="21"/>
          <w:highlight w:val="none"/>
          <w:u w:val="single"/>
        </w:rPr>
        <w:t></w:t>
      </w:r>
      <w:r>
        <w:rPr>
          <w:rFonts w:hint="eastAsia" w:ascii="宋体" w:hAnsi="宋体"/>
          <w:bCs/>
          <w:color w:val="auto"/>
          <w:szCs w:val="21"/>
          <w:highlight w:val="none"/>
        </w:rPr>
        <w:t>年</w:t>
      </w:r>
      <w:r>
        <w:rPr>
          <w:rFonts w:hint="eastAsia" w:ascii="宋体" w:hAnsi="宋体"/>
          <w:bCs/>
          <w:color w:val="auto"/>
          <w:szCs w:val="21"/>
          <w:highlight w:val="none"/>
          <w:u w:val="single"/>
        </w:rPr>
        <w:t></w:t>
      </w:r>
      <w:r>
        <w:rPr>
          <w:rFonts w:hint="eastAsia" w:ascii="宋体" w:hAnsi="宋体"/>
          <w:bCs/>
          <w:color w:val="auto"/>
          <w:szCs w:val="21"/>
          <w:highlight w:val="none"/>
        </w:rPr>
        <w:t>月</w:t>
      </w:r>
      <w:r>
        <w:rPr>
          <w:rFonts w:hint="eastAsia" w:ascii="宋体" w:hAnsi="宋体"/>
          <w:bCs/>
          <w:color w:val="auto"/>
          <w:szCs w:val="21"/>
          <w:highlight w:val="none"/>
          <w:u w:val="single"/>
        </w:rPr>
        <w:t></w:t>
      </w:r>
      <w:r>
        <w:rPr>
          <w:rFonts w:hint="eastAsia" w:ascii="宋体" w:hAnsi="宋体"/>
          <w:bCs/>
          <w:color w:val="auto"/>
          <w:szCs w:val="21"/>
          <w:highlight w:val="none"/>
        </w:rPr>
        <w:t>日，实际竣工日期以工程竣工验收合格之日为准。</w:t>
      </w:r>
    </w:p>
    <w:p>
      <w:pPr>
        <w:spacing w:line="360" w:lineRule="auto"/>
        <w:ind w:firstLine="420" w:firstLineChars="200"/>
        <w:rPr>
          <w:rFonts w:ascii="宋体" w:hAnsi="宋体"/>
          <w:color w:val="auto"/>
          <w:szCs w:val="21"/>
          <w:highlight w:val="none"/>
        </w:rPr>
      </w:pPr>
      <w:r>
        <w:rPr>
          <w:rFonts w:hint="eastAsia" w:ascii="宋体" w:hAnsi="宋体"/>
          <w:bCs/>
          <w:color w:val="auto"/>
          <w:szCs w:val="21"/>
          <w:highlight w:val="none"/>
        </w:rPr>
        <w:t>工期总日历天数</w:t>
      </w:r>
      <w:r>
        <w:rPr>
          <w:rFonts w:hint="eastAsia" w:ascii="宋体" w:hAnsi="宋体"/>
          <w:bCs/>
          <w:color w:val="auto"/>
          <w:szCs w:val="21"/>
          <w:highlight w:val="none"/>
          <w:u w:val="single"/>
        </w:rPr>
        <w:t></w:t>
      </w:r>
      <w:r>
        <w:rPr>
          <w:rFonts w:hint="eastAsia" w:ascii="宋体" w:hAnsi="宋体"/>
          <w:bCs/>
          <w:color w:val="auto"/>
          <w:szCs w:val="21"/>
          <w:highlight w:val="none"/>
        </w:rPr>
        <w:t>天。工期总日历天数与根据前述计划开竣工日期计算的工期天数不一</w:t>
      </w:r>
      <w:r>
        <w:rPr>
          <w:rFonts w:hint="eastAsia" w:ascii="宋体" w:hAnsi="宋体"/>
          <w:color w:val="auto"/>
          <w:szCs w:val="21"/>
          <w:highlight w:val="none"/>
        </w:rPr>
        <w:t>致的，以工期总日历天数为准。</w:t>
      </w:r>
    </w:p>
    <w:p>
      <w:pPr>
        <w:pStyle w:val="5"/>
        <w:keepNext/>
        <w:keepLines/>
        <w:spacing w:before="120" w:after="120" w:line="360" w:lineRule="auto"/>
        <w:ind w:firstLine="422" w:firstLineChars="200"/>
        <w:jc w:val="both"/>
        <w:rPr>
          <w:color w:val="auto"/>
          <w:kern w:val="2"/>
          <w:sz w:val="21"/>
          <w:szCs w:val="21"/>
          <w:highlight w:val="none"/>
        </w:rPr>
      </w:pPr>
      <w:bookmarkStart w:id="13" w:name="_Toc351203483"/>
      <w:bookmarkStart w:id="14" w:name="_Toc532377168"/>
      <w:bookmarkStart w:id="15" w:name="_Toc532375575"/>
      <w:r>
        <w:rPr>
          <w:rFonts w:hint="eastAsia"/>
          <w:color w:val="auto"/>
          <w:kern w:val="2"/>
          <w:sz w:val="21"/>
          <w:szCs w:val="21"/>
          <w:highlight w:val="none"/>
        </w:rPr>
        <w:t>三、质量标准</w:t>
      </w:r>
      <w:bookmarkEnd w:id="13"/>
      <w:bookmarkEnd w:id="14"/>
      <w:bookmarkEnd w:id="15"/>
    </w:p>
    <w:p>
      <w:pPr>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工程质量符合</w:t>
      </w:r>
      <w:r>
        <w:rPr>
          <w:rFonts w:hint="eastAsia" w:ascii="宋体" w:hAnsi="宋体"/>
          <w:color w:val="auto"/>
          <w:szCs w:val="21"/>
          <w:highlight w:val="none"/>
          <w:u w:val="single"/>
        </w:rPr>
        <w:t>国家和重庆市现行有关施工质量验收规范和标准要求，并达到合格</w:t>
      </w:r>
      <w:r>
        <w:rPr>
          <w:rFonts w:hint="eastAsia" w:ascii="宋体" w:hAnsi="宋体"/>
          <w:color w:val="auto"/>
          <w:szCs w:val="21"/>
          <w:highlight w:val="none"/>
        </w:rPr>
        <w:t>标准。</w:t>
      </w:r>
    </w:p>
    <w:p>
      <w:pPr>
        <w:pStyle w:val="5"/>
        <w:keepNext/>
        <w:keepLines/>
        <w:spacing w:before="120" w:after="120" w:line="360" w:lineRule="auto"/>
        <w:ind w:firstLine="422" w:firstLineChars="200"/>
        <w:jc w:val="both"/>
        <w:rPr>
          <w:color w:val="auto"/>
          <w:kern w:val="2"/>
          <w:sz w:val="21"/>
          <w:szCs w:val="21"/>
          <w:highlight w:val="none"/>
        </w:rPr>
      </w:pPr>
      <w:bookmarkStart w:id="16" w:name="_Toc532375576"/>
      <w:bookmarkStart w:id="17" w:name="_Toc532377169"/>
      <w:bookmarkStart w:id="18" w:name="_Toc351203484"/>
      <w:r>
        <w:rPr>
          <w:rFonts w:hint="eastAsia"/>
          <w:color w:val="auto"/>
          <w:kern w:val="2"/>
          <w:sz w:val="21"/>
          <w:szCs w:val="21"/>
          <w:highlight w:val="none"/>
        </w:rPr>
        <w:t>四、签约合同价与合同价格形式</w:t>
      </w:r>
      <w:bookmarkEnd w:id="16"/>
      <w:bookmarkEnd w:id="17"/>
      <w:bookmarkEnd w:id="18"/>
      <w:r>
        <w:rPr>
          <w:rFonts w:hint="eastAsia"/>
          <w:color w:val="auto"/>
          <w:kern w:val="2"/>
          <w:sz w:val="21"/>
          <w:szCs w:val="21"/>
          <w:highlight w:val="none"/>
        </w:rPr>
        <w:tab/>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1.承包人投标函中承诺的中标价为：</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人民币（大写）</w:t>
      </w:r>
      <w:r>
        <w:rPr>
          <w:rFonts w:hint="eastAsia" w:ascii="宋体" w:hAnsi="宋体"/>
          <w:color w:val="auto"/>
          <w:szCs w:val="21"/>
          <w:highlight w:val="none"/>
          <w:u w:val="single"/>
        </w:rPr>
        <w:t xml:space="preserve">                  </w:t>
      </w:r>
      <w:r>
        <w:rPr>
          <w:rFonts w:hint="eastAsia" w:ascii="宋体" w:hAnsi="宋体"/>
          <w:color w:val="auto"/>
          <w:szCs w:val="21"/>
          <w:highlight w:val="none"/>
        </w:rPr>
        <w:t>（¥</w:t>
      </w:r>
      <w:r>
        <w:rPr>
          <w:rFonts w:hint="eastAsia" w:ascii="宋体" w:hAnsi="宋体"/>
          <w:color w:val="auto"/>
          <w:szCs w:val="21"/>
          <w:highlight w:val="none"/>
          <w:u w:val="single"/>
        </w:rPr>
        <w:t xml:space="preserve">            </w:t>
      </w:r>
      <w:r>
        <w:rPr>
          <w:rFonts w:hint="eastAsia" w:ascii="宋体" w:hAnsi="宋体"/>
          <w:color w:val="auto"/>
          <w:szCs w:val="21"/>
          <w:highlight w:val="none"/>
        </w:rPr>
        <w:t>元）；</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2.签约合同价为：</w:t>
      </w:r>
    </w:p>
    <w:p>
      <w:pPr>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人民币（大写）</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ascii="宋体" w:hAnsi="宋体"/>
          <w:color w:val="auto"/>
          <w:szCs w:val="21"/>
          <w:highlight w:val="none"/>
        </w:rPr>
        <w:t>（¥</w:t>
      </w:r>
      <w:r>
        <w:rPr>
          <w:rFonts w:ascii="宋体" w:hAnsi="宋体"/>
          <w:color w:val="auto"/>
          <w:szCs w:val="21"/>
          <w:highlight w:val="none"/>
          <w:u w:val="single"/>
        </w:rPr>
        <w:t xml:space="preserve">            </w:t>
      </w:r>
      <w:r>
        <w:rPr>
          <w:rFonts w:ascii="宋体" w:hAnsi="宋体"/>
          <w:color w:val="auto"/>
          <w:szCs w:val="21"/>
          <w:highlight w:val="none"/>
        </w:rPr>
        <w:t>元）</w:t>
      </w:r>
      <w:r>
        <w:rPr>
          <w:rFonts w:hint="eastAsia" w:ascii="宋体" w:hAnsi="宋体"/>
          <w:color w:val="auto"/>
          <w:szCs w:val="21"/>
          <w:highlight w:val="none"/>
        </w:rPr>
        <w:t>；</w:t>
      </w:r>
    </w:p>
    <w:p>
      <w:pPr>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其中：</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（1）安全文明施工费：</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人民币（大写）</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ascii="宋体" w:hAnsi="宋体"/>
          <w:color w:val="auto"/>
          <w:szCs w:val="21"/>
          <w:highlight w:val="none"/>
        </w:rPr>
        <w:t>（¥</w:t>
      </w:r>
      <w:r>
        <w:rPr>
          <w:rFonts w:ascii="宋体" w:hAnsi="宋体"/>
          <w:color w:val="auto"/>
          <w:szCs w:val="21"/>
          <w:highlight w:val="none"/>
          <w:u w:val="single"/>
        </w:rPr>
        <w:t xml:space="preserve">            </w:t>
      </w:r>
      <w:r>
        <w:rPr>
          <w:rFonts w:ascii="宋体" w:hAnsi="宋体"/>
          <w:color w:val="auto"/>
          <w:szCs w:val="21"/>
          <w:highlight w:val="none"/>
        </w:rPr>
        <w:t>元）</w:t>
      </w:r>
      <w:r>
        <w:rPr>
          <w:rFonts w:hint="eastAsia" w:ascii="宋体" w:hAnsi="宋体"/>
          <w:color w:val="auto"/>
          <w:szCs w:val="21"/>
          <w:highlight w:val="none"/>
        </w:rPr>
        <w:t>；</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（2）材料和工程设备暂估价金额：</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人民币（大写）</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ascii="宋体" w:hAnsi="宋体"/>
          <w:color w:val="auto"/>
          <w:szCs w:val="21"/>
          <w:highlight w:val="none"/>
        </w:rPr>
        <w:t>（¥</w:t>
      </w:r>
      <w:r>
        <w:rPr>
          <w:rFonts w:ascii="宋体" w:hAnsi="宋体"/>
          <w:color w:val="auto"/>
          <w:szCs w:val="21"/>
          <w:highlight w:val="none"/>
          <w:u w:val="single"/>
        </w:rPr>
        <w:t xml:space="preserve">            </w:t>
      </w:r>
      <w:r>
        <w:rPr>
          <w:rFonts w:ascii="宋体" w:hAnsi="宋体"/>
          <w:color w:val="auto"/>
          <w:szCs w:val="21"/>
          <w:highlight w:val="none"/>
        </w:rPr>
        <w:t>元）</w:t>
      </w:r>
      <w:r>
        <w:rPr>
          <w:rFonts w:hint="eastAsia" w:ascii="宋体" w:hAnsi="宋体"/>
          <w:color w:val="auto"/>
          <w:szCs w:val="21"/>
          <w:highlight w:val="none"/>
        </w:rPr>
        <w:t>；</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（3）专业工程暂估价金额：</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人民币（大写）</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ascii="宋体" w:hAnsi="宋体"/>
          <w:color w:val="auto"/>
          <w:szCs w:val="21"/>
          <w:highlight w:val="none"/>
        </w:rPr>
        <w:t>（¥</w:t>
      </w:r>
      <w:r>
        <w:rPr>
          <w:rFonts w:ascii="宋体" w:hAnsi="宋体"/>
          <w:color w:val="auto"/>
          <w:szCs w:val="21"/>
          <w:highlight w:val="none"/>
          <w:u w:val="single"/>
        </w:rPr>
        <w:t xml:space="preserve">            </w:t>
      </w:r>
      <w:r>
        <w:rPr>
          <w:rFonts w:ascii="宋体" w:hAnsi="宋体"/>
          <w:color w:val="auto"/>
          <w:szCs w:val="21"/>
          <w:highlight w:val="none"/>
        </w:rPr>
        <w:t>元）</w:t>
      </w:r>
      <w:r>
        <w:rPr>
          <w:rFonts w:hint="eastAsia" w:ascii="宋体" w:hAnsi="宋体"/>
          <w:color w:val="auto"/>
          <w:szCs w:val="21"/>
          <w:highlight w:val="none"/>
        </w:rPr>
        <w:t>；</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（4）暂列金额：</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人民币（大写）</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ascii="宋体" w:hAnsi="宋体"/>
          <w:color w:val="auto"/>
          <w:szCs w:val="21"/>
          <w:highlight w:val="none"/>
        </w:rPr>
        <w:t>（¥</w:t>
      </w:r>
      <w:r>
        <w:rPr>
          <w:rFonts w:ascii="宋体" w:hAnsi="宋体"/>
          <w:color w:val="auto"/>
          <w:szCs w:val="21"/>
          <w:highlight w:val="none"/>
          <w:u w:val="single"/>
        </w:rPr>
        <w:t xml:space="preserve">            </w:t>
      </w:r>
      <w:r>
        <w:rPr>
          <w:rFonts w:ascii="宋体" w:hAnsi="宋体"/>
          <w:color w:val="auto"/>
          <w:szCs w:val="21"/>
          <w:highlight w:val="none"/>
        </w:rPr>
        <w:t>元）</w:t>
      </w:r>
      <w:r>
        <w:rPr>
          <w:rFonts w:hint="eastAsia" w:ascii="宋体" w:hAnsi="宋体"/>
          <w:color w:val="auto"/>
          <w:szCs w:val="21"/>
          <w:highlight w:val="none"/>
        </w:rPr>
        <w:t>。</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（5）人工费（工资款）</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该项目实行人工费（工资款）与其他工程款分账管理，发包人将应付工程款中的人工费（工资款），以不低于已完成合同价款的</w:t>
      </w:r>
      <w:r>
        <w:rPr>
          <w:rFonts w:hint="eastAsia" w:ascii="宋体" w:hAnsi="宋体"/>
          <w:color w:val="auto"/>
          <w:szCs w:val="21"/>
          <w:highlight w:val="none"/>
          <w:u w:val="single"/>
        </w:rPr>
        <w:t xml:space="preserve">    </w:t>
      </w:r>
      <w:r>
        <w:rPr>
          <w:rFonts w:hint="eastAsia" w:ascii="宋体" w:hAnsi="宋体"/>
          <w:color w:val="auto"/>
          <w:szCs w:val="21"/>
          <w:highlight w:val="none"/>
        </w:rPr>
        <w:t>（不低于25%，以设备采购为主的工程项目不受此限制），农民工工资单独支付至承包人设立的农民工工资专用账户。</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3.合同价格形式：</w:t>
      </w:r>
      <w:r>
        <w:rPr>
          <w:rFonts w:ascii="宋体" w:hAnsi="宋体"/>
          <w:color w:val="auto"/>
          <w:szCs w:val="21"/>
          <w:highlight w:val="none"/>
          <w:u w:val="single"/>
        </w:rPr>
        <w:t xml:space="preserve">              </w:t>
      </w:r>
      <w:r>
        <w:rPr>
          <w:rFonts w:hint="eastAsia" w:ascii="宋体" w:hAnsi="宋体"/>
          <w:color w:val="auto"/>
          <w:szCs w:val="21"/>
          <w:highlight w:val="none"/>
        </w:rPr>
        <w:t>。</w:t>
      </w:r>
    </w:p>
    <w:p>
      <w:pPr>
        <w:pStyle w:val="5"/>
        <w:keepNext/>
        <w:keepLines/>
        <w:spacing w:before="120" w:after="120" w:line="360" w:lineRule="auto"/>
        <w:ind w:firstLine="422" w:firstLineChars="200"/>
        <w:jc w:val="both"/>
        <w:rPr>
          <w:color w:val="auto"/>
          <w:kern w:val="2"/>
          <w:sz w:val="21"/>
          <w:szCs w:val="21"/>
          <w:highlight w:val="none"/>
        </w:rPr>
      </w:pPr>
      <w:bookmarkStart w:id="19" w:name="_Toc351203485"/>
      <w:bookmarkStart w:id="20" w:name="_Toc532377170"/>
      <w:bookmarkStart w:id="21" w:name="_Toc532375577"/>
      <w:r>
        <w:rPr>
          <w:rFonts w:hint="eastAsia"/>
          <w:color w:val="auto"/>
          <w:kern w:val="2"/>
          <w:sz w:val="21"/>
          <w:szCs w:val="21"/>
          <w:highlight w:val="none"/>
        </w:rPr>
        <w:t>五、</w:t>
      </w:r>
      <w:bookmarkEnd w:id="19"/>
      <w:r>
        <w:rPr>
          <w:rFonts w:hint="eastAsia"/>
          <w:color w:val="auto"/>
          <w:kern w:val="2"/>
          <w:sz w:val="21"/>
          <w:szCs w:val="21"/>
          <w:highlight w:val="none"/>
        </w:rPr>
        <w:t>项目经理及技术负责人</w:t>
      </w:r>
      <w:bookmarkEnd w:id="20"/>
      <w:bookmarkEnd w:id="21"/>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承包人投标文件中承诺的项目经理：</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姓名：</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hint="eastAsia" w:ascii="宋体" w:hAnsi="宋体"/>
          <w:color w:val="auto"/>
          <w:szCs w:val="21"/>
          <w:highlight w:val="none"/>
        </w:rPr>
        <w:t>，</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身份证号码：</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hint="eastAsia" w:ascii="宋体" w:hAnsi="宋体"/>
          <w:color w:val="auto"/>
          <w:szCs w:val="21"/>
          <w:highlight w:val="none"/>
        </w:rPr>
        <w:t>，</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建造师</w:t>
      </w:r>
      <w:r>
        <w:rPr>
          <w:rFonts w:ascii="宋体" w:hAnsi="宋体"/>
          <w:color w:val="auto"/>
          <w:szCs w:val="21"/>
          <w:highlight w:val="none"/>
        </w:rPr>
        <w:t>注册证书号</w:t>
      </w:r>
      <w:r>
        <w:rPr>
          <w:rFonts w:hint="eastAsia" w:ascii="宋体" w:hAnsi="宋体"/>
          <w:color w:val="auto"/>
          <w:szCs w:val="21"/>
          <w:highlight w:val="none"/>
        </w:rPr>
        <w:t>：</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hint="eastAsia" w:ascii="宋体" w:hAnsi="宋体"/>
          <w:color w:val="auto"/>
          <w:szCs w:val="21"/>
          <w:highlight w:val="none"/>
        </w:rPr>
        <w:t>。</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承包人投标文件中承诺的技术负责人：</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姓名：</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hint="eastAsia" w:ascii="宋体" w:hAnsi="宋体"/>
          <w:color w:val="auto"/>
          <w:szCs w:val="21"/>
          <w:highlight w:val="none"/>
        </w:rPr>
        <w:t>，</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身份证号码：</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hint="eastAsia" w:ascii="宋体" w:hAnsi="宋体"/>
          <w:color w:val="auto"/>
          <w:szCs w:val="21"/>
          <w:highlight w:val="none"/>
        </w:rPr>
        <w:t>。</w:t>
      </w:r>
    </w:p>
    <w:p>
      <w:pPr>
        <w:pStyle w:val="2"/>
        <w:spacing w:line="360" w:lineRule="auto"/>
        <w:rPr>
          <w:rFonts w:ascii="宋体" w:hAnsi="宋体"/>
          <w:color w:val="auto"/>
          <w:szCs w:val="21"/>
          <w:highlight w:val="none"/>
        </w:rPr>
      </w:pPr>
      <w:r>
        <w:rPr>
          <w:rFonts w:hint="eastAsia" w:ascii="宋体" w:hAnsi="宋体"/>
          <w:color w:val="auto"/>
          <w:szCs w:val="21"/>
          <w:highlight w:val="none"/>
        </w:rPr>
        <w:t xml:space="preserve">    证书名称</w:t>
      </w:r>
      <w:r>
        <w:rPr>
          <w:rFonts w:ascii="宋体" w:hAnsi="宋体"/>
          <w:color w:val="auto"/>
          <w:szCs w:val="21"/>
          <w:highlight w:val="none"/>
        </w:rPr>
        <w:t>及号码：</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hint="eastAsia" w:ascii="宋体" w:hAnsi="宋体"/>
          <w:color w:val="auto"/>
          <w:szCs w:val="21"/>
          <w:highlight w:val="none"/>
        </w:rPr>
        <w:t>。</w:t>
      </w:r>
    </w:p>
    <w:p>
      <w:pPr>
        <w:pStyle w:val="5"/>
        <w:keepNext/>
        <w:keepLines/>
        <w:spacing w:before="120" w:after="120" w:line="360" w:lineRule="auto"/>
        <w:ind w:firstLine="422" w:firstLineChars="200"/>
        <w:jc w:val="both"/>
        <w:rPr>
          <w:color w:val="auto"/>
          <w:kern w:val="2"/>
          <w:sz w:val="21"/>
          <w:szCs w:val="21"/>
          <w:highlight w:val="none"/>
        </w:rPr>
      </w:pPr>
      <w:bookmarkStart w:id="22" w:name="_Toc351203486"/>
      <w:bookmarkStart w:id="23" w:name="_Toc532375578"/>
      <w:bookmarkStart w:id="24" w:name="_Toc532377171"/>
      <w:r>
        <w:rPr>
          <w:rFonts w:hint="eastAsia"/>
          <w:color w:val="auto"/>
          <w:kern w:val="2"/>
          <w:sz w:val="21"/>
          <w:szCs w:val="21"/>
          <w:highlight w:val="none"/>
        </w:rPr>
        <w:t>六、合同文件构成</w:t>
      </w:r>
      <w:bookmarkEnd w:id="22"/>
      <w:bookmarkEnd w:id="23"/>
      <w:bookmarkEnd w:id="24"/>
    </w:p>
    <w:p>
      <w:pPr>
        <w:spacing w:line="360" w:lineRule="auto"/>
        <w:ind w:firstLine="420" w:firstLineChars="200"/>
        <w:rPr>
          <w:rFonts w:ascii="宋体" w:hAnsi="宋体"/>
          <w:bCs/>
          <w:color w:val="auto"/>
          <w:szCs w:val="21"/>
          <w:highlight w:val="none"/>
        </w:rPr>
      </w:pPr>
      <w:r>
        <w:rPr>
          <w:rFonts w:hint="eastAsia" w:ascii="宋体" w:hAnsi="宋体"/>
          <w:bCs/>
          <w:color w:val="auto"/>
          <w:szCs w:val="21"/>
          <w:highlight w:val="none"/>
        </w:rPr>
        <w:t>合同由以下文件构成：</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（1）合同协议书；</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（2）中标通知书；</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（3）投标函及投标函附录；</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（4）专用合同条款及其附件；</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（5）通用合同条款；</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（6）投标文件（投标函及投标函附录除外）；</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（7）招标文件及修改文件；</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（8）技术标准和要求；</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（9）图纸；</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（10）其他合同文件。</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在合同订立、履行过程中形成的与合同有关的书面形式的文件均构成合同文件组成部分。</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上述各项合同文件包括合同当事人就该项合同文件所作出的补充和修改，属于同一类内容的文件，应以最新签署的为准。专用合同条款及其附件须经合同当事人签字或盖章。</w:t>
      </w:r>
    </w:p>
    <w:p>
      <w:pPr>
        <w:pStyle w:val="5"/>
        <w:keepNext/>
        <w:keepLines/>
        <w:spacing w:before="120" w:after="120" w:line="360" w:lineRule="auto"/>
        <w:ind w:firstLine="422" w:firstLineChars="200"/>
        <w:jc w:val="both"/>
        <w:rPr>
          <w:color w:val="auto"/>
          <w:kern w:val="2"/>
          <w:sz w:val="21"/>
          <w:szCs w:val="21"/>
          <w:highlight w:val="none"/>
        </w:rPr>
      </w:pPr>
      <w:bookmarkStart w:id="25" w:name="_Toc532375579"/>
      <w:bookmarkStart w:id="26" w:name="_Toc351203487"/>
      <w:bookmarkStart w:id="27" w:name="_Toc532377172"/>
      <w:r>
        <w:rPr>
          <w:rFonts w:hint="eastAsia"/>
          <w:color w:val="auto"/>
          <w:kern w:val="2"/>
          <w:sz w:val="21"/>
          <w:szCs w:val="21"/>
          <w:highlight w:val="none"/>
        </w:rPr>
        <w:t>七、承诺</w:t>
      </w:r>
      <w:bookmarkEnd w:id="25"/>
      <w:bookmarkEnd w:id="26"/>
      <w:bookmarkEnd w:id="27"/>
    </w:p>
    <w:p>
      <w:pPr>
        <w:spacing w:line="360" w:lineRule="auto"/>
        <w:ind w:firstLine="420" w:firstLineChars="200"/>
        <w:rPr>
          <w:rFonts w:ascii="宋体" w:hAnsi="宋体"/>
          <w:bCs/>
          <w:color w:val="auto"/>
          <w:szCs w:val="21"/>
          <w:highlight w:val="none"/>
        </w:rPr>
      </w:pPr>
      <w:r>
        <w:rPr>
          <w:rFonts w:hint="eastAsia" w:ascii="宋体" w:hAnsi="宋体"/>
          <w:bCs/>
          <w:color w:val="auto"/>
          <w:szCs w:val="21"/>
          <w:highlight w:val="none"/>
        </w:rPr>
        <w:t>1.发包人承诺按照法律规定履行项目审批手续、筹集工程建设资金并按照合同约定的期限和方式支付合同价款。</w:t>
      </w:r>
    </w:p>
    <w:p>
      <w:pPr>
        <w:spacing w:line="360" w:lineRule="auto"/>
        <w:ind w:firstLine="420" w:firstLineChars="200"/>
        <w:rPr>
          <w:rFonts w:ascii="宋体" w:hAnsi="宋体"/>
          <w:bCs/>
          <w:color w:val="auto"/>
          <w:szCs w:val="21"/>
          <w:highlight w:val="none"/>
        </w:rPr>
      </w:pPr>
      <w:r>
        <w:rPr>
          <w:rFonts w:hint="eastAsia" w:ascii="宋体" w:hAnsi="宋体"/>
          <w:bCs/>
          <w:color w:val="auto"/>
          <w:szCs w:val="21"/>
          <w:highlight w:val="none"/>
        </w:rPr>
        <w:t>2.</w:t>
      </w:r>
      <w:r>
        <w:rPr>
          <w:rFonts w:hint="eastAsia" w:ascii="宋体" w:hAnsi="宋体"/>
          <w:color w:val="auto"/>
          <w:szCs w:val="21"/>
          <w:highlight w:val="none"/>
        </w:rPr>
        <w:t>承包人承诺按照法律规定及合同约定组织完成工程施工，确保工程质量和安全，不进行转包及违法分包，并在缺陷责任期及保修期内承担相应的工程维修责任</w:t>
      </w:r>
      <w:r>
        <w:rPr>
          <w:rFonts w:hint="eastAsia" w:ascii="宋体" w:hAnsi="宋体"/>
          <w:bCs/>
          <w:color w:val="auto"/>
          <w:szCs w:val="21"/>
          <w:highlight w:val="none"/>
        </w:rPr>
        <w:t>。</w:t>
      </w:r>
    </w:p>
    <w:p>
      <w:pPr>
        <w:spacing w:line="360" w:lineRule="auto"/>
        <w:ind w:firstLine="420" w:firstLineChars="200"/>
        <w:rPr>
          <w:rFonts w:ascii="宋体" w:hAnsi="宋体"/>
          <w:bCs/>
          <w:color w:val="auto"/>
          <w:szCs w:val="21"/>
          <w:highlight w:val="none"/>
        </w:rPr>
      </w:pPr>
      <w:r>
        <w:rPr>
          <w:rFonts w:hint="eastAsia" w:ascii="宋体" w:hAnsi="宋体"/>
          <w:bCs/>
          <w:color w:val="auto"/>
          <w:szCs w:val="21"/>
          <w:highlight w:val="none"/>
        </w:rPr>
        <w:t>3.发包人和承包人通过招投标形式签订合同的，双方理解并承诺不再就同一工程另行签订与合同实质性内容相背离的协议。</w:t>
      </w:r>
    </w:p>
    <w:p>
      <w:pPr>
        <w:pStyle w:val="5"/>
        <w:keepNext/>
        <w:keepLines/>
        <w:spacing w:before="120" w:after="120" w:line="360" w:lineRule="auto"/>
        <w:ind w:firstLine="422" w:firstLineChars="200"/>
        <w:jc w:val="both"/>
        <w:rPr>
          <w:color w:val="auto"/>
          <w:kern w:val="2"/>
          <w:sz w:val="21"/>
          <w:szCs w:val="21"/>
          <w:highlight w:val="none"/>
        </w:rPr>
      </w:pPr>
      <w:bookmarkStart w:id="28" w:name="_Toc532377173"/>
      <w:bookmarkStart w:id="29" w:name="_Toc351203488"/>
      <w:bookmarkStart w:id="30" w:name="_Toc532375580"/>
      <w:r>
        <w:rPr>
          <w:rFonts w:hint="eastAsia"/>
          <w:color w:val="auto"/>
          <w:kern w:val="2"/>
          <w:sz w:val="21"/>
          <w:szCs w:val="21"/>
          <w:highlight w:val="none"/>
        </w:rPr>
        <w:t>八、词语含义</w:t>
      </w:r>
      <w:bookmarkEnd w:id="28"/>
      <w:bookmarkEnd w:id="29"/>
      <w:bookmarkEnd w:id="30"/>
    </w:p>
    <w:p>
      <w:pPr>
        <w:spacing w:line="360" w:lineRule="auto"/>
        <w:ind w:firstLine="420" w:firstLineChars="200"/>
        <w:rPr>
          <w:rFonts w:ascii="宋体" w:hAnsi="宋体"/>
          <w:bCs/>
          <w:color w:val="auto"/>
          <w:szCs w:val="21"/>
          <w:highlight w:val="none"/>
        </w:rPr>
      </w:pPr>
      <w:r>
        <w:rPr>
          <w:rFonts w:hint="eastAsia" w:ascii="宋体" w:hAnsi="宋体"/>
          <w:bCs/>
          <w:color w:val="auto"/>
          <w:szCs w:val="21"/>
          <w:highlight w:val="none"/>
        </w:rPr>
        <w:t>本协议书中词语含义与专用合同条款及通用合同条款中赋予的含义相同。</w:t>
      </w:r>
    </w:p>
    <w:p>
      <w:pPr>
        <w:pStyle w:val="5"/>
        <w:keepNext/>
        <w:keepLines/>
        <w:spacing w:before="120" w:after="120" w:line="360" w:lineRule="auto"/>
        <w:ind w:firstLine="422" w:firstLineChars="200"/>
        <w:jc w:val="both"/>
        <w:rPr>
          <w:color w:val="auto"/>
          <w:kern w:val="2"/>
          <w:sz w:val="21"/>
          <w:szCs w:val="21"/>
          <w:highlight w:val="none"/>
        </w:rPr>
      </w:pPr>
      <w:bookmarkStart w:id="31" w:name="_Toc532375581"/>
      <w:bookmarkStart w:id="32" w:name="_Toc532377174"/>
      <w:r>
        <w:rPr>
          <w:rFonts w:hint="eastAsia"/>
          <w:color w:val="auto"/>
          <w:kern w:val="2"/>
          <w:sz w:val="21"/>
          <w:szCs w:val="21"/>
          <w:highlight w:val="none"/>
        </w:rPr>
        <w:t>九、签订时间</w:t>
      </w:r>
      <w:bookmarkEnd w:id="31"/>
      <w:bookmarkEnd w:id="32"/>
    </w:p>
    <w:p>
      <w:pPr>
        <w:spacing w:line="360" w:lineRule="auto"/>
        <w:ind w:firstLine="420" w:firstLineChars="200"/>
        <w:rPr>
          <w:rFonts w:ascii="宋体" w:hAnsi="宋体"/>
          <w:color w:val="auto"/>
          <w:szCs w:val="21"/>
          <w:highlight w:val="none"/>
        </w:rPr>
      </w:pPr>
      <w:r>
        <w:rPr>
          <w:rFonts w:hint="eastAsia" w:ascii="宋体" w:hAnsi="宋体"/>
          <w:bCs/>
          <w:color w:val="auto"/>
          <w:szCs w:val="21"/>
          <w:highlight w:val="none"/>
        </w:rPr>
        <w:t>合同于</w:t>
      </w:r>
      <w:r>
        <w:rPr>
          <w:rFonts w:hint="eastAsia" w:ascii="宋体" w:hAnsi="宋体"/>
          <w:bCs/>
          <w:color w:val="auto"/>
          <w:szCs w:val="21"/>
          <w:highlight w:val="none"/>
          <w:u w:val="single"/>
        </w:rPr>
        <w:t xml:space="preserve">    </w:t>
      </w:r>
      <w:r>
        <w:rPr>
          <w:rFonts w:hint="eastAsia" w:ascii="宋体" w:hAnsi="宋体"/>
          <w:bCs/>
          <w:color w:val="auto"/>
          <w:szCs w:val="21"/>
          <w:highlight w:val="none"/>
        </w:rPr>
        <w:t>年</w:t>
      </w:r>
      <w:r>
        <w:rPr>
          <w:rFonts w:hint="eastAsia" w:ascii="宋体" w:hAnsi="宋体"/>
          <w:bCs/>
          <w:color w:val="auto"/>
          <w:szCs w:val="21"/>
          <w:highlight w:val="none"/>
          <w:u w:val="single"/>
        </w:rPr>
        <w:t xml:space="preserve">    </w:t>
      </w:r>
      <w:r>
        <w:rPr>
          <w:rFonts w:hint="eastAsia" w:ascii="宋体" w:hAnsi="宋体"/>
          <w:bCs/>
          <w:color w:val="auto"/>
          <w:szCs w:val="21"/>
          <w:highlight w:val="none"/>
        </w:rPr>
        <w:t>月</w:t>
      </w:r>
      <w:r>
        <w:rPr>
          <w:rFonts w:hint="eastAsia" w:ascii="宋体" w:hAnsi="宋体"/>
          <w:bCs/>
          <w:color w:val="auto"/>
          <w:szCs w:val="21"/>
          <w:highlight w:val="none"/>
          <w:u w:val="single"/>
        </w:rPr>
        <w:t xml:space="preserve">    </w:t>
      </w:r>
      <w:r>
        <w:rPr>
          <w:rFonts w:hint="eastAsia" w:ascii="宋体" w:hAnsi="宋体"/>
          <w:bCs/>
          <w:color w:val="auto"/>
          <w:szCs w:val="21"/>
          <w:highlight w:val="none"/>
        </w:rPr>
        <w:t>日签订</w:t>
      </w:r>
    </w:p>
    <w:p>
      <w:pPr>
        <w:pStyle w:val="5"/>
        <w:keepNext/>
        <w:keepLines/>
        <w:spacing w:before="120" w:after="120" w:line="360" w:lineRule="auto"/>
        <w:ind w:firstLine="422" w:firstLineChars="200"/>
        <w:jc w:val="both"/>
        <w:rPr>
          <w:color w:val="auto"/>
          <w:kern w:val="2"/>
          <w:sz w:val="21"/>
          <w:szCs w:val="21"/>
          <w:highlight w:val="none"/>
        </w:rPr>
      </w:pPr>
      <w:bookmarkStart w:id="33" w:name="_Toc351203489"/>
      <w:bookmarkStart w:id="34" w:name="_Toc532375582"/>
      <w:bookmarkStart w:id="35" w:name="_Toc532377175"/>
      <w:r>
        <w:rPr>
          <w:rFonts w:hint="eastAsia"/>
          <w:color w:val="auto"/>
          <w:kern w:val="2"/>
          <w:sz w:val="21"/>
          <w:szCs w:val="21"/>
          <w:highlight w:val="none"/>
        </w:rPr>
        <w:t>十、</w:t>
      </w:r>
      <w:bookmarkEnd w:id="33"/>
      <w:bookmarkStart w:id="36" w:name="_Toc351203490"/>
      <w:r>
        <w:rPr>
          <w:rFonts w:hint="eastAsia"/>
          <w:color w:val="auto"/>
          <w:kern w:val="2"/>
          <w:sz w:val="21"/>
          <w:szCs w:val="21"/>
          <w:highlight w:val="none"/>
        </w:rPr>
        <w:t>签订地点</w:t>
      </w:r>
      <w:bookmarkEnd w:id="34"/>
      <w:bookmarkEnd w:id="35"/>
      <w:bookmarkEnd w:id="36"/>
    </w:p>
    <w:p>
      <w:pPr>
        <w:spacing w:line="360" w:lineRule="auto"/>
        <w:ind w:firstLine="420" w:firstLineChars="200"/>
        <w:rPr>
          <w:rFonts w:ascii="宋体" w:hAnsi="宋体"/>
          <w:bCs/>
          <w:color w:val="auto"/>
          <w:szCs w:val="21"/>
          <w:highlight w:val="none"/>
        </w:rPr>
      </w:pPr>
      <w:r>
        <w:rPr>
          <w:rFonts w:hint="eastAsia" w:ascii="宋体" w:hAnsi="宋体"/>
          <w:bCs/>
          <w:color w:val="auto"/>
          <w:szCs w:val="21"/>
          <w:highlight w:val="none"/>
        </w:rPr>
        <w:t>合同在</w:t>
      </w:r>
      <w:r>
        <w:rPr>
          <w:rFonts w:hint="eastAsia" w:ascii="宋体" w:hAnsi="宋体"/>
          <w:bCs/>
          <w:color w:val="auto"/>
          <w:szCs w:val="21"/>
          <w:highlight w:val="none"/>
          <w:u w:val="single"/>
        </w:rPr>
        <w:t xml:space="preserve">        </w:t>
      </w:r>
      <w:r>
        <w:rPr>
          <w:rFonts w:hint="eastAsia" w:ascii="宋体" w:hAnsi="宋体"/>
          <w:bCs/>
          <w:color w:val="auto"/>
          <w:szCs w:val="21"/>
          <w:highlight w:val="none"/>
        </w:rPr>
        <w:t>签订。</w:t>
      </w:r>
    </w:p>
    <w:p>
      <w:pPr>
        <w:pStyle w:val="5"/>
        <w:keepNext/>
        <w:keepLines/>
        <w:spacing w:before="120" w:after="120" w:line="360" w:lineRule="auto"/>
        <w:ind w:firstLine="422" w:firstLineChars="200"/>
        <w:jc w:val="both"/>
        <w:rPr>
          <w:color w:val="auto"/>
          <w:kern w:val="2"/>
          <w:sz w:val="21"/>
          <w:szCs w:val="21"/>
          <w:highlight w:val="none"/>
        </w:rPr>
      </w:pPr>
      <w:bookmarkStart w:id="37" w:name="_Toc351203491"/>
      <w:bookmarkStart w:id="38" w:name="_Toc532375583"/>
      <w:bookmarkStart w:id="39" w:name="_Toc532377176"/>
      <w:r>
        <w:rPr>
          <w:rFonts w:hint="eastAsia"/>
          <w:color w:val="auto"/>
          <w:kern w:val="2"/>
          <w:sz w:val="21"/>
          <w:szCs w:val="21"/>
          <w:highlight w:val="none"/>
        </w:rPr>
        <w:t>十一、补充协议</w:t>
      </w:r>
      <w:bookmarkEnd w:id="37"/>
      <w:bookmarkEnd w:id="38"/>
      <w:bookmarkEnd w:id="39"/>
    </w:p>
    <w:p>
      <w:pPr>
        <w:spacing w:line="360" w:lineRule="auto"/>
        <w:ind w:firstLine="420" w:firstLineChars="200"/>
        <w:rPr>
          <w:rFonts w:ascii="宋体" w:hAnsi="宋体"/>
          <w:b/>
          <w:bCs/>
          <w:color w:val="auto"/>
          <w:szCs w:val="21"/>
          <w:highlight w:val="none"/>
        </w:rPr>
      </w:pPr>
      <w:r>
        <w:rPr>
          <w:rFonts w:hint="eastAsia" w:ascii="宋体" w:hAnsi="宋体"/>
          <w:bCs/>
          <w:color w:val="auto"/>
          <w:szCs w:val="21"/>
          <w:highlight w:val="none"/>
        </w:rPr>
        <w:t>合同未尽事宜，合同当事人另行签订补充协议，补充协议是合同的组成部分。</w:t>
      </w:r>
    </w:p>
    <w:p>
      <w:pPr>
        <w:pStyle w:val="5"/>
        <w:keepNext/>
        <w:keepLines/>
        <w:spacing w:before="120" w:after="120" w:line="360" w:lineRule="auto"/>
        <w:ind w:firstLine="422" w:firstLineChars="200"/>
        <w:jc w:val="both"/>
        <w:rPr>
          <w:color w:val="auto"/>
          <w:kern w:val="2"/>
          <w:sz w:val="21"/>
          <w:szCs w:val="21"/>
          <w:highlight w:val="none"/>
        </w:rPr>
      </w:pPr>
      <w:bookmarkStart w:id="40" w:name="_Toc532375584"/>
      <w:bookmarkStart w:id="41" w:name="_Toc351203492"/>
      <w:bookmarkStart w:id="42" w:name="_Toc532377177"/>
      <w:r>
        <w:rPr>
          <w:rFonts w:hint="eastAsia"/>
          <w:color w:val="auto"/>
          <w:kern w:val="2"/>
          <w:sz w:val="21"/>
          <w:szCs w:val="21"/>
          <w:highlight w:val="none"/>
        </w:rPr>
        <w:t>十二、合同生效</w:t>
      </w:r>
      <w:bookmarkEnd w:id="40"/>
      <w:bookmarkEnd w:id="41"/>
      <w:bookmarkEnd w:id="42"/>
    </w:p>
    <w:p>
      <w:pPr>
        <w:spacing w:line="360" w:lineRule="auto"/>
        <w:ind w:firstLine="420" w:firstLineChars="200"/>
        <w:rPr>
          <w:rFonts w:ascii="宋体" w:hAnsi="宋体"/>
          <w:bCs/>
          <w:color w:val="auto"/>
          <w:szCs w:val="21"/>
          <w:highlight w:val="none"/>
        </w:rPr>
      </w:pPr>
      <w:r>
        <w:rPr>
          <w:rFonts w:hint="eastAsia" w:ascii="宋体" w:hAnsi="宋体"/>
          <w:bCs/>
          <w:color w:val="auto"/>
          <w:szCs w:val="21"/>
          <w:highlight w:val="none"/>
        </w:rPr>
        <w:t>合同在以下条件全部满足之后生效：</w:t>
      </w:r>
    </w:p>
    <w:p>
      <w:pPr>
        <w:spacing w:line="360" w:lineRule="auto"/>
        <w:ind w:firstLine="420" w:firstLineChars="200"/>
        <w:rPr>
          <w:rFonts w:ascii="宋体" w:hAnsi="宋体"/>
          <w:color w:val="auto"/>
          <w:szCs w:val="21"/>
          <w:highlight w:val="none"/>
        </w:rPr>
      </w:pPr>
      <w:r>
        <w:rPr>
          <w:rFonts w:hint="eastAsia" w:ascii="宋体" w:hAnsi="宋体"/>
          <w:bCs/>
          <w:color w:val="auto"/>
          <w:szCs w:val="21"/>
          <w:highlight w:val="none"/>
        </w:rPr>
        <w:t>1.合同</w:t>
      </w:r>
      <w:r>
        <w:rPr>
          <w:rFonts w:hint="eastAsia" w:ascii="宋体" w:hAnsi="宋体"/>
          <w:color w:val="auto"/>
          <w:szCs w:val="21"/>
          <w:highlight w:val="none"/>
        </w:rPr>
        <w:t>经双方法定代表人或其委托代理人签字并加盖</w:t>
      </w:r>
      <w:r>
        <w:rPr>
          <w:rFonts w:hint="eastAsia" w:ascii="宋体" w:hAnsi="宋体"/>
          <w:snapToGrid w:val="0"/>
          <w:color w:val="auto"/>
          <w:kern w:val="0"/>
          <w:szCs w:val="21"/>
          <w:highlight w:val="none"/>
        </w:rPr>
        <w:t>公章或合同专用章</w:t>
      </w:r>
      <w:r>
        <w:rPr>
          <w:rFonts w:hint="eastAsia" w:ascii="宋体" w:hAnsi="宋体"/>
          <w:color w:val="auto"/>
          <w:szCs w:val="21"/>
          <w:highlight w:val="none"/>
        </w:rPr>
        <w:t>；</w:t>
      </w:r>
    </w:p>
    <w:p>
      <w:pPr>
        <w:spacing w:line="360" w:lineRule="auto"/>
        <w:ind w:firstLine="420" w:firstLineChars="200"/>
        <w:rPr>
          <w:rFonts w:ascii="宋体" w:hAnsi="宋体"/>
          <w:bCs/>
          <w:color w:val="auto"/>
          <w:szCs w:val="21"/>
          <w:highlight w:val="none"/>
        </w:rPr>
      </w:pPr>
      <w:r>
        <w:rPr>
          <w:rFonts w:hint="eastAsia" w:ascii="宋体" w:hAnsi="宋体"/>
          <w:bCs/>
          <w:color w:val="auto"/>
          <w:szCs w:val="21"/>
          <w:highlight w:val="none"/>
        </w:rPr>
        <w:t>2.</w:t>
      </w:r>
      <w:r>
        <w:rPr>
          <w:rFonts w:hint="eastAsia" w:ascii="宋体" w:hAnsi="宋体"/>
          <w:color w:val="auto"/>
          <w:szCs w:val="21"/>
          <w:highlight w:val="none"/>
          <w:u w:val="single"/>
        </w:rPr>
        <w:t xml:space="preserve">        </w:t>
      </w:r>
      <w:r>
        <w:rPr>
          <w:rFonts w:hint="eastAsia" w:ascii="宋体" w:hAnsi="宋体"/>
          <w:color w:val="auto"/>
          <w:szCs w:val="21"/>
          <w:highlight w:val="none"/>
        </w:rPr>
        <w:t>。</w:t>
      </w:r>
    </w:p>
    <w:p>
      <w:pPr>
        <w:pStyle w:val="5"/>
        <w:keepNext/>
        <w:keepLines/>
        <w:spacing w:before="120" w:after="120" w:line="360" w:lineRule="auto"/>
        <w:ind w:firstLine="422" w:firstLineChars="200"/>
        <w:jc w:val="both"/>
        <w:rPr>
          <w:color w:val="auto"/>
          <w:kern w:val="2"/>
          <w:sz w:val="21"/>
          <w:szCs w:val="21"/>
          <w:highlight w:val="none"/>
        </w:rPr>
      </w:pPr>
      <w:bookmarkStart w:id="43" w:name="_Toc351203493"/>
      <w:bookmarkStart w:id="44" w:name="_Toc532375585"/>
      <w:bookmarkStart w:id="45" w:name="_Toc532377178"/>
      <w:r>
        <w:rPr>
          <w:rFonts w:hint="eastAsia"/>
          <w:color w:val="auto"/>
          <w:kern w:val="2"/>
          <w:sz w:val="21"/>
          <w:szCs w:val="21"/>
          <w:highlight w:val="none"/>
        </w:rPr>
        <w:t>十三、合同份数</w:t>
      </w:r>
      <w:bookmarkEnd w:id="43"/>
      <w:bookmarkEnd w:id="44"/>
      <w:bookmarkEnd w:id="45"/>
    </w:p>
    <w:p>
      <w:pPr>
        <w:spacing w:line="360" w:lineRule="auto"/>
        <w:ind w:firstLine="420" w:firstLineChars="200"/>
        <w:rPr>
          <w:rFonts w:ascii="宋体" w:hAnsi="宋体"/>
          <w:bCs/>
          <w:color w:val="auto"/>
          <w:szCs w:val="21"/>
          <w:highlight w:val="none"/>
        </w:rPr>
      </w:pPr>
      <w:r>
        <w:rPr>
          <w:rFonts w:hint="eastAsia" w:ascii="宋体" w:hAnsi="宋体" w:cs="Microsoft Sans Serif"/>
          <w:bCs/>
          <w:color w:val="auto"/>
          <w:szCs w:val="21"/>
          <w:highlight w:val="none"/>
        </w:rPr>
        <w:t>合同一式</w:t>
      </w:r>
      <w:r>
        <w:rPr>
          <w:rFonts w:hint="eastAsia" w:ascii="宋体" w:hAnsi="宋体" w:cs="Microsoft Sans Serif"/>
          <w:bCs/>
          <w:color w:val="auto"/>
          <w:szCs w:val="21"/>
          <w:highlight w:val="none"/>
          <w:u w:val="single"/>
        </w:rPr>
        <w:t xml:space="preserve">     </w:t>
      </w:r>
      <w:r>
        <w:rPr>
          <w:rFonts w:hint="eastAsia" w:ascii="宋体" w:hAnsi="宋体" w:cs="Microsoft Sans Serif"/>
          <w:bCs/>
          <w:color w:val="auto"/>
          <w:szCs w:val="21"/>
          <w:highlight w:val="none"/>
        </w:rPr>
        <w:t>份，其中正本</w:t>
      </w:r>
      <w:r>
        <w:rPr>
          <w:rFonts w:hint="eastAsia" w:ascii="宋体" w:hAnsi="宋体" w:cs="Microsoft Sans Serif"/>
          <w:bCs/>
          <w:color w:val="auto"/>
          <w:szCs w:val="21"/>
          <w:highlight w:val="none"/>
          <w:u w:val="single"/>
        </w:rPr>
        <w:t xml:space="preserve">    </w:t>
      </w:r>
      <w:r>
        <w:rPr>
          <w:rFonts w:hint="eastAsia" w:ascii="宋体" w:hAnsi="宋体" w:cs="Microsoft Sans Serif"/>
          <w:bCs/>
          <w:color w:val="auto"/>
          <w:szCs w:val="21"/>
          <w:highlight w:val="none"/>
        </w:rPr>
        <w:t>份，双方各持</w:t>
      </w:r>
      <w:r>
        <w:rPr>
          <w:rFonts w:hint="eastAsia" w:ascii="宋体" w:hAnsi="宋体" w:cs="Microsoft Sans Serif"/>
          <w:bCs/>
          <w:color w:val="auto"/>
          <w:szCs w:val="21"/>
          <w:highlight w:val="none"/>
          <w:u w:val="single"/>
        </w:rPr>
        <w:t xml:space="preserve">    </w:t>
      </w:r>
      <w:r>
        <w:rPr>
          <w:rFonts w:hint="eastAsia" w:ascii="宋体" w:hAnsi="宋体" w:cs="Microsoft Sans Serif"/>
          <w:bCs/>
          <w:color w:val="auto"/>
          <w:szCs w:val="21"/>
          <w:highlight w:val="none"/>
        </w:rPr>
        <w:t>份，副本</w:t>
      </w:r>
      <w:r>
        <w:rPr>
          <w:rFonts w:hint="eastAsia" w:ascii="宋体" w:hAnsi="宋体" w:cs="Microsoft Sans Serif"/>
          <w:bCs/>
          <w:color w:val="auto"/>
          <w:szCs w:val="21"/>
          <w:highlight w:val="none"/>
          <w:u w:val="single"/>
        </w:rPr>
        <w:t xml:space="preserve">    </w:t>
      </w:r>
      <w:r>
        <w:rPr>
          <w:rFonts w:hint="eastAsia" w:ascii="宋体" w:hAnsi="宋体" w:cs="Microsoft Sans Serif"/>
          <w:bCs/>
          <w:color w:val="auto"/>
          <w:szCs w:val="21"/>
          <w:highlight w:val="none"/>
        </w:rPr>
        <w:t>份，双方各执</w:t>
      </w:r>
      <w:r>
        <w:rPr>
          <w:rFonts w:hint="eastAsia" w:ascii="宋体" w:hAnsi="宋体" w:cs="Microsoft Sans Serif"/>
          <w:bCs/>
          <w:color w:val="auto"/>
          <w:szCs w:val="21"/>
          <w:highlight w:val="none"/>
          <w:u w:val="single"/>
        </w:rPr>
        <w:t xml:space="preserve">    </w:t>
      </w:r>
      <w:r>
        <w:rPr>
          <w:rFonts w:hint="eastAsia" w:ascii="宋体" w:hAnsi="宋体" w:cs="Microsoft Sans Serif"/>
          <w:bCs/>
          <w:color w:val="auto"/>
          <w:szCs w:val="21"/>
          <w:highlight w:val="none"/>
        </w:rPr>
        <w:t>份。副本与正本不一致时，以正本为准</w:t>
      </w:r>
      <w:r>
        <w:rPr>
          <w:rFonts w:hint="eastAsia" w:ascii="宋体" w:hAnsi="宋体"/>
          <w:bCs/>
          <w:color w:val="auto"/>
          <w:szCs w:val="21"/>
          <w:highlight w:val="none"/>
        </w:rPr>
        <w:t>。</w:t>
      </w:r>
    </w:p>
    <w:p>
      <w:pPr>
        <w:spacing w:line="360" w:lineRule="auto"/>
        <w:ind w:firstLine="420" w:firstLineChars="200"/>
        <w:rPr>
          <w:rFonts w:ascii="宋体" w:hAnsi="宋体"/>
          <w:bCs/>
          <w:color w:val="auto"/>
          <w:szCs w:val="21"/>
          <w:highlight w:val="none"/>
        </w:rPr>
      </w:pPr>
    </w:p>
    <w:p>
      <w:pPr>
        <w:spacing w:line="360" w:lineRule="auto"/>
        <w:ind w:firstLine="420" w:firstLineChars="200"/>
        <w:rPr>
          <w:rFonts w:ascii="宋体" w:hAnsi="宋体"/>
          <w:bCs/>
          <w:color w:val="auto"/>
          <w:szCs w:val="21"/>
          <w:highlight w:val="none"/>
        </w:rPr>
      </w:pPr>
      <w:r>
        <w:rPr>
          <w:rFonts w:hint="eastAsia" w:ascii="宋体" w:hAnsi="宋体"/>
          <w:bCs/>
          <w:color w:val="auto"/>
          <w:szCs w:val="21"/>
          <w:highlight w:val="none"/>
        </w:rPr>
        <w:t>（以下为签字盖章页）。</w:t>
      </w:r>
    </w:p>
    <w:p>
      <w:pPr>
        <w:pStyle w:val="2"/>
        <w:spacing w:line="360" w:lineRule="auto"/>
        <w:ind w:firstLine="420" w:firstLineChars="200"/>
        <w:rPr>
          <w:rFonts w:ascii="宋体" w:hAnsi="宋体"/>
          <w:color w:val="auto"/>
          <w:szCs w:val="21"/>
          <w:highlight w:val="none"/>
        </w:rPr>
      </w:pPr>
    </w:p>
    <w:p>
      <w:pPr>
        <w:pStyle w:val="2"/>
        <w:spacing w:line="360" w:lineRule="auto"/>
        <w:ind w:firstLine="420" w:firstLineChars="200"/>
        <w:rPr>
          <w:rFonts w:ascii="宋体" w:hAnsi="宋体"/>
          <w:color w:val="auto"/>
          <w:szCs w:val="21"/>
          <w:highlight w:val="none"/>
        </w:rPr>
      </w:pPr>
    </w:p>
    <w:p>
      <w:pPr>
        <w:adjustRightInd w:val="0"/>
        <w:spacing w:line="360" w:lineRule="auto"/>
        <w:ind w:firstLine="420" w:firstLineChars="200"/>
        <w:rPr>
          <w:rFonts w:ascii="宋体" w:hAnsi="宋体"/>
          <w:snapToGrid w:val="0"/>
          <w:color w:val="auto"/>
          <w:kern w:val="0"/>
          <w:szCs w:val="21"/>
          <w:highlight w:val="none"/>
        </w:rPr>
      </w:pPr>
      <w:bookmarkStart w:id="46" w:name="_Toc467689623"/>
      <w:r>
        <w:rPr>
          <w:rFonts w:ascii="宋体" w:hAnsi="宋体"/>
          <w:snapToGrid w:val="0"/>
          <w:color w:val="auto"/>
          <w:kern w:val="0"/>
          <w:szCs w:val="21"/>
          <w:highlight w:val="none"/>
        </w:rPr>
        <w:t>发包人：</w:t>
      </w:r>
      <w:r>
        <w:rPr>
          <w:rFonts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u w:val="single"/>
        </w:rPr>
        <w:t xml:space="preserve">           </w:t>
      </w:r>
      <w:r>
        <w:rPr>
          <w:rFonts w:ascii="宋体" w:hAnsi="宋体"/>
          <w:snapToGrid w:val="0"/>
          <w:color w:val="auto"/>
          <w:kern w:val="0"/>
          <w:szCs w:val="21"/>
          <w:highlight w:val="none"/>
        </w:rPr>
        <w:t>（公章</w:t>
      </w:r>
      <w:r>
        <w:rPr>
          <w:rFonts w:hint="eastAsia" w:ascii="宋体" w:hAnsi="宋体"/>
          <w:snapToGrid w:val="0"/>
          <w:color w:val="auto"/>
          <w:kern w:val="0"/>
          <w:szCs w:val="21"/>
          <w:highlight w:val="none"/>
        </w:rPr>
        <w:t>或合同专用章</w:t>
      </w:r>
      <w:r>
        <w:rPr>
          <w:rFonts w:ascii="宋体" w:hAnsi="宋体"/>
          <w:snapToGrid w:val="0"/>
          <w:color w:val="auto"/>
          <w:kern w:val="0"/>
          <w:szCs w:val="21"/>
          <w:highlight w:val="none"/>
        </w:rPr>
        <w:t>）</w:t>
      </w:r>
    </w:p>
    <w:p>
      <w:pPr>
        <w:spacing w:line="360" w:lineRule="auto"/>
        <w:ind w:firstLine="420" w:firstLineChars="200"/>
        <w:rPr>
          <w:rFonts w:ascii="宋体" w:hAnsi="宋体"/>
          <w:snapToGrid w:val="0"/>
          <w:color w:val="auto"/>
          <w:kern w:val="0"/>
          <w:szCs w:val="21"/>
          <w:highlight w:val="none"/>
        </w:rPr>
      </w:pPr>
      <w:r>
        <w:rPr>
          <w:rFonts w:ascii="宋体" w:hAnsi="宋体"/>
          <w:snapToGrid w:val="0"/>
          <w:color w:val="auto"/>
          <w:kern w:val="0"/>
          <w:szCs w:val="21"/>
          <w:highlight w:val="none"/>
        </w:rPr>
        <w:t>法定代表人或其委托代理人：</w:t>
      </w:r>
      <w:r>
        <w:rPr>
          <w:rFonts w:ascii="宋体" w:hAnsi="宋体"/>
          <w:snapToGrid w:val="0"/>
          <w:color w:val="auto"/>
          <w:w w:val="200"/>
          <w:kern w:val="0"/>
          <w:szCs w:val="21"/>
          <w:highlight w:val="none"/>
          <w:u w:val="single"/>
        </w:rPr>
        <w:t xml:space="preserve"> </w:t>
      </w:r>
      <w:r>
        <w:rPr>
          <w:rFonts w:ascii="宋体" w:hAnsi="宋体"/>
          <w:snapToGrid w:val="0"/>
          <w:color w:val="auto"/>
          <w:kern w:val="0"/>
          <w:szCs w:val="21"/>
          <w:highlight w:val="none"/>
          <w:u w:val="single"/>
        </w:rPr>
        <w:t xml:space="preserve">                  </w:t>
      </w:r>
      <w:r>
        <w:rPr>
          <w:rFonts w:ascii="宋体" w:hAnsi="宋体"/>
          <w:snapToGrid w:val="0"/>
          <w:color w:val="auto"/>
          <w:kern w:val="0"/>
          <w:szCs w:val="21"/>
          <w:highlight w:val="none"/>
        </w:rPr>
        <w:t>（签字）</w:t>
      </w:r>
    </w:p>
    <w:p>
      <w:pPr>
        <w:spacing w:line="360" w:lineRule="auto"/>
        <w:ind w:firstLine="420" w:firstLineChars="200"/>
        <w:rPr>
          <w:rFonts w:ascii="宋体" w:hAnsi="宋体"/>
          <w:snapToGrid w:val="0"/>
          <w:color w:val="auto"/>
          <w:kern w:val="0"/>
          <w:szCs w:val="21"/>
          <w:highlight w:val="none"/>
        </w:rPr>
      </w:pPr>
      <w:r>
        <w:rPr>
          <w:rFonts w:hint="eastAsia" w:ascii="宋体" w:hAnsi="宋体"/>
          <w:snapToGrid w:val="0"/>
          <w:color w:val="auto"/>
          <w:kern w:val="0"/>
          <w:szCs w:val="21"/>
          <w:highlight w:val="none"/>
        </w:rPr>
        <w:t>统一社会信用代码：</w:t>
      </w:r>
      <w:r>
        <w:rPr>
          <w:rFonts w:ascii="宋体" w:hAnsi="宋体"/>
          <w:snapToGrid w:val="0"/>
          <w:color w:val="auto"/>
          <w:w w:val="200"/>
          <w:kern w:val="0"/>
          <w:szCs w:val="21"/>
          <w:highlight w:val="none"/>
          <w:u w:val="single"/>
        </w:rPr>
        <w:t xml:space="preserve"> </w:t>
      </w:r>
      <w:r>
        <w:rPr>
          <w:rFonts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u w:val="single"/>
        </w:rPr>
        <w:t xml:space="preserve">        </w:t>
      </w:r>
    </w:p>
    <w:p>
      <w:pPr>
        <w:spacing w:line="360" w:lineRule="auto"/>
        <w:ind w:firstLine="420" w:firstLineChars="200"/>
        <w:rPr>
          <w:rFonts w:ascii="宋体" w:hAnsi="宋体"/>
          <w:snapToGrid w:val="0"/>
          <w:color w:val="auto"/>
          <w:kern w:val="0"/>
          <w:szCs w:val="21"/>
          <w:highlight w:val="none"/>
          <w:u w:val="single"/>
        </w:rPr>
      </w:pPr>
      <w:r>
        <w:rPr>
          <w:rFonts w:hint="eastAsia" w:ascii="宋体" w:hAnsi="宋体"/>
          <w:snapToGrid w:val="0"/>
          <w:color w:val="auto"/>
          <w:kern w:val="0"/>
          <w:szCs w:val="21"/>
          <w:highlight w:val="none"/>
        </w:rPr>
        <w:t>纳税人识别号：</w:t>
      </w:r>
      <w:r>
        <w:rPr>
          <w:rFonts w:ascii="宋体" w:hAnsi="宋体"/>
          <w:snapToGrid w:val="0"/>
          <w:color w:val="auto"/>
          <w:w w:val="200"/>
          <w:kern w:val="0"/>
          <w:szCs w:val="21"/>
          <w:highlight w:val="none"/>
          <w:u w:val="single"/>
        </w:rPr>
        <w:t xml:space="preserve"> </w:t>
      </w:r>
      <w:r>
        <w:rPr>
          <w:rFonts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u w:val="single"/>
        </w:rPr>
        <w:t xml:space="preserve">            </w:t>
      </w:r>
    </w:p>
    <w:p>
      <w:pPr>
        <w:spacing w:line="360" w:lineRule="auto"/>
        <w:ind w:firstLine="420" w:firstLineChars="200"/>
        <w:rPr>
          <w:rFonts w:ascii="宋体" w:hAnsi="宋体"/>
          <w:snapToGrid w:val="0"/>
          <w:color w:val="auto"/>
          <w:kern w:val="0"/>
          <w:szCs w:val="21"/>
          <w:highlight w:val="none"/>
          <w:u w:val="single"/>
        </w:rPr>
      </w:pPr>
      <w:r>
        <w:rPr>
          <w:rFonts w:hint="eastAsia" w:ascii="宋体" w:hAnsi="宋体"/>
          <w:snapToGrid w:val="0"/>
          <w:color w:val="auto"/>
          <w:kern w:val="0"/>
          <w:szCs w:val="21"/>
          <w:highlight w:val="none"/>
        </w:rPr>
        <w:t>地    址：</w:t>
      </w:r>
      <w:r>
        <w:rPr>
          <w:rFonts w:ascii="宋体" w:hAnsi="宋体"/>
          <w:snapToGrid w:val="0"/>
          <w:color w:val="auto"/>
          <w:w w:val="200"/>
          <w:kern w:val="0"/>
          <w:szCs w:val="21"/>
          <w:highlight w:val="none"/>
          <w:u w:val="single"/>
        </w:rPr>
        <w:t xml:space="preserve"> </w:t>
      </w:r>
      <w:r>
        <w:rPr>
          <w:rFonts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u w:val="single"/>
        </w:rPr>
        <w:t xml:space="preserve">                </w:t>
      </w:r>
    </w:p>
    <w:p>
      <w:pPr>
        <w:spacing w:line="360" w:lineRule="auto"/>
        <w:ind w:firstLine="420" w:firstLineChars="200"/>
        <w:rPr>
          <w:rFonts w:ascii="宋体" w:hAnsi="宋体"/>
          <w:snapToGrid w:val="0"/>
          <w:color w:val="auto"/>
          <w:kern w:val="0"/>
          <w:szCs w:val="21"/>
          <w:highlight w:val="none"/>
          <w:u w:val="single"/>
        </w:rPr>
      </w:pPr>
      <w:r>
        <w:rPr>
          <w:rFonts w:hint="eastAsia" w:ascii="宋体" w:hAnsi="宋体"/>
          <w:snapToGrid w:val="0"/>
          <w:color w:val="auto"/>
          <w:kern w:val="0"/>
          <w:szCs w:val="21"/>
          <w:highlight w:val="none"/>
        </w:rPr>
        <w:t>电    话：</w:t>
      </w:r>
      <w:r>
        <w:rPr>
          <w:rFonts w:ascii="宋体" w:hAnsi="宋体"/>
          <w:snapToGrid w:val="0"/>
          <w:color w:val="auto"/>
          <w:w w:val="200"/>
          <w:kern w:val="0"/>
          <w:szCs w:val="21"/>
          <w:highlight w:val="none"/>
          <w:u w:val="single"/>
        </w:rPr>
        <w:t xml:space="preserve"> </w:t>
      </w:r>
      <w:r>
        <w:rPr>
          <w:rFonts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u w:val="single"/>
        </w:rPr>
        <w:t xml:space="preserve">                </w:t>
      </w:r>
    </w:p>
    <w:p>
      <w:pPr>
        <w:spacing w:line="360" w:lineRule="auto"/>
        <w:ind w:firstLine="420" w:firstLineChars="200"/>
        <w:rPr>
          <w:rFonts w:ascii="宋体" w:hAnsi="宋体"/>
          <w:snapToGrid w:val="0"/>
          <w:color w:val="auto"/>
          <w:kern w:val="0"/>
          <w:szCs w:val="21"/>
          <w:highlight w:val="none"/>
          <w:u w:val="single"/>
        </w:rPr>
      </w:pPr>
      <w:r>
        <w:rPr>
          <w:rFonts w:hint="eastAsia" w:ascii="宋体" w:hAnsi="宋体"/>
          <w:snapToGrid w:val="0"/>
          <w:color w:val="auto"/>
          <w:kern w:val="0"/>
          <w:szCs w:val="21"/>
          <w:highlight w:val="none"/>
        </w:rPr>
        <w:t>开户银行：</w:t>
      </w:r>
      <w:r>
        <w:rPr>
          <w:rFonts w:ascii="宋体" w:hAnsi="宋体"/>
          <w:snapToGrid w:val="0"/>
          <w:color w:val="auto"/>
          <w:w w:val="200"/>
          <w:kern w:val="0"/>
          <w:szCs w:val="21"/>
          <w:highlight w:val="none"/>
          <w:u w:val="single"/>
        </w:rPr>
        <w:t xml:space="preserve"> </w:t>
      </w:r>
      <w:r>
        <w:rPr>
          <w:rFonts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u w:val="single"/>
        </w:rPr>
        <w:t xml:space="preserve">                </w:t>
      </w:r>
    </w:p>
    <w:p>
      <w:pPr>
        <w:spacing w:line="360" w:lineRule="auto"/>
        <w:ind w:firstLine="420" w:firstLineChars="200"/>
        <w:rPr>
          <w:rFonts w:ascii="宋体" w:hAnsi="宋体"/>
          <w:color w:val="auto"/>
          <w:szCs w:val="21"/>
          <w:highlight w:val="none"/>
        </w:rPr>
      </w:pPr>
      <w:r>
        <w:rPr>
          <w:rFonts w:hint="eastAsia" w:ascii="宋体" w:hAnsi="宋体"/>
          <w:snapToGrid w:val="0"/>
          <w:color w:val="auto"/>
          <w:kern w:val="0"/>
          <w:szCs w:val="21"/>
          <w:highlight w:val="none"/>
        </w:rPr>
        <w:t>账    号：</w:t>
      </w:r>
      <w:r>
        <w:rPr>
          <w:rFonts w:ascii="宋体" w:hAnsi="宋体"/>
          <w:snapToGrid w:val="0"/>
          <w:color w:val="auto"/>
          <w:w w:val="200"/>
          <w:kern w:val="0"/>
          <w:szCs w:val="21"/>
          <w:highlight w:val="none"/>
          <w:u w:val="single"/>
        </w:rPr>
        <w:t xml:space="preserve"> </w:t>
      </w:r>
      <w:r>
        <w:rPr>
          <w:rFonts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u w:val="single"/>
        </w:rPr>
        <w:t xml:space="preserve">                </w:t>
      </w:r>
    </w:p>
    <w:p>
      <w:pPr>
        <w:spacing w:line="360" w:lineRule="auto"/>
        <w:rPr>
          <w:rFonts w:ascii="宋体" w:hAnsi="宋体"/>
          <w:snapToGrid w:val="0"/>
          <w:color w:val="auto"/>
          <w:kern w:val="0"/>
          <w:szCs w:val="21"/>
          <w:highlight w:val="none"/>
        </w:rPr>
      </w:pPr>
    </w:p>
    <w:p>
      <w:pPr>
        <w:spacing w:line="360" w:lineRule="auto"/>
        <w:ind w:firstLine="420" w:firstLineChars="200"/>
        <w:rPr>
          <w:rFonts w:ascii="宋体" w:hAnsi="宋体"/>
          <w:color w:val="auto"/>
          <w:szCs w:val="21"/>
          <w:highlight w:val="none"/>
        </w:rPr>
      </w:pPr>
      <w:r>
        <w:rPr>
          <w:rFonts w:ascii="宋体" w:hAnsi="宋体"/>
          <w:snapToGrid w:val="0"/>
          <w:color w:val="auto"/>
          <w:kern w:val="0"/>
          <w:szCs w:val="21"/>
          <w:highlight w:val="none"/>
        </w:rPr>
        <w:t>承包人：</w:t>
      </w:r>
      <w:r>
        <w:rPr>
          <w:rFonts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u w:val="single"/>
        </w:rPr>
        <w:t xml:space="preserve">            </w:t>
      </w:r>
      <w:r>
        <w:rPr>
          <w:rFonts w:ascii="宋体" w:hAnsi="宋体"/>
          <w:snapToGrid w:val="0"/>
          <w:color w:val="auto"/>
          <w:kern w:val="0"/>
          <w:szCs w:val="21"/>
          <w:highlight w:val="none"/>
        </w:rPr>
        <w:t>（公章</w:t>
      </w:r>
      <w:r>
        <w:rPr>
          <w:rFonts w:hint="eastAsia" w:ascii="宋体" w:hAnsi="宋体"/>
          <w:snapToGrid w:val="0"/>
          <w:color w:val="auto"/>
          <w:kern w:val="0"/>
          <w:szCs w:val="21"/>
          <w:highlight w:val="none"/>
        </w:rPr>
        <w:t>或合同专用章</w:t>
      </w:r>
      <w:r>
        <w:rPr>
          <w:rFonts w:ascii="宋体" w:hAnsi="宋体"/>
          <w:snapToGrid w:val="0"/>
          <w:color w:val="auto"/>
          <w:kern w:val="0"/>
          <w:szCs w:val="21"/>
          <w:highlight w:val="none"/>
        </w:rPr>
        <w:t>）</w:t>
      </w:r>
    </w:p>
    <w:p>
      <w:pPr>
        <w:spacing w:line="360" w:lineRule="auto"/>
        <w:ind w:firstLine="420" w:firstLineChars="200"/>
        <w:rPr>
          <w:rFonts w:ascii="宋体" w:hAnsi="宋体"/>
          <w:snapToGrid w:val="0"/>
          <w:color w:val="auto"/>
          <w:kern w:val="0"/>
          <w:szCs w:val="21"/>
          <w:highlight w:val="none"/>
        </w:rPr>
      </w:pPr>
      <w:r>
        <w:rPr>
          <w:rFonts w:ascii="宋体" w:hAnsi="宋体"/>
          <w:snapToGrid w:val="0"/>
          <w:color w:val="auto"/>
          <w:kern w:val="0"/>
          <w:szCs w:val="21"/>
          <w:highlight w:val="none"/>
        </w:rPr>
        <w:t>法定代表人或其委托代理人：</w:t>
      </w:r>
      <w:r>
        <w:rPr>
          <w:rFonts w:ascii="宋体" w:hAnsi="宋体"/>
          <w:snapToGrid w:val="0"/>
          <w:color w:val="auto"/>
          <w:w w:val="200"/>
          <w:kern w:val="0"/>
          <w:szCs w:val="21"/>
          <w:highlight w:val="none"/>
          <w:u w:val="single"/>
        </w:rPr>
        <w:t xml:space="preserve">         </w:t>
      </w:r>
      <w:r>
        <w:rPr>
          <w:rFonts w:hint="eastAsia" w:ascii="宋体" w:hAnsi="宋体"/>
          <w:snapToGrid w:val="0"/>
          <w:color w:val="auto"/>
          <w:w w:val="200"/>
          <w:kern w:val="0"/>
          <w:szCs w:val="21"/>
          <w:highlight w:val="none"/>
          <w:u w:val="single"/>
        </w:rPr>
        <w:t xml:space="preserve"> </w:t>
      </w:r>
      <w:r>
        <w:rPr>
          <w:rFonts w:ascii="宋体" w:hAnsi="宋体"/>
          <w:snapToGrid w:val="0"/>
          <w:color w:val="auto"/>
          <w:kern w:val="0"/>
          <w:szCs w:val="21"/>
          <w:highlight w:val="none"/>
        </w:rPr>
        <w:t>（签字）</w:t>
      </w:r>
    </w:p>
    <w:p>
      <w:pPr>
        <w:spacing w:line="360" w:lineRule="auto"/>
        <w:ind w:firstLine="420" w:firstLineChars="200"/>
        <w:rPr>
          <w:rFonts w:ascii="宋体" w:hAnsi="宋体"/>
          <w:snapToGrid w:val="0"/>
          <w:color w:val="auto"/>
          <w:kern w:val="0"/>
          <w:szCs w:val="21"/>
          <w:highlight w:val="none"/>
        </w:rPr>
      </w:pPr>
      <w:r>
        <w:rPr>
          <w:rFonts w:hint="eastAsia" w:ascii="宋体" w:hAnsi="宋体"/>
          <w:snapToGrid w:val="0"/>
          <w:color w:val="auto"/>
          <w:kern w:val="0"/>
          <w:szCs w:val="21"/>
          <w:highlight w:val="none"/>
        </w:rPr>
        <w:t>统一社会信用代码：</w:t>
      </w:r>
      <w:r>
        <w:rPr>
          <w:rFonts w:ascii="宋体" w:hAnsi="宋体"/>
          <w:snapToGrid w:val="0"/>
          <w:color w:val="auto"/>
          <w:w w:val="200"/>
          <w:kern w:val="0"/>
          <w:szCs w:val="21"/>
          <w:highlight w:val="none"/>
          <w:u w:val="single"/>
        </w:rPr>
        <w:t xml:space="preserve"> </w:t>
      </w:r>
      <w:r>
        <w:rPr>
          <w:rFonts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u w:val="single"/>
        </w:rPr>
        <w:t xml:space="preserve">        </w:t>
      </w:r>
    </w:p>
    <w:p>
      <w:pPr>
        <w:spacing w:line="360" w:lineRule="auto"/>
        <w:ind w:firstLine="420" w:firstLineChars="200"/>
        <w:rPr>
          <w:rFonts w:ascii="宋体" w:hAnsi="宋体"/>
          <w:snapToGrid w:val="0"/>
          <w:color w:val="auto"/>
          <w:kern w:val="0"/>
          <w:szCs w:val="21"/>
          <w:highlight w:val="none"/>
          <w:u w:val="single"/>
        </w:rPr>
      </w:pPr>
      <w:r>
        <w:rPr>
          <w:rFonts w:hint="eastAsia" w:ascii="宋体" w:hAnsi="宋体"/>
          <w:snapToGrid w:val="0"/>
          <w:color w:val="auto"/>
          <w:kern w:val="0"/>
          <w:szCs w:val="21"/>
          <w:highlight w:val="none"/>
        </w:rPr>
        <w:t>纳税人识别号：</w:t>
      </w:r>
      <w:r>
        <w:rPr>
          <w:rFonts w:ascii="宋体" w:hAnsi="宋体"/>
          <w:snapToGrid w:val="0"/>
          <w:color w:val="auto"/>
          <w:w w:val="200"/>
          <w:kern w:val="0"/>
          <w:szCs w:val="21"/>
          <w:highlight w:val="none"/>
          <w:u w:val="single"/>
        </w:rPr>
        <w:t xml:space="preserve"> </w:t>
      </w:r>
      <w:r>
        <w:rPr>
          <w:rFonts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u w:val="single"/>
        </w:rPr>
        <w:t xml:space="preserve">            </w:t>
      </w:r>
    </w:p>
    <w:p>
      <w:pPr>
        <w:spacing w:line="360" w:lineRule="auto"/>
        <w:ind w:firstLine="420" w:firstLineChars="200"/>
        <w:rPr>
          <w:rFonts w:ascii="宋体" w:hAnsi="宋体"/>
          <w:snapToGrid w:val="0"/>
          <w:color w:val="auto"/>
          <w:kern w:val="0"/>
          <w:szCs w:val="21"/>
          <w:highlight w:val="none"/>
          <w:u w:val="single"/>
        </w:rPr>
      </w:pPr>
      <w:r>
        <w:rPr>
          <w:rFonts w:hint="eastAsia" w:ascii="宋体" w:hAnsi="宋体"/>
          <w:snapToGrid w:val="0"/>
          <w:color w:val="auto"/>
          <w:kern w:val="0"/>
          <w:szCs w:val="21"/>
          <w:highlight w:val="none"/>
        </w:rPr>
        <w:t>地    址：</w:t>
      </w:r>
      <w:r>
        <w:rPr>
          <w:rFonts w:ascii="宋体" w:hAnsi="宋体"/>
          <w:snapToGrid w:val="0"/>
          <w:color w:val="auto"/>
          <w:w w:val="200"/>
          <w:kern w:val="0"/>
          <w:szCs w:val="21"/>
          <w:highlight w:val="none"/>
          <w:u w:val="single"/>
        </w:rPr>
        <w:t xml:space="preserve"> </w:t>
      </w:r>
      <w:r>
        <w:rPr>
          <w:rFonts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u w:val="single"/>
        </w:rPr>
        <w:t xml:space="preserve">                </w:t>
      </w:r>
    </w:p>
    <w:p>
      <w:pPr>
        <w:spacing w:line="360" w:lineRule="auto"/>
        <w:ind w:firstLine="420" w:firstLineChars="200"/>
        <w:rPr>
          <w:rFonts w:ascii="宋体" w:hAnsi="宋体"/>
          <w:snapToGrid w:val="0"/>
          <w:color w:val="auto"/>
          <w:kern w:val="0"/>
          <w:szCs w:val="21"/>
          <w:highlight w:val="none"/>
          <w:u w:val="single"/>
        </w:rPr>
      </w:pPr>
      <w:r>
        <w:rPr>
          <w:rFonts w:hint="eastAsia" w:ascii="宋体" w:hAnsi="宋体"/>
          <w:snapToGrid w:val="0"/>
          <w:color w:val="auto"/>
          <w:kern w:val="0"/>
          <w:szCs w:val="21"/>
          <w:highlight w:val="none"/>
        </w:rPr>
        <w:t>电    话：</w:t>
      </w:r>
      <w:r>
        <w:rPr>
          <w:rFonts w:ascii="宋体" w:hAnsi="宋体"/>
          <w:snapToGrid w:val="0"/>
          <w:color w:val="auto"/>
          <w:w w:val="200"/>
          <w:kern w:val="0"/>
          <w:szCs w:val="21"/>
          <w:highlight w:val="none"/>
          <w:u w:val="single"/>
        </w:rPr>
        <w:t xml:space="preserve"> </w:t>
      </w:r>
      <w:r>
        <w:rPr>
          <w:rFonts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u w:val="single"/>
        </w:rPr>
        <w:t xml:space="preserve">                </w:t>
      </w:r>
    </w:p>
    <w:p>
      <w:pPr>
        <w:spacing w:line="360" w:lineRule="auto"/>
        <w:ind w:firstLine="420" w:firstLineChars="200"/>
        <w:rPr>
          <w:rFonts w:ascii="宋体" w:hAnsi="宋体"/>
          <w:snapToGrid w:val="0"/>
          <w:color w:val="auto"/>
          <w:kern w:val="0"/>
          <w:szCs w:val="21"/>
          <w:highlight w:val="none"/>
          <w:u w:val="single"/>
        </w:rPr>
      </w:pPr>
      <w:r>
        <w:rPr>
          <w:rFonts w:hint="eastAsia" w:ascii="宋体" w:hAnsi="宋体"/>
          <w:snapToGrid w:val="0"/>
          <w:color w:val="auto"/>
          <w:kern w:val="0"/>
          <w:szCs w:val="21"/>
          <w:highlight w:val="none"/>
        </w:rPr>
        <w:t>开户银行：</w:t>
      </w:r>
      <w:r>
        <w:rPr>
          <w:rFonts w:ascii="宋体" w:hAnsi="宋体"/>
          <w:snapToGrid w:val="0"/>
          <w:color w:val="auto"/>
          <w:w w:val="200"/>
          <w:kern w:val="0"/>
          <w:szCs w:val="21"/>
          <w:highlight w:val="none"/>
          <w:u w:val="single"/>
        </w:rPr>
        <w:t xml:space="preserve"> </w:t>
      </w:r>
      <w:r>
        <w:rPr>
          <w:rFonts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u w:val="single"/>
        </w:rPr>
        <w:t xml:space="preserve">                </w:t>
      </w:r>
    </w:p>
    <w:p>
      <w:pPr>
        <w:spacing w:line="360" w:lineRule="auto"/>
        <w:ind w:firstLine="420" w:firstLineChars="200"/>
        <w:rPr>
          <w:rFonts w:ascii="宋体" w:hAnsi="宋体"/>
          <w:snapToGrid w:val="0"/>
          <w:color w:val="auto"/>
          <w:kern w:val="0"/>
          <w:szCs w:val="21"/>
          <w:highlight w:val="none"/>
          <w:u w:val="single"/>
        </w:rPr>
      </w:pPr>
      <w:r>
        <w:rPr>
          <w:rFonts w:hint="eastAsia" w:ascii="宋体" w:hAnsi="宋体"/>
          <w:snapToGrid w:val="0"/>
          <w:color w:val="auto"/>
          <w:kern w:val="0"/>
          <w:szCs w:val="21"/>
          <w:highlight w:val="none"/>
        </w:rPr>
        <w:t>账    号：</w:t>
      </w:r>
      <w:r>
        <w:rPr>
          <w:rFonts w:ascii="宋体" w:hAnsi="宋体"/>
          <w:snapToGrid w:val="0"/>
          <w:color w:val="auto"/>
          <w:w w:val="200"/>
          <w:kern w:val="0"/>
          <w:szCs w:val="21"/>
          <w:highlight w:val="none"/>
          <w:u w:val="single"/>
        </w:rPr>
        <w:t xml:space="preserve"> </w:t>
      </w:r>
      <w:r>
        <w:rPr>
          <w:rFonts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u w:val="single"/>
        </w:rPr>
        <w:t xml:space="preserve">                </w:t>
      </w:r>
    </w:p>
    <w:p>
      <w:pPr>
        <w:pStyle w:val="2"/>
        <w:spacing w:line="360" w:lineRule="auto"/>
        <w:rPr>
          <w:rFonts w:ascii="宋体" w:hAnsi="宋体"/>
          <w:color w:val="auto"/>
          <w:szCs w:val="21"/>
          <w:highlight w:val="none"/>
        </w:rPr>
      </w:pPr>
    </w:p>
    <w:p>
      <w:pPr>
        <w:spacing w:line="360" w:lineRule="auto"/>
        <w:jc w:val="right"/>
        <w:rPr>
          <w:rFonts w:hint="eastAsia" w:ascii="宋体" w:hAnsi="宋体"/>
          <w:snapToGrid w:val="0"/>
          <w:color w:val="auto"/>
          <w:kern w:val="0"/>
          <w:szCs w:val="21"/>
          <w:highlight w:val="none"/>
        </w:rPr>
      </w:pPr>
    </w:p>
    <w:p>
      <w:pPr>
        <w:spacing w:line="360" w:lineRule="auto"/>
        <w:jc w:val="right"/>
        <w:rPr>
          <w:rFonts w:hint="eastAsia" w:ascii="宋体" w:hAnsi="宋体"/>
          <w:snapToGrid w:val="0"/>
          <w:color w:val="auto"/>
          <w:kern w:val="0"/>
          <w:szCs w:val="21"/>
          <w:highlight w:val="none"/>
        </w:rPr>
      </w:pPr>
    </w:p>
    <w:p>
      <w:pPr>
        <w:spacing w:line="360" w:lineRule="auto"/>
        <w:jc w:val="right"/>
        <w:rPr>
          <w:rFonts w:ascii="宋体" w:hAnsi="宋体"/>
          <w:snapToGrid w:val="0"/>
          <w:color w:val="auto"/>
          <w:kern w:val="0"/>
          <w:szCs w:val="21"/>
          <w:highlight w:val="none"/>
        </w:rPr>
      </w:pPr>
      <w:r>
        <w:rPr>
          <w:rFonts w:hint="eastAsia" w:ascii="宋体" w:hAnsi="宋体"/>
          <w:snapToGrid w:val="0"/>
          <w:color w:val="auto"/>
          <w:kern w:val="0"/>
          <w:szCs w:val="21"/>
          <w:highlight w:val="none"/>
        </w:rPr>
        <w:t>签约时间：</w:t>
      </w:r>
      <w:r>
        <w:rPr>
          <w:rFonts w:hint="eastAsia"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rPr>
        <w:t>年</w:t>
      </w:r>
      <w:r>
        <w:rPr>
          <w:rFonts w:hint="eastAsia"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rPr>
        <w:t>月</w:t>
      </w:r>
      <w:r>
        <w:rPr>
          <w:rFonts w:hint="eastAsia"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rPr>
        <w:t>日</w:t>
      </w:r>
      <w:bookmarkEnd w:id="46"/>
    </w:p>
    <w:p>
      <w:pPr>
        <w:pStyle w:val="4"/>
        <w:jc w:val="center"/>
        <w:rPr>
          <w:rFonts w:ascii="宋体" w:hAnsi="宋体"/>
          <w:bCs w:val="0"/>
          <w:color w:val="auto"/>
          <w:sz w:val="21"/>
          <w:szCs w:val="21"/>
          <w:highlight w:val="none"/>
        </w:rPr>
      </w:pPr>
      <w:r>
        <w:rPr>
          <w:rFonts w:hint="eastAsia" w:ascii="宋体" w:hAnsi="宋体"/>
          <w:b w:val="0"/>
          <w:snapToGrid w:val="0"/>
          <w:color w:val="auto"/>
          <w:sz w:val="21"/>
          <w:szCs w:val="21"/>
          <w:highlight w:val="none"/>
          <w:lang w:val="zh-CN"/>
        </w:rPr>
        <w:br w:type="page"/>
      </w:r>
      <w:bookmarkStart w:id="47" w:name="_Toc529388289"/>
      <w:bookmarkStart w:id="48" w:name="_Toc532375586"/>
      <w:bookmarkStart w:id="49" w:name="_Toc19856"/>
      <w:bookmarkStart w:id="50" w:name="_Toc532377179"/>
      <w:bookmarkStart w:id="51" w:name="_Toc57905908"/>
      <w:r>
        <w:rPr>
          <w:rFonts w:hint="eastAsia" w:ascii="宋体" w:hAnsi="宋体"/>
          <w:color w:val="auto"/>
          <w:sz w:val="44"/>
          <w:szCs w:val="44"/>
          <w:highlight w:val="none"/>
        </w:rPr>
        <w:t>第二部分 通用合同条款</w:t>
      </w:r>
      <w:bookmarkEnd w:id="47"/>
      <w:bookmarkEnd w:id="48"/>
      <w:bookmarkEnd w:id="49"/>
      <w:bookmarkEnd w:id="50"/>
      <w:bookmarkEnd w:id="51"/>
    </w:p>
    <w:p>
      <w:pPr>
        <w:pStyle w:val="5"/>
        <w:keepNext/>
        <w:keepLines/>
        <w:spacing w:before="156" w:beforeLines="50" w:beforeAutospacing="0" w:after="156" w:afterLines="50" w:afterAutospacing="0" w:line="360" w:lineRule="auto"/>
        <w:jc w:val="both"/>
        <w:rPr>
          <w:color w:val="auto"/>
          <w:kern w:val="2"/>
          <w:sz w:val="21"/>
          <w:szCs w:val="21"/>
          <w:highlight w:val="none"/>
        </w:rPr>
      </w:pPr>
      <w:bookmarkStart w:id="52" w:name="_Toc532377180"/>
      <w:bookmarkStart w:id="53" w:name="_Toc351203495"/>
      <w:bookmarkStart w:id="54" w:name="_Toc532375587"/>
      <w:r>
        <w:rPr>
          <w:rFonts w:hint="eastAsia"/>
          <w:color w:val="auto"/>
          <w:kern w:val="2"/>
          <w:sz w:val="21"/>
          <w:szCs w:val="21"/>
          <w:highlight w:val="none"/>
        </w:rPr>
        <w:t>1.</w:t>
      </w:r>
      <w:bookmarkStart w:id="55" w:name="_Toc303538972"/>
      <w:bookmarkEnd w:id="55"/>
      <w:bookmarkStart w:id="56" w:name="_Toc303538974"/>
      <w:bookmarkEnd w:id="56"/>
      <w:bookmarkStart w:id="57" w:name="_Toc303538976"/>
      <w:bookmarkEnd w:id="57"/>
      <w:bookmarkStart w:id="58" w:name="_Toc303538975"/>
      <w:bookmarkEnd w:id="58"/>
      <w:bookmarkStart w:id="59" w:name="_Toc303538973"/>
      <w:bookmarkEnd w:id="59"/>
      <w:bookmarkStart w:id="60" w:name="_Toc296503027"/>
      <w:bookmarkStart w:id="61" w:name="_Toc296346528"/>
      <w:r>
        <w:rPr>
          <w:rFonts w:hint="eastAsia"/>
          <w:color w:val="auto"/>
          <w:kern w:val="2"/>
          <w:sz w:val="21"/>
          <w:szCs w:val="21"/>
          <w:highlight w:val="none"/>
        </w:rPr>
        <w:t>一般约定</w:t>
      </w:r>
      <w:bookmarkEnd w:id="52"/>
      <w:bookmarkEnd w:id="53"/>
      <w:bookmarkEnd w:id="54"/>
      <w:bookmarkEnd w:id="60"/>
      <w:bookmarkEnd w:id="61"/>
    </w:p>
    <w:p>
      <w:pPr>
        <w:pStyle w:val="6"/>
        <w:spacing w:before="0" w:beforeAutospacing="0" w:after="0" w:afterAutospacing="0" w:line="360" w:lineRule="auto"/>
        <w:ind w:firstLine="422" w:firstLineChars="200"/>
        <w:rPr>
          <w:color w:val="auto"/>
          <w:sz w:val="21"/>
          <w:szCs w:val="21"/>
          <w:highlight w:val="none"/>
        </w:rPr>
      </w:pPr>
      <w:bookmarkStart w:id="62" w:name="_Toc296346529"/>
      <w:bookmarkStart w:id="63" w:name="_Toc296503028"/>
      <w:bookmarkStart w:id="64" w:name="_Toc337558728"/>
      <w:bookmarkStart w:id="65" w:name="_Toc351203496"/>
      <w:bookmarkStart w:id="66" w:name="_Toc532377181"/>
      <w:r>
        <w:rPr>
          <w:rFonts w:hint="eastAsia"/>
          <w:color w:val="auto"/>
          <w:sz w:val="21"/>
          <w:szCs w:val="21"/>
          <w:highlight w:val="none"/>
        </w:rPr>
        <w:t>1.1词语定义</w:t>
      </w:r>
      <w:bookmarkEnd w:id="62"/>
      <w:bookmarkEnd w:id="63"/>
      <w:bookmarkEnd w:id="64"/>
      <w:r>
        <w:rPr>
          <w:rFonts w:hint="eastAsia"/>
          <w:color w:val="auto"/>
          <w:sz w:val="21"/>
          <w:szCs w:val="21"/>
          <w:highlight w:val="none"/>
        </w:rPr>
        <w:t>与解释</w:t>
      </w:r>
      <w:bookmarkEnd w:id="65"/>
      <w:bookmarkEnd w:id="66"/>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合同协议书、通用合同条款、专用合同条款中的下列词语具有本款所赋予的含义：</w:t>
      </w:r>
    </w:p>
    <w:p>
      <w:pPr>
        <w:pStyle w:val="6"/>
        <w:spacing w:before="0" w:beforeAutospacing="0" w:after="0" w:afterAutospacing="0" w:line="360" w:lineRule="auto"/>
        <w:ind w:firstLine="420" w:firstLineChars="200"/>
        <w:rPr>
          <w:b w:val="0"/>
          <w:bCs w:val="0"/>
          <w:color w:val="auto"/>
          <w:sz w:val="21"/>
          <w:szCs w:val="21"/>
          <w:highlight w:val="none"/>
        </w:rPr>
      </w:pPr>
      <w:bookmarkStart w:id="67" w:name="_Toc532377182"/>
      <w:r>
        <w:rPr>
          <w:rFonts w:hint="eastAsia"/>
          <w:b w:val="0"/>
          <w:bCs w:val="0"/>
          <w:color w:val="auto"/>
          <w:sz w:val="21"/>
          <w:szCs w:val="21"/>
          <w:highlight w:val="none"/>
        </w:rPr>
        <w:t>1.1.1 合同</w:t>
      </w:r>
      <w:bookmarkEnd w:id="67"/>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1.1.1.1 合同：是指根据法律规定和合同当事人约定具有约束力的文件，构成合同的文件包括合同协议书、中标通知书（如有）、投标函及其附录（如有）、专用合同条款</w:t>
      </w:r>
      <w:r>
        <w:rPr>
          <w:rFonts w:hint="eastAsia" w:ascii="宋体" w:hAnsi="宋体"/>
          <w:color w:val="auto"/>
          <w:szCs w:val="21"/>
          <w:highlight w:val="none"/>
        </w:rPr>
        <w:t>及其附件</w:t>
      </w:r>
      <w:r>
        <w:rPr>
          <w:rFonts w:hint="eastAsia" w:ascii="宋体" w:hAnsi="宋体"/>
          <w:color w:val="auto"/>
          <w:kern w:val="0"/>
          <w:szCs w:val="21"/>
          <w:highlight w:val="none"/>
        </w:rPr>
        <w:t>、通用合同条款、技术标准和要求、图纸、已标价工程量清单或预算书以及其他合同文件。</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1.1.1.2 合同协议书：是指构成合同的由发包人和承包人共同签署的称为“合同协议书”的书面文件。</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1.1.1.3 中标通知书：是指构成合同的由发包人通知承包人中标的书面文件。</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1.1.1.4 投标函：是指构成合同的由承包人填写并签署的用于投标的称为“投标函”的文件。</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1.1.1.5 投标函附录：是指构成合同的附在投标函后的称为“投标函附录”的文件。</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1.1.1.6 技术标准和要求：是指构成合同的施工应当遵守的或指导施工的国家、行业或地方的技术标准和要求，以及合同约定的技术标准和要求。</w:t>
      </w:r>
    </w:p>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1.1.1.7 图纸：是指构成合同的图纸，包括由发包人按照合同约定提供或经发包人批准的设计文件、施工图、鸟瞰图及模型等，以及在合同履行过程中形成的图纸文件。图纸应当按照法律规定审查合格。</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1.1.1.8 已标价工程量清单：是指构成合同的由承包人按照规定的格式和要求填写并标明价格的工程量清单，包括说明和表格。</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1.1.1.9 预算书：是指构成合同的由承包人按照发包人规定的格式和要求编制的工程预算文件。</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1.1.1.10 其他合同文件：是指经合同当事人约定的与工程施工有关的具有合同约束力的文件或书面协议。合同当事人可以在专用合同条款中进行约定。</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1.1.2 合同当事人及其他相关方</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1.1.2.1 合同当事人：是指发包人和（或）承包人。</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1.1.2.2 发包人：是指与承包人签订合同协议书的当事人及取得该当事人资格的合法继承人。</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1.1.2.3 承包人：是指与发包人签订合同协议书的，具有相应工程施工承包资质的当事人及取得该当事人资格的合法继承人。</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1.1.2.4 监理人：是指在专用合同条款中指明的，受发包人委托按照法律规定进行工程监督管理的法人或其他组织。</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1.1.2.5 设计人：是指在专用合同条款中指明的，受发包人委托负责工程设计并具备相应工程设计资质的法人或其他组织。</w:t>
      </w:r>
    </w:p>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1.1.2.6 分包人：</w:t>
      </w:r>
      <w:bookmarkStart w:id="68" w:name="#go5"/>
      <w:bookmarkEnd w:id="68"/>
      <w:r>
        <w:rPr>
          <w:rFonts w:hint="eastAsia" w:ascii="宋体" w:hAnsi="宋体"/>
          <w:color w:val="auto"/>
          <w:kern w:val="0"/>
          <w:szCs w:val="21"/>
          <w:highlight w:val="none"/>
        </w:rPr>
        <w:t>是指按照法律规定和合同约定，分包部分工程或工作，并与承包人签订分包合同的具有相应资质的法人。</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1.1.2.7 发包人代表：是指由发包人任命并派驻施工现场在发包人授权范围内行使发包人权利的人。</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1.1.2.8 项目经理：是指由承包人任命并派驻施工现场，在承包人授权范围内负责合同履行，且按照法律规定具有相应资格的项目负责人。</w:t>
      </w:r>
    </w:p>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1.1.2.9 总监理工程师：是指由监理人任命并派驻施工现场进行工程监理的总负责人。</w:t>
      </w:r>
    </w:p>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1.1.3 工程和设备</w:t>
      </w:r>
    </w:p>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1.1.3.1 工程：是指与合同协议书中工程承包范围对应的永久工程和（或）临时工程。</w:t>
      </w:r>
    </w:p>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1.1.3.2 永久工程：是指按合同约定建造并移交给发包人的工程，包括工程设备。</w:t>
      </w:r>
    </w:p>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1.1.3.3 临时工程：是指为完成合同约定的永久工程所修建的各类临时性工程，不包括施工设备。</w:t>
      </w:r>
    </w:p>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1.1.3.4 单位工程：是指在合同协议书中指明的，具备独立施工条件并能形成独立使用功能的永久工程。</w:t>
      </w:r>
    </w:p>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1.1.3.5 工程设备：是指构成永久工程的机电设备、金属结构设备、仪器及其他类似的设备和装置。</w:t>
      </w:r>
    </w:p>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1.1.3.6 施工设备：是指为完成合同约定的各项工作所需的设备、器具和其他物品，但不包括工程设备、临时工程和材料。</w:t>
      </w:r>
    </w:p>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1.1.3.7 施工现场：是指用于工程施工的场所，以及在专用合同条款中指明作为施工场所组成部分的其他场所，包括永久占地和临时占地。</w:t>
      </w:r>
    </w:p>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1.1.3.8临时设施：是指为完成合同约定的各项工作所服务的临时性生产和生活设施。</w:t>
      </w:r>
    </w:p>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1.1.3.9 永久占地：是指专用合同条款中指明为实施工程需永久占用的土地。</w:t>
      </w:r>
    </w:p>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1.1.3.10 临时占地：是指专用合同条款中指明为实施工程需要临时占用的土地。</w:t>
      </w:r>
    </w:p>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1.1.4 日期和期限</w:t>
      </w:r>
    </w:p>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1.1.4.1 开工日期：包括计划开工日期和实际开工日期。计划开工日期是指合同协议书约定的开工日期；实际开工日期是指监理人按照第7.3.2项〔开工通知〕约定发出的符合法律规定的开工通知中载明的开工日期。</w:t>
      </w:r>
    </w:p>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 xml:space="preserve">1.1.4.2 竣工日期：包括计划竣工日期和实际竣工日期。计划竣工日期是指合同协议书约定的竣工日期；实际竣工日期按照第13.2.3项〔竣工日期〕的约定确定。 </w:t>
      </w:r>
    </w:p>
    <w:p>
      <w:pPr>
        <w:spacing w:line="360" w:lineRule="auto"/>
        <w:ind w:firstLine="420" w:firstLineChars="200"/>
        <w:jc w:val="left"/>
        <w:rPr>
          <w:rFonts w:ascii="宋体" w:hAnsi="宋体"/>
          <w:color w:val="auto"/>
          <w:szCs w:val="21"/>
          <w:highlight w:val="none"/>
        </w:rPr>
      </w:pPr>
      <w:r>
        <w:rPr>
          <w:rFonts w:hint="eastAsia" w:ascii="宋体" w:hAnsi="宋体"/>
          <w:color w:val="auto"/>
          <w:kern w:val="0"/>
          <w:szCs w:val="21"/>
          <w:highlight w:val="none"/>
        </w:rPr>
        <w:t>1.1.4.3 工期：是指在合同协议书约定的承包人完成工程所需的期限，包括按照合同约定所作的期限变更。</w:t>
      </w:r>
    </w:p>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1.1.4.4 缺陷责任期：是指承包人按照合同约定承担缺陷修复义务，且发包人预留质量保证金（已缴纳履约保证金的除外）的期限，自工程实际竣工日期起计算。</w:t>
      </w:r>
    </w:p>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1.1.4.5 保修期：是指承包人按照合同约定对工程承担保修责任的期限，从工程竣工验收合格之日起计算。</w:t>
      </w:r>
    </w:p>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1.1.4.6 基准日期：招标发包的工程以投标截止日前28天的日期为基准日期，直接发包的工程以合同签订日前28天的日期为基准日期。</w:t>
      </w:r>
    </w:p>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1.1.4.7 天：除特别指明外，均指日历天。合同中按天计算时间的，开始当天不计入，从次日开始计算，期限最后一天的截止时间为当天24：00时。</w:t>
      </w:r>
    </w:p>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1.1.5 合同价格和费用</w:t>
      </w:r>
    </w:p>
    <w:p>
      <w:pPr>
        <w:spacing w:line="360" w:lineRule="auto"/>
        <w:ind w:firstLine="420" w:firstLineChars="200"/>
        <w:jc w:val="left"/>
        <w:rPr>
          <w:rFonts w:ascii="宋体" w:hAnsi="宋体"/>
          <w:color w:val="auto"/>
          <w:szCs w:val="21"/>
          <w:highlight w:val="none"/>
        </w:rPr>
      </w:pPr>
      <w:r>
        <w:rPr>
          <w:rFonts w:hint="eastAsia" w:ascii="宋体" w:hAnsi="宋体"/>
          <w:color w:val="auto"/>
          <w:kern w:val="0"/>
          <w:szCs w:val="21"/>
          <w:highlight w:val="none"/>
        </w:rPr>
        <w:t>1.1.5.1 签约合同价：是指</w:t>
      </w:r>
      <w:r>
        <w:rPr>
          <w:rFonts w:hint="eastAsia" w:ascii="宋体" w:hAnsi="宋体"/>
          <w:color w:val="auto"/>
          <w:szCs w:val="21"/>
          <w:highlight w:val="none"/>
        </w:rPr>
        <w:t>发包人和承包人在合同协议书中确定的总金额，包括安全文明施工费、暂估价及暂列金额等。</w:t>
      </w:r>
    </w:p>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1.1.5.2 合同价格：是指发包人用于支付承包人按照合同约定完成承包范围内全部工作的金额，包括合同履行过程中按合同约定发生的价格变化。</w:t>
      </w:r>
    </w:p>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1.1.5.3 费用：是指为履行合同所发生的或将要发生的所有必需的开支，包括管理费和应分摊的其他费用，但不包括利润。</w:t>
      </w:r>
    </w:p>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1.1.5.4 暂估价：是指发包人在工程量清单或预算书中提供的用于支付必然发生但暂时不能确定价格的材料、工程设备的单价、专业工程以及服务工作的金额。</w:t>
      </w:r>
    </w:p>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1.1.5.5 暂列金额：是指发包人在工程量清单或预算书中暂定并包括在合同价格中的一笔款项，用于工程合同签订时尚未确定或者不可预见的所需材料、工程设备、服务的采购，施工中可能发生的工程变更、合同约定调整因素出现时的合同价格调整以及发生的索赔、现场签证确认等的费用。</w:t>
      </w:r>
    </w:p>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1.1.5.6 计日工：是指合同履行过程中，承包人完成发包人提出的零星工作或需要采用计日工计价的变更工作时，按合同中约定的单价计价的一种方式。</w:t>
      </w:r>
    </w:p>
    <w:p>
      <w:pPr>
        <w:spacing w:line="360" w:lineRule="auto"/>
        <w:ind w:firstLine="420" w:firstLineChars="200"/>
        <w:jc w:val="left"/>
        <w:rPr>
          <w:rFonts w:ascii="宋体" w:hAnsi="宋体"/>
          <w:color w:val="auto"/>
          <w:szCs w:val="21"/>
          <w:highlight w:val="none"/>
        </w:rPr>
      </w:pPr>
      <w:r>
        <w:rPr>
          <w:rFonts w:hint="eastAsia" w:ascii="宋体" w:hAnsi="宋体"/>
          <w:color w:val="auto"/>
          <w:kern w:val="0"/>
          <w:szCs w:val="21"/>
          <w:highlight w:val="none"/>
        </w:rPr>
        <w:t>1.1.5.7 质量保证金</w:t>
      </w:r>
      <w:bookmarkStart w:id="69" w:name="#go2"/>
      <w:bookmarkEnd w:id="69"/>
      <w:r>
        <w:rPr>
          <w:rFonts w:hint="eastAsia" w:ascii="宋体" w:hAnsi="宋体"/>
          <w:color w:val="auto"/>
          <w:kern w:val="0"/>
          <w:szCs w:val="21"/>
          <w:highlight w:val="none"/>
        </w:rPr>
        <w:t>：是指按照第15.3款〔质量保证金〕约定承包人用于保证其在缺陷责任期内履行缺陷修补义务的担保</w:t>
      </w:r>
      <w:r>
        <w:rPr>
          <w:rFonts w:hint="eastAsia" w:ascii="宋体" w:hAnsi="宋体"/>
          <w:color w:val="auto"/>
          <w:szCs w:val="21"/>
          <w:highlight w:val="none"/>
        </w:rPr>
        <w:t>。</w:t>
      </w:r>
    </w:p>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1.1.5.8 总价项目：是指在现行国家、行业以及地方的计量规则中无工程量计算规则，在已标价工程量清单或预算书中以总价或以费率形式计算的项目。</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1.1.6 其他</w:t>
      </w:r>
    </w:p>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1.1.6.1 书面形式：是指合同文件、信函、电报、传真等可以有形地表现所载内容的形式。</w:t>
      </w:r>
    </w:p>
    <w:p>
      <w:pPr>
        <w:pStyle w:val="6"/>
        <w:spacing w:before="0" w:beforeAutospacing="0" w:after="0" w:afterAutospacing="0" w:line="360" w:lineRule="auto"/>
        <w:ind w:firstLine="422" w:firstLineChars="200"/>
        <w:rPr>
          <w:color w:val="auto"/>
          <w:sz w:val="21"/>
          <w:szCs w:val="21"/>
          <w:highlight w:val="none"/>
        </w:rPr>
      </w:pPr>
      <w:bookmarkStart w:id="70" w:name="_Toc532377183"/>
      <w:r>
        <w:rPr>
          <w:rFonts w:hint="eastAsia"/>
          <w:color w:val="auto"/>
          <w:sz w:val="21"/>
          <w:szCs w:val="21"/>
          <w:highlight w:val="none"/>
        </w:rPr>
        <w:t>1.2 语言文字</w:t>
      </w:r>
      <w:bookmarkEnd w:id="70"/>
    </w:p>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合同以中国的汉语简体文字编写、解释和说明。合同当事人在专用合同条款中约定使用两种以上语言时，汉语为优先解释和说明合同的语言。</w:t>
      </w:r>
    </w:p>
    <w:p>
      <w:pPr>
        <w:pStyle w:val="6"/>
        <w:spacing w:before="0" w:beforeAutospacing="0" w:after="0" w:afterAutospacing="0" w:line="360" w:lineRule="auto"/>
        <w:ind w:firstLine="422" w:firstLineChars="200"/>
        <w:rPr>
          <w:color w:val="auto"/>
          <w:sz w:val="21"/>
          <w:szCs w:val="21"/>
          <w:highlight w:val="none"/>
        </w:rPr>
      </w:pPr>
      <w:bookmarkStart w:id="71" w:name="_Toc296503030"/>
      <w:bookmarkStart w:id="72" w:name="_Toc337558730"/>
      <w:bookmarkStart w:id="73" w:name="_Toc351203498"/>
      <w:bookmarkStart w:id="74" w:name="_Toc532377184"/>
      <w:bookmarkStart w:id="75" w:name="_Toc296346531"/>
      <w:r>
        <w:rPr>
          <w:rFonts w:hint="eastAsia"/>
          <w:color w:val="auto"/>
          <w:sz w:val="21"/>
          <w:szCs w:val="21"/>
          <w:highlight w:val="none"/>
        </w:rPr>
        <w:t>1.3法律</w:t>
      </w:r>
      <w:bookmarkEnd w:id="71"/>
      <w:bookmarkEnd w:id="72"/>
      <w:bookmarkEnd w:id="73"/>
      <w:bookmarkEnd w:id="74"/>
      <w:bookmarkEnd w:id="75"/>
    </w:p>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合同所称法律是指中华人民共和国法律、行政法规、部门规章，以及工程所在地的地方性法规、自治条例、单行条例和地方政府规章等。</w:t>
      </w:r>
    </w:p>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合同当事人可以在专用合同条款中约定合同适用的其他规范性文件。</w:t>
      </w:r>
    </w:p>
    <w:p>
      <w:pPr>
        <w:pStyle w:val="6"/>
        <w:spacing w:before="0" w:beforeAutospacing="0" w:after="0" w:afterAutospacing="0" w:line="360" w:lineRule="auto"/>
        <w:ind w:firstLine="422" w:firstLineChars="200"/>
        <w:rPr>
          <w:color w:val="auto"/>
          <w:sz w:val="21"/>
          <w:szCs w:val="21"/>
          <w:highlight w:val="none"/>
        </w:rPr>
      </w:pPr>
      <w:bookmarkStart w:id="76" w:name="_Toc351203499"/>
      <w:bookmarkStart w:id="77" w:name="_Toc532377185"/>
      <w:r>
        <w:rPr>
          <w:rFonts w:hint="eastAsia"/>
          <w:color w:val="auto"/>
          <w:sz w:val="21"/>
          <w:szCs w:val="21"/>
          <w:highlight w:val="none"/>
        </w:rPr>
        <w:t>1.4 标准和规范</w:t>
      </w:r>
      <w:bookmarkEnd w:id="76"/>
      <w:bookmarkEnd w:id="77"/>
    </w:p>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1.4.1 适用于工程的国家标准、行业标准、工程所在地的地方性标准，以及相应的规范、规程等，合同当事人有特别要求的，应在专用合同条款中约定。</w:t>
      </w:r>
    </w:p>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1.4.2 发包人要求使用国外标准、规范的，发包人负责提供原文版本和中文译本，并在专用合同条款中约定提供标准规范的名称、份数和时间。</w:t>
      </w:r>
    </w:p>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1.4.3 发包人对工程的技术标准、功能要求高于或严于现行国家、行业或地方标准的，应当在专用合同条款中予以明确。除专用合同条款另有约定外，应视为承包人在签订合同前已充分预见前述技术标准和功能要求的复杂程度，签约合同价中已包含由此产生的费用。</w:t>
      </w:r>
    </w:p>
    <w:p>
      <w:pPr>
        <w:pStyle w:val="6"/>
        <w:spacing w:before="0" w:beforeAutospacing="0" w:after="0" w:afterAutospacing="0" w:line="360" w:lineRule="auto"/>
        <w:ind w:firstLine="422" w:firstLineChars="200"/>
        <w:rPr>
          <w:color w:val="auto"/>
          <w:sz w:val="21"/>
          <w:szCs w:val="21"/>
          <w:highlight w:val="none"/>
        </w:rPr>
      </w:pPr>
      <w:bookmarkStart w:id="78" w:name="_Toc532377186"/>
      <w:bookmarkStart w:id="79" w:name="_Toc351203500"/>
      <w:r>
        <w:rPr>
          <w:rFonts w:hint="eastAsia"/>
          <w:color w:val="auto"/>
          <w:sz w:val="21"/>
          <w:szCs w:val="21"/>
          <w:highlight w:val="none"/>
        </w:rPr>
        <w:t>1</w:t>
      </w:r>
      <w:bookmarkStart w:id="80" w:name="_Toc296503031"/>
      <w:bookmarkStart w:id="81" w:name="_Toc296346532"/>
      <w:bookmarkStart w:id="82" w:name="_Toc337558731"/>
      <w:r>
        <w:rPr>
          <w:rFonts w:hint="eastAsia"/>
          <w:color w:val="auto"/>
          <w:sz w:val="21"/>
          <w:szCs w:val="21"/>
          <w:highlight w:val="none"/>
        </w:rPr>
        <w:t>.5 合同文件的优先顺序</w:t>
      </w:r>
      <w:bookmarkEnd w:id="78"/>
      <w:bookmarkEnd w:id="79"/>
    </w:p>
    <w:bookmarkEnd w:id="80"/>
    <w:bookmarkEnd w:id="81"/>
    <w:bookmarkEnd w:id="82"/>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组成合同的各项文件应互相解释，互为说明。除专用合同条款另有约定外，解释合同文件的优先顺序如下：</w:t>
      </w:r>
    </w:p>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（1）合同协议书；</w:t>
      </w:r>
    </w:p>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（2）中标通知书（如有）；</w:t>
      </w:r>
    </w:p>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（3）投标函及其附录（如有）；</w:t>
      </w:r>
    </w:p>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（4）专用合同条款及其附件；</w:t>
      </w:r>
    </w:p>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（5）通用合同条款；</w:t>
      </w:r>
    </w:p>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（6）技术标准和要求；</w:t>
      </w:r>
    </w:p>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（7）图纸；</w:t>
      </w:r>
    </w:p>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（8）已标价工程量清单或预算书；</w:t>
      </w:r>
    </w:p>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（9）其他合同文件。</w:t>
      </w:r>
    </w:p>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上述各项合同文件包括合同当事人就该项合同文件所作出的补充和修改，属于同一类内容的文件，应以最新签署的为准。</w:t>
      </w:r>
    </w:p>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在合同订立及履行过程中形成的与合同有关的文件均构成合同文件组成部分，并根据其性质确定优先解释顺序。</w:t>
      </w:r>
    </w:p>
    <w:p>
      <w:pPr>
        <w:pStyle w:val="6"/>
        <w:spacing w:before="0" w:beforeAutospacing="0" w:after="0" w:afterAutospacing="0" w:line="360" w:lineRule="auto"/>
        <w:ind w:firstLine="422" w:firstLineChars="200"/>
        <w:rPr>
          <w:color w:val="auto"/>
          <w:sz w:val="21"/>
          <w:szCs w:val="21"/>
          <w:highlight w:val="none"/>
        </w:rPr>
      </w:pPr>
      <w:bookmarkStart w:id="83" w:name="_Toc532377187"/>
      <w:bookmarkStart w:id="84" w:name="_Toc351203501"/>
      <w:r>
        <w:rPr>
          <w:rFonts w:hint="eastAsia"/>
          <w:color w:val="auto"/>
          <w:sz w:val="21"/>
          <w:szCs w:val="21"/>
          <w:highlight w:val="none"/>
        </w:rPr>
        <w:t>1</w:t>
      </w:r>
      <w:bookmarkStart w:id="85" w:name="_Toc296503032"/>
      <w:bookmarkStart w:id="86" w:name="_Toc296346533"/>
      <w:bookmarkStart w:id="87" w:name="_Toc337558732"/>
      <w:r>
        <w:rPr>
          <w:rFonts w:hint="eastAsia"/>
          <w:color w:val="auto"/>
          <w:sz w:val="21"/>
          <w:szCs w:val="21"/>
          <w:highlight w:val="none"/>
        </w:rPr>
        <w:t>.6图纸和承包人文件</w:t>
      </w:r>
      <w:bookmarkEnd w:id="83"/>
      <w:bookmarkEnd w:id="84"/>
    </w:p>
    <w:bookmarkEnd w:id="85"/>
    <w:bookmarkEnd w:id="86"/>
    <w:bookmarkEnd w:id="87"/>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1.6.1 图纸的提供和交底</w:t>
      </w:r>
    </w:p>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发包人应按照专用合同条款约定的期限、数量和内容向承包人免费提供图纸，并组织承包人、监理人和设计人进行图纸会审和设计交底。发包人至迟不得晚于第7.3.2项〔开工通知〕载明的开工日期前14天向承包人提供图纸。</w:t>
      </w:r>
    </w:p>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因发包人未按合同约定提供图纸导致承包人费用增加和（或）工期延误的，按照第7.5.1项〔因发包人原因导致工期延误〕约定办理。</w:t>
      </w:r>
    </w:p>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1.6.2 图纸的错误</w:t>
      </w:r>
    </w:p>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承包人在收到发包人提供的图纸后，发现图纸存在差错、遗漏或缺陷的，应及时通知监理人。监理人接到该通知后，应附具相关意见并立即报送发包人，发包人应在收到监理人报送的通知后的合理时间内作出决定。合理时间是指发包人在收到监理人的报送通知后，尽其努力且不懈怠地完成图纸修改补充所需的时间。</w:t>
      </w:r>
    </w:p>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1.6.3 图纸的修改和补充</w:t>
      </w:r>
    </w:p>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图纸需要修改和补充的，应经图纸原设计人及审批部门同意，并由监理人在工程或工程相应部位施工前将修改后的图纸或补充图纸提交给承包人，承包人应按修改或补充后的图纸施工。</w:t>
      </w:r>
    </w:p>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1.6.4 承包人文件</w:t>
      </w:r>
    </w:p>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承包人应按照专用合同条款的约定提供应当由其编制的与工程施工有关的文件，并按照专用合同条款约定的期限、数量和形式提交监理人，并由监理人报送发包人。</w:t>
      </w:r>
    </w:p>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除专用合同条款另有约定外，监理人应在收到承包人文件后7天内审查完毕，监理人对承包人文件有异议的，承包人应予以修改，并重新报送监理人。监理人的审查并不减轻或免除承包人根据合同约定应当承担的责任。</w:t>
      </w:r>
    </w:p>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1.6.5 图纸和承包人文件的保管</w:t>
      </w:r>
    </w:p>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除专用合同条款另有约定外，承包人应在施工现场另外保存一套完整的图纸和承包人文件，供发包人、监理人及有关人员进行工程检查时使用。</w:t>
      </w:r>
    </w:p>
    <w:p>
      <w:pPr>
        <w:pStyle w:val="6"/>
        <w:spacing w:before="0" w:beforeAutospacing="0" w:after="0" w:afterAutospacing="0" w:line="360" w:lineRule="auto"/>
        <w:ind w:firstLine="422" w:firstLineChars="200"/>
        <w:rPr>
          <w:color w:val="auto"/>
          <w:sz w:val="21"/>
          <w:szCs w:val="21"/>
          <w:highlight w:val="none"/>
        </w:rPr>
      </w:pPr>
      <w:bookmarkStart w:id="88" w:name="_Toc351203502"/>
      <w:bookmarkStart w:id="89" w:name="_Toc532377188"/>
      <w:r>
        <w:rPr>
          <w:rFonts w:hint="eastAsia"/>
          <w:color w:val="auto"/>
          <w:sz w:val="21"/>
          <w:szCs w:val="21"/>
          <w:highlight w:val="none"/>
        </w:rPr>
        <w:t>1</w:t>
      </w:r>
      <w:bookmarkStart w:id="90" w:name="_Toc296346534"/>
      <w:bookmarkStart w:id="91" w:name="_Toc296503033"/>
      <w:bookmarkStart w:id="92" w:name="_Toc337558733"/>
      <w:r>
        <w:rPr>
          <w:rFonts w:hint="eastAsia"/>
          <w:color w:val="auto"/>
          <w:sz w:val="21"/>
          <w:szCs w:val="21"/>
          <w:highlight w:val="none"/>
        </w:rPr>
        <w:t>.7联络</w:t>
      </w:r>
      <w:bookmarkEnd w:id="88"/>
      <w:bookmarkEnd w:id="89"/>
    </w:p>
    <w:bookmarkEnd w:id="90"/>
    <w:bookmarkEnd w:id="91"/>
    <w:bookmarkEnd w:id="92"/>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1.7.1 与合同有关的通知、批准、证明、证书、指示、指令、要求、请求、同意、意见、确定和决定等，均应采用书面形式，并应在合同约定的期限内送达接收人和送达地点。</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1.7.2 发包人和承包人应在专用合同条款中约定各自的送达接收人和送达地点。任何一方合同当事人指定的接收人或送达地点发生变动的，应提前3天以书面形式通知对方。</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1.7.3 发包人和承包人应当及时签收另一方送达至送达地点和指定接收人的来往信函。拒不签收的，由此增加的费用和（或）延误的工期由拒绝接收一方承担。</w:t>
      </w:r>
    </w:p>
    <w:p>
      <w:pPr>
        <w:pStyle w:val="6"/>
        <w:spacing w:before="0" w:beforeAutospacing="0" w:after="0" w:afterAutospacing="0" w:line="360" w:lineRule="auto"/>
        <w:ind w:firstLine="422" w:firstLineChars="200"/>
        <w:rPr>
          <w:color w:val="auto"/>
          <w:sz w:val="21"/>
          <w:szCs w:val="21"/>
          <w:highlight w:val="none"/>
        </w:rPr>
      </w:pPr>
      <w:bookmarkStart w:id="93" w:name="_Toc351203503"/>
      <w:bookmarkStart w:id="94" w:name="_Toc532377189"/>
      <w:r>
        <w:rPr>
          <w:rFonts w:hint="eastAsia"/>
          <w:color w:val="auto"/>
          <w:sz w:val="21"/>
          <w:szCs w:val="21"/>
          <w:highlight w:val="none"/>
        </w:rPr>
        <w:t>1</w:t>
      </w:r>
      <w:bookmarkStart w:id="95" w:name="_Toc296503035"/>
      <w:bookmarkStart w:id="96" w:name="_Toc337558734"/>
      <w:bookmarkStart w:id="97" w:name="_Toc296346536"/>
      <w:r>
        <w:rPr>
          <w:rFonts w:hint="eastAsia"/>
          <w:color w:val="auto"/>
          <w:sz w:val="21"/>
          <w:szCs w:val="21"/>
          <w:highlight w:val="none"/>
        </w:rPr>
        <w:t>.8严禁贿赂</w:t>
      </w:r>
      <w:bookmarkEnd w:id="93"/>
      <w:bookmarkEnd w:id="94"/>
    </w:p>
    <w:bookmarkEnd w:id="95"/>
    <w:bookmarkEnd w:id="96"/>
    <w:bookmarkEnd w:id="97"/>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合同当事人不得以贿赂或变相贿赂的方式，谋取非法利益或损害对方权益。因一方合同当事人的贿赂造成对方损失的，应赔偿损失，并承担相应的法律责任。</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承包人不得与监理人或发包人聘请的第三方串通损害发包人利益。未经发包人书面同意，承包人不得为监理人提供合同约定以外的通讯设备、交通工具及其他任何形式的利益，不得向监理人支付报酬。</w:t>
      </w:r>
    </w:p>
    <w:p>
      <w:pPr>
        <w:pStyle w:val="6"/>
        <w:spacing w:before="0" w:beforeAutospacing="0" w:after="0" w:afterAutospacing="0" w:line="360" w:lineRule="auto"/>
        <w:ind w:firstLine="422" w:firstLineChars="200"/>
        <w:rPr>
          <w:color w:val="auto"/>
          <w:sz w:val="21"/>
          <w:szCs w:val="21"/>
          <w:highlight w:val="none"/>
        </w:rPr>
      </w:pPr>
      <w:bookmarkStart w:id="98" w:name="_Toc351203504"/>
      <w:bookmarkStart w:id="99" w:name="_Toc532377190"/>
      <w:r>
        <w:rPr>
          <w:rFonts w:hint="eastAsia"/>
          <w:color w:val="auto"/>
          <w:sz w:val="21"/>
          <w:szCs w:val="21"/>
          <w:highlight w:val="none"/>
        </w:rPr>
        <w:t>1</w:t>
      </w:r>
      <w:bookmarkStart w:id="100" w:name="_Toc296346537"/>
      <w:bookmarkStart w:id="101" w:name="_Toc296503036"/>
      <w:bookmarkStart w:id="102" w:name="_Toc337558735"/>
      <w:r>
        <w:rPr>
          <w:rFonts w:hint="eastAsia"/>
          <w:color w:val="auto"/>
          <w:sz w:val="21"/>
          <w:szCs w:val="21"/>
          <w:highlight w:val="none"/>
        </w:rPr>
        <w:t>.9化石、文物</w:t>
      </w:r>
      <w:bookmarkEnd w:id="98"/>
      <w:bookmarkEnd w:id="99"/>
    </w:p>
    <w:bookmarkEnd w:id="100"/>
    <w:bookmarkEnd w:id="101"/>
    <w:bookmarkEnd w:id="102"/>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在施工现场发掘的所有文物、古迹以及具有地质研究或考古价值的其他遗迹、化石、钱币或物品属于国家所有。一旦发现上述文物，承包人应采取合理有效的保护措施，防止任何人员移动或损坏上述物品，并立即报告有关政府行政管理部门，同时通知监理人。</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发包人、监理人和承包人应按有关政府行政管理部门要求采取妥善的保护措施，由此增加的费用和（或）延误的工期由发包人承担。</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承包人发现文物后不及时报告或隐瞒不报，致使文物丢失或损坏的，应赔偿损失，并承担相应的法律责任。</w:t>
      </w:r>
    </w:p>
    <w:p>
      <w:pPr>
        <w:pStyle w:val="6"/>
        <w:spacing w:before="0" w:beforeAutospacing="0" w:after="0" w:afterAutospacing="0" w:line="360" w:lineRule="auto"/>
        <w:ind w:firstLine="422" w:firstLineChars="200"/>
        <w:rPr>
          <w:color w:val="auto"/>
          <w:sz w:val="21"/>
          <w:szCs w:val="21"/>
          <w:highlight w:val="none"/>
        </w:rPr>
      </w:pPr>
      <w:bookmarkStart w:id="103" w:name="_Toc532377191"/>
      <w:bookmarkStart w:id="104" w:name="_Toc351203505"/>
      <w:r>
        <w:rPr>
          <w:rFonts w:hint="eastAsia"/>
          <w:color w:val="auto"/>
          <w:sz w:val="21"/>
          <w:szCs w:val="21"/>
          <w:highlight w:val="none"/>
        </w:rPr>
        <w:t>1</w:t>
      </w:r>
      <w:bookmarkStart w:id="105" w:name="_Toc337558736"/>
      <w:r>
        <w:rPr>
          <w:rFonts w:hint="eastAsia"/>
          <w:color w:val="auto"/>
          <w:sz w:val="21"/>
          <w:szCs w:val="21"/>
          <w:highlight w:val="none"/>
        </w:rPr>
        <w:t>.10交通运输</w:t>
      </w:r>
      <w:bookmarkEnd w:id="103"/>
      <w:bookmarkEnd w:id="104"/>
    </w:p>
    <w:bookmarkEnd w:id="105"/>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1.10.1 出入现场的权利</w:t>
      </w:r>
    </w:p>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除专用合同条款另有约定外，发包人应根据施工需要，负责取得出入施工现场所需的批准手续和全部权利，以及取得因施工所需修建道路、桥梁以及其他基础设施的权利，并承担相关手续费用和建设费用。承包人应协助发包人办理修建场内外道路、桥梁以及其他基础设施的手续。</w:t>
      </w:r>
    </w:p>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承包人应在订立合同前查勘施工现场，并根据工程规模及技术参数合理预见工程施工所需的进出施工现场的方式、手段、路径等。因承包人未合理预见所增加的费用和（或）延误的工期由承包人承担。</w:t>
      </w:r>
    </w:p>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1.10.2 场外交通</w:t>
      </w:r>
    </w:p>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发包人应提供场外交通设施的技术参数和具体条件，承包人应遵守有关交通法规，严格按照道路和桥梁的限制荷载行驶，执行有关道路限速、限行、禁止超载的规定，并配合交通管理部门的监督和检查。场外交通设施无法满足工程施工需要的，由发包人负责完善并承担相关费用。</w:t>
      </w:r>
    </w:p>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1.10.3场内交通</w:t>
      </w:r>
    </w:p>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发包人应提供场内交通设施的技术参数和具体条件，并应按照专用合同条款的约定向承包人免费提供满足工程施工所需的场内道路和交通设施。因承包人原因造成上述道路或交通设施损坏的，承包人负责修复并承担由此增加的费用。</w:t>
      </w:r>
    </w:p>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除发包人按照合同约定提供的场内道路和交通设施外，承包人负责修建、维修、养护和管理施工所需的其他场内临时道路和交通设施。发包人和监理人可以为实现合同目的使用承包人修建的场内临时道路和交通设施。</w:t>
      </w:r>
    </w:p>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场外交通和场内交通的边界由合同当事人在专用合同条款中约定。</w:t>
      </w:r>
    </w:p>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1.10.4 超大件和超重件的运输</w:t>
      </w:r>
    </w:p>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由承包人负责运输的超大件或超重件，应由承包人负责向交通管理部门办理申请手续，发包人给予协助。运输超大件或超重件所需的道路和桥梁临时加固改造费用和其他有关费用，由承包人承担，但专用合同条款另有约定除外。</w:t>
      </w:r>
    </w:p>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1.10.5 道路和桥梁的损坏责任</w:t>
      </w:r>
    </w:p>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因承包人运输造成施工场地内外公共道路和桥梁损坏的，由承包人承担修复损坏的全部费用和可能引起的赔偿。</w:t>
      </w:r>
    </w:p>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1.10.6 水路和航空运输</w:t>
      </w:r>
    </w:p>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本款前述各项的内容适用于水路运输和航空运输，其中“道路”一词的涵义包括河道、航线、船闸、机场、码头、堤防以及水路或航空运输中其他相似结构物；“车辆”一词的涵义包括船舶和飞机等。</w:t>
      </w:r>
    </w:p>
    <w:p>
      <w:pPr>
        <w:pStyle w:val="6"/>
        <w:spacing w:before="0" w:beforeAutospacing="0" w:after="0" w:afterAutospacing="0" w:line="360" w:lineRule="auto"/>
        <w:ind w:firstLine="422" w:firstLineChars="200"/>
        <w:rPr>
          <w:color w:val="auto"/>
          <w:sz w:val="21"/>
          <w:szCs w:val="21"/>
          <w:highlight w:val="none"/>
        </w:rPr>
      </w:pPr>
      <w:bookmarkStart w:id="106" w:name="_Toc532377192"/>
      <w:bookmarkStart w:id="107" w:name="_Toc351203506"/>
      <w:r>
        <w:rPr>
          <w:rFonts w:hint="eastAsia"/>
          <w:color w:val="auto"/>
          <w:sz w:val="21"/>
          <w:szCs w:val="21"/>
          <w:highlight w:val="none"/>
        </w:rPr>
        <w:t>1</w:t>
      </w:r>
      <w:bookmarkStart w:id="108" w:name="_Toc337558737"/>
      <w:bookmarkStart w:id="109" w:name="_Toc296503037"/>
      <w:bookmarkStart w:id="110" w:name="_Toc296346538"/>
      <w:r>
        <w:rPr>
          <w:rFonts w:hint="eastAsia"/>
          <w:color w:val="auto"/>
          <w:sz w:val="21"/>
          <w:szCs w:val="21"/>
          <w:highlight w:val="none"/>
        </w:rPr>
        <w:t>.11知识产权</w:t>
      </w:r>
      <w:bookmarkEnd w:id="106"/>
      <w:bookmarkEnd w:id="107"/>
      <w:bookmarkEnd w:id="108"/>
    </w:p>
    <w:bookmarkEnd w:id="109"/>
    <w:bookmarkEnd w:id="110"/>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1.11.1 除专用合同条款另有约定外，发包人提供给承包人的图纸、发包人为实施工程自行编制或委托编制的技术规范以及反映发包人要求的或其他类似性质的文件的著作权属于发包人，承包人可以为实现合同目的而复制、使用此类文件，但不能用于与合同无关的其他事项。未经发包人书面同意，承包人不得为了合同以外的目的而复制、使用上述文件或将之提供给任何第三方。</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1.11.2 除专用合同条款另有约定外，承包人为实施工程所编制的文件，除署名权以外的著作权属于发包人，承包人可因实施工程的运行、调试、维修、改造等目的而复制、使用此类文件，但不能用于与合同无关的其他事项。未经发包人书面同意，承包人不得为了合同以外的目的而复制、使用上述文件或将之提供给任何第三方。</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1.11.3 合同当事人保证在履行合同过程中不侵犯对方及第三方的知识产权。承包人在使用材料、施工设备、工程设备或采用施工工艺时，因侵犯他人的专利权或其他知识产权所引起的责任，由承包人承担；因发包人提供的材料、施工设备、工程设备或施工工艺导致侵权的，由发包人承担责任。</w:t>
      </w:r>
    </w:p>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1.11.4 除专用合同条款另有约定外，承包人在合同签订前和签订时已确定采用的专利、专有技术、技术秘密的使用费已包含在签约合同价中。</w:t>
      </w:r>
    </w:p>
    <w:p>
      <w:pPr>
        <w:pStyle w:val="6"/>
        <w:spacing w:before="0" w:beforeAutospacing="0" w:after="0" w:afterAutospacing="0" w:line="360" w:lineRule="auto"/>
        <w:ind w:firstLine="422" w:firstLineChars="200"/>
        <w:rPr>
          <w:color w:val="auto"/>
          <w:sz w:val="21"/>
          <w:szCs w:val="21"/>
          <w:highlight w:val="none"/>
        </w:rPr>
      </w:pPr>
      <w:bookmarkStart w:id="111" w:name="_Toc351203507"/>
      <w:bookmarkStart w:id="112" w:name="_Toc532377193"/>
      <w:r>
        <w:rPr>
          <w:rFonts w:hint="eastAsia"/>
          <w:color w:val="auto"/>
          <w:sz w:val="21"/>
          <w:szCs w:val="21"/>
          <w:highlight w:val="none"/>
        </w:rPr>
        <w:t>1</w:t>
      </w:r>
      <w:bookmarkStart w:id="113" w:name="_Toc337558738"/>
      <w:r>
        <w:rPr>
          <w:rFonts w:hint="eastAsia"/>
          <w:color w:val="auto"/>
          <w:sz w:val="21"/>
          <w:szCs w:val="21"/>
          <w:highlight w:val="none"/>
        </w:rPr>
        <w:t>.12保密</w:t>
      </w:r>
      <w:bookmarkEnd w:id="111"/>
      <w:bookmarkEnd w:id="112"/>
    </w:p>
    <w:bookmarkEnd w:id="113"/>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除法律规定或合同另有约定外，未经发包人同意，承包人不得将发包人提供的图纸、文件以及声明需要保密的资料信息等商业秘密泄露给第三方。</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除法律规定或合同另有约定外，未经承包人同意，发包人不得将承包人提供的技术秘密及声明需要保密的资料信息等商业秘密泄露给第三方。</w:t>
      </w:r>
    </w:p>
    <w:p>
      <w:pPr>
        <w:pStyle w:val="6"/>
        <w:spacing w:before="0" w:beforeAutospacing="0" w:after="0" w:afterAutospacing="0" w:line="360" w:lineRule="auto"/>
        <w:ind w:firstLine="422" w:firstLineChars="200"/>
        <w:rPr>
          <w:color w:val="auto"/>
          <w:sz w:val="21"/>
          <w:szCs w:val="21"/>
          <w:highlight w:val="none"/>
        </w:rPr>
      </w:pPr>
      <w:bookmarkStart w:id="114" w:name="_Toc532377194"/>
      <w:bookmarkStart w:id="115" w:name="_Toc351203508"/>
      <w:r>
        <w:rPr>
          <w:rFonts w:hint="eastAsia"/>
          <w:color w:val="auto"/>
          <w:sz w:val="21"/>
          <w:szCs w:val="21"/>
          <w:highlight w:val="none"/>
        </w:rPr>
        <w:t>1.13工程量清单错误的修正</w:t>
      </w:r>
      <w:bookmarkEnd w:id="114"/>
      <w:bookmarkEnd w:id="115"/>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除专用合同条款另有约定外，发包人提供的工程量清单，应被认为是准确的和完整的。出现下列情形之一时，发包人应予以修正，并相应调整合同价格：</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（1）工程量清单存在缺项、漏项的；</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（2）工程量清单偏差超出专用合同条款约定的工程量偏差范围的；</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（3）未按照国家现行计量规范强制性规定计量的。</w:t>
      </w:r>
    </w:p>
    <w:p>
      <w:pPr>
        <w:pStyle w:val="5"/>
        <w:keepNext/>
        <w:keepLines/>
        <w:spacing w:before="156" w:beforeLines="50" w:beforeAutospacing="0" w:after="156" w:afterLines="50" w:afterAutospacing="0" w:line="360" w:lineRule="auto"/>
        <w:jc w:val="both"/>
        <w:rPr>
          <w:color w:val="auto"/>
          <w:kern w:val="2"/>
          <w:sz w:val="21"/>
          <w:szCs w:val="21"/>
          <w:highlight w:val="none"/>
        </w:rPr>
      </w:pPr>
      <w:bookmarkStart w:id="116" w:name="_Toc532377195"/>
      <w:bookmarkStart w:id="117" w:name="_Toc532375588"/>
      <w:bookmarkStart w:id="118" w:name="_Toc351203509"/>
      <w:r>
        <w:rPr>
          <w:rFonts w:hint="eastAsia"/>
          <w:color w:val="auto"/>
          <w:kern w:val="2"/>
          <w:sz w:val="21"/>
          <w:szCs w:val="21"/>
          <w:highlight w:val="none"/>
        </w:rPr>
        <w:t>2</w:t>
      </w:r>
      <w:bookmarkStart w:id="119" w:name="_Toc337558739"/>
      <w:bookmarkStart w:id="120" w:name="_Toc296346539"/>
      <w:bookmarkStart w:id="121" w:name="_Toc296503038"/>
      <w:bookmarkStart w:id="122" w:name="OLE_LINK2"/>
      <w:r>
        <w:rPr>
          <w:rFonts w:hint="eastAsia"/>
          <w:color w:val="auto"/>
          <w:kern w:val="2"/>
          <w:sz w:val="21"/>
          <w:szCs w:val="21"/>
          <w:highlight w:val="none"/>
        </w:rPr>
        <w:t>. 发包人</w:t>
      </w:r>
      <w:bookmarkEnd w:id="116"/>
      <w:bookmarkEnd w:id="117"/>
      <w:bookmarkEnd w:id="118"/>
    </w:p>
    <w:bookmarkEnd w:id="119"/>
    <w:bookmarkEnd w:id="120"/>
    <w:bookmarkEnd w:id="121"/>
    <w:p>
      <w:pPr>
        <w:pStyle w:val="6"/>
        <w:spacing w:before="0" w:beforeAutospacing="0" w:after="0" w:afterAutospacing="0" w:line="360" w:lineRule="auto"/>
        <w:ind w:firstLine="422" w:firstLineChars="200"/>
        <w:rPr>
          <w:color w:val="auto"/>
          <w:sz w:val="21"/>
          <w:szCs w:val="21"/>
          <w:highlight w:val="none"/>
        </w:rPr>
      </w:pPr>
      <w:bookmarkStart w:id="123" w:name="_Toc532377196"/>
      <w:bookmarkStart w:id="124" w:name="_Toc351203510"/>
      <w:r>
        <w:rPr>
          <w:rFonts w:hint="eastAsia"/>
          <w:color w:val="auto"/>
          <w:sz w:val="21"/>
          <w:szCs w:val="21"/>
          <w:highlight w:val="none"/>
        </w:rPr>
        <w:t>2</w:t>
      </w:r>
      <w:bookmarkStart w:id="125" w:name="_Toc296346540"/>
      <w:bookmarkStart w:id="126" w:name="_Toc296503039"/>
      <w:bookmarkStart w:id="127" w:name="_Toc337558740"/>
      <w:r>
        <w:rPr>
          <w:rFonts w:hint="eastAsia"/>
          <w:color w:val="auto"/>
          <w:sz w:val="21"/>
          <w:szCs w:val="21"/>
          <w:highlight w:val="none"/>
        </w:rPr>
        <w:t>.1 许可或批准</w:t>
      </w:r>
      <w:bookmarkEnd w:id="123"/>
      <w:bookmarkEnd w:id="124"/>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发包人应遵守法律，并办理法律规定由其办理的许可、批准或备案，包括但不限于建设用地规划许可证、建设工程规划许可证、建设工程施工许可证、施工所需临时用水、临时用电、中断道路交通、临时占用土地等许可和批准。发包人应协助承包人办理法律规定的有关施工证件和批件。</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因发包人原因未能及时办理完毕前述许可、批准或备案，由发包人承担由此增加的费用和（或）延误的工期，并支付承包人合理的利润。</w:t>
      </w:r>
    </w:p>
    <w:p>
      <w:pPr>
        <w:pStyle w:val="6"/>
        <w:spacing w:before="0" w:beforeAutospacing="0" w:after="0" w:afterAutospacing="0" w:line="360" w:lineRule="auto"/>
        <w:ind w:firstLine="422" w:firstLineChars="200"/>
        <w:rPr>
          <w:color w:val="auto"/>
          <w:sz w:val="21"/>
          <w:szCs w:val="21"/>
          <w:highlight w:val="none"/>
        </w:rPr>
      </w:pPr>
      <w:bookmarkStart w:id="128" w:name="_Toc351203511"/>
      <w:bookmarkStart w:id="129" w:name="_Toc532377197"/>
      <w:r>
        <w:rPr>
          <w:rFonts w:hint="eastAsia"/>
          <w:color w:val="auto"/>
          <w:sz w:val="21"/>
          <w:szCs w:val="21"/>
          <w:highlight w:val="none"/>
        </w:rPr>
        <w:t>2.2 发包人代表</w:t>
      </w:r>
      <w:bookmarkEnd w:id="128"/>
      <w:bookmarkEnd w:id="129"/>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发包人应在专用合同条款中明确其派驻施工现场的发包人代表的姓名、职务、联系方式及授权范围等事项。发包人代表在发包人的授权范围内，负责处理合同履行过程中与发包人有关的具体事宜。发包人代表在授权范围内的行为由发包人承担法律责任。发包人更换发包人代表的，应提前7天书面通知承包人。</w:t>
      </w:r>
    </w:p>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发包人代表不能按照合同约定履行其职责及义务，并导致合同无法继续正常履行的，承包人可以要求发包人撤换发包人代表。</w:t>
      </w:r>
    </w:p>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不属于法定必须监理的工程，监理人的职权可以由发包人代表或发包人指定的其他人员行使。</w:t>
      </w:r>
    </w:p>
    <w:p>
      <w:pPr>
        <w:pStyle w:val="6"/>
        <w:spacing w:before="0" w:beforeAutospacing="0" w:after="0" w:afterAutospacing="0" w:line="360" w:lineRule="auto"/>
        <w:ind w:firstLine="422" w:firstLineChars="200"/>
        <w:rPr>
          <w:color w:val="auto"/>
          <w:sz w:val="21"/>
          <w:szCs w:val="21"/>
          <w:highlight w:val="none"/>
        </w:rPr>
      </w:pPr>
      <w:bookmarkStart w:id="130" w:name="_Toc532377198"/>
      <w:bookmarkStart w:id="131" w:name="_Toc351203512"/>
      <w:r>
        <w:rPr>
          <w:rFonts w:hint="eastAsia"/>
          <w:color w:val="auto"/>
          <w:sz w:val="21"/>
          <w:szCs w:val="21"/>
          <w:highlight w:val="none"/>
        </w:rPr>
        <w:t>2.3 发包人人员</w:t>
      </w:r>
      <w:bookmarkEnd w:id="130"/>
      <w:bookmarkEnd w:id="131"/>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发包人应要求在施工现场的发包人人员遵守法律及有关安全、质量、环境保护、文明施工等规定，并保障承包人免于承受因发包人人员未遵守上述要求给承包人造成的损失和责任。</w:t>
      </w:r>
    </w:p>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发包人人员包括发包人代表及其他由发包人派驻施工现场的人员。</w:t>
      </w:r>
      <w:bookmarkEnd w:id="125"/>
      <w:bookmarkEnd w:id="126"/>
      <w:bookmarkEnd w:id="127"/>
    </w:p>
    <w:p>
      <w:pPr>
        <w:pStyle w:val="6"/>
        <w:spacing w:before="0" w:beforeAutospacing="0" w:after="0" w:afterAutospacing="0" w:line="360" w:lineRule="auto"/>
        <w:ind w:firstLine="422" w:firstLineChars="200"/>
        <w:rPr>
          <w:color w:val="auto"/>
          <w:sz w:val="21"/>
          <w:szCs w:val="21"/>
          <w:highlight w:val="none"/>
        </w:rPr>
      </w:pPr>
      <w:bookmarkStart w:id="132" w:name="_Toc532377199"/>
      <w:bookmarkStart w:id="133" w:name="_Toc351203513"/>
      <w:r>
        <w:rPr>
          <w:rFonts w:hint="eastAsia"/>
          <w:color w:val="auto"/>
          <w:sz w:val="21"/>
          <w:szCs w:val="21"/>
          <w:highlight w:val="none"/>
        </w:rPr>
        <w:t>2</w:t>
      </w:r>
      <w:bookmarkStart w:id="134" w:name="_Toc296346541"/>
      <w:bookmarkStart w:id="135" w:name="_Toc337558741"/>
      <w:bookmarkStart w:id="136" w:name="_Toc296503040"/>
      <w:r>
        <w:rPr>
          <w:rFonts w:hint="eastAsia"/>
          <w:color w:val="auto"/>
          <w:sz w:val="21"/>
          <w:szCs w:val="21"/>
          <w:highlight w:val="none"/>
        </w:rPr>
        <w:t>.4 施工现场、施工条件和基础资料的提供</w:t>
      </w:r>
      <w:bookmarkEnd w:id="132"/>
      <w:bookmarkEnd w:id="133"/>
      <w:bookmarkEnd w:id="134"/>
      <w:bookmarkEnd w:id="135"/>
      <w:bookmarkEnd w:id="136"/>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2.4.1 提供施工现场</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除</w:t>
      </w:r>
      <w:bookmarkEnd w:id="122"/>
      <w:r>
        <w:rPr>
          <w:rFonts w:hint="eastAsia" w:ascii="宋体" w:hAnsi="宋体"/>
          <w:color w:val="auto"/>
          <w:kern w:val="0"/>
          <w:szCs w:val="21"/>
          <w:highlight w:val="none"/>
        </w:rPr>
        <w:t>专用合同条款另有约定外，发包人应最迟于开工日期7天前向承包人移交施工现场。</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2.4.2 提供施工条件</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除专用合同条款另有约定外，发包人应负责提供施工所需要的条件，包括：</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（1）将施工用水、电力、通讯线路等施工所必需的条件接至施工现场内；</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（2）保证向承包人提供正常施工所需要的进入施工现场的交通条件；</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（3）协调处理施工现场周围地下管线和邻近建筑物、构筑物、古树名木的保护工作，并承担相关费用；</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（4）按照专用合同条款约定应提供的其他设施和条件。</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2.4.3 提供基础资料</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发包人应当在移交施工现场前向承包人提供施工现场及工程施工所必需的毗邻区域内供水、排水、供电、供气、供热、通信、广播电视等地下管线资料，气象和水文观测资料，地质勘察资料，相邻建筑物、构筑物和地下工程等有关基础资料，并对所提供资料的真实性、准确性和完整性负责。</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按照法律规定确需在开工后方能提供的基础资料，发包人应尽其努力及时地在相应工程施工前的合理期限内提供，合理期限应以不影响承包人的正常施工为限。</w:t>
      </w:r>
    </w:p>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2.4.4 逾期提供的责任</w:t>
      </w:r>
    </w:p>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因发包人原因未能按合同约定及时向承包人提供施工现场、施工条件、基础资料的，由发包人承担由此增加的费用和（或）延误的工期。</w:t>
      </w:r>
    </w:p>
    <w:p>
      <w:pPr>
        <w:pStyle w:val="6"/>
        <w:spacing w:before="0" w:beforeAutospacing="0" w:after="0" w:afterAutospacing="0" w:line="360" w:lineRule="auto"/>
        <w:ind w:firstLine="422" w:firstLineChars="200"/>
        <w:rPr>
          <w:color w:val="auto"/>
          <w:sz w:val="21"/>
          <w:szCs w:val="21"/>
          <w:highlight w:val="none"/>
        </w:rPr>
      </w:pPr>
      <w:bookmarkStart w:id="137" w:name="_Toc532377200"/>
      <w:bookmarkStart w:id="138" w:name="_Toc351203514"/>
      <w:r>
        <w:rPr>
          <w:rFonts w:hint="eastAsia"/>
          <w:color w:val="auto"/>
          <w:sz w:val="21"/>
          <w:szCs w:val="21"/>
          <w:highlight w:val="none"/>
        </w:rPr>
        <w:t>2</w:t>
      </w:r>
      <w:bookmarkStart w:id="139" w:name="_Toc337558745"/>
      <w:bookmarkStart w:id="140" w:name="_Toc296346543"/>
      <w:bookmarkStart w:id="141" w:name="_Toc296503042"/>
      <w:r>
        <w:rPr>
          <w:rFonts w:hint="eastAsia"/>
          <w:color w:val="auto"/>
          <w:sz w:val="21"/>
          <w:szCs w:val="21"/>
          <w:highlight w:val="none"/>
        </w:rPr>
        <w:t>.5 资</w:t>
      </w:r>
      <w:bookmarkEnd w:id="139"/>
      <w:bookmarkEnd w:id="140"/>
      <w:bookmarkEnd w:id="141"/>
      <w:r>
        <w:rPr>
          <w:rFonts w:hint="eastAsia"/>
          <w:color w:val="auto"/>
          <w:sz w:val="21"/>
          <w:szCs w:val="21"/>
          <w:highlight w:val="none"/>
        </w:rPr>
        <w:t>金来源证明及支付担保</w:t>
      </w:r>
      <w:bookmarkEnd w:id="137"/>
      <w:bookmarkEnd w:id="138"/>
    </w:p>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除专用合同条款另有约定外，发包人应在收到承包人要求提供资金来源证明的书面通知后28天内，向承包人提供能够按照合同约定支付合同价款的相应资金来源证明。</w:t>
      </w:r>
    </w:p>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除专用合同条款另有约定外，发包人要求承包人提供履约担保的，发包人应当向承包人提供支付担保。支付担保可以采用银行保函或担保公司担保等形式，具体由合同当事人在专用合同条款中约定。</w:t>
      </w:r>
    </w:p>
    <w:p>
      <w:pPr>
        <w:pStyle w:val="6"/>
        <w:spacing w:before="0" w:beforeAutospacing="0" w:after="0" w:afterAutospacing="0" w:line="360" w:lineRule="auto"/>
        <w:ind w:firstLine="422" w:firstLineChars="200"/>
        <w:rPr>
          <w:color w:val="auto"/>
          <w:sz w:val="21"/>
          <w:szCs w:val="21"/>
          <w:highlight w:val="none"/>
        </w:rPr>
      </w:pPr>
      <w:bookmarkStart w:id="142" w:name="_Toc532377201"/>
      <w:bookmarkStart w:id="143" w:name="_Toc351203515"/>
      <w:r>
        <w:rPr>
          <w:rFonts w:hint="eastAsia"/>
          <w:color w:val="auto"/>
          <w:sz w:val="21"/>
          <w:szCs w:val="21"/>
          <w:highlight w:val="none"/>
        </w:rPr>
        <w:t>2.6 支付合同价款</w:t>
      </w:r>
      <w:bookmarkEnd w:id="142"/>
      <w:bookmarkEnd w:id="143"/>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发包人应按合同约定向承包人及时支付合同价款。</w:t>
      </w:r>
    </w:p>
    <w:p>
      <w:pPr>
        <w:pStyle w:val="6"/>
        <w:spacing w:before="0" w:beforeAutospacing="0" w:after="0" w:afterAutospacing="0" w:line="360" w:lineRule="auto"/>
        <w:ind w:firstLine="422" w:firstLineChars="200"/>
        <w:rPr>
          <w:color w:val="auto"/>
          <w:sz w:val="21"/>
          <w:szCs w:val="21"/>
          <w:highlight w:val="none"/>
        </w:rPr>
      </w:pPr>
      <w:bookmarkStart w:id="144" w:name="_Toc351203516"/>
      <w:bookmarkStart w:id="145" w:name="_Toc532377202"/>
      <w:r>
        <w:rPr>
          <w:rFonts w:hint="eastAsia"/>
          <w:color w:val="auto"/>
          <w:sz w:val="21"/>
          <w:szCs w:val="21"/>
          <w:highlight w:val="none"/>
        </w:rPr>
        <w:t>2.7 组织竣工验收</w:t>
      </w:r>
      <w:bookmarkEnd w:id="144"/>
      <w:bookmarkEnd w:id="145"/>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发包人应按合同约定及时组织竣工验收。</w:t>
      </w:r>
    </w:p>
    <w:p>
      <w:pPr>
        <w:pStyle w:val="6"/>
        <w:spacing w:before="0" w:beforeAutospacing="0" w:after="0" w:afterAutospacing="0" w:line="360" w:lineRule="auto"/>
        <w:ind w:firstLine="422" w:firstLineChars="200"/>
        <w:rPr>
          <w:color w:val="auto"/>
          <w:sz w:val="21"/>
          <w:szCs w:val="21"/>
          <w:highlight w:val="none"/>
        </w:rPr>
      </w:pPr>
      <w:bookmarkStart w:id="146" w:name="_Toc532377203"/>
      <w:bookmarkStart w:id="147" w:name="_Toc351203517"/>
      <w:r>
        <w:rPr>
          <w:rFonts w:hint="eastAsia"/>
          <w:color w:val="auto"/>
          <w:sz w:val="21"/>
          <w:szCs w:val="21"/>
          <w:highlight w:val="none"/>
        </w:rPr>
        <w:t>2.8 现场统一管理协议</w:t>
      </w:r>
      <w:bookmarkEnd w:id="146"/>
      <w:bookmarkEnd w:id="147"/>
    </w:p>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发包人应与承包人、由发包人直接发包的专业工程的承包人签订施工现场统一管理协议，明确各方的权利义务。施工现场统一管理协议作为专用合同条款的附件。</w:t>
      </w:r>
    </w:p>
    <w:p>
      <w:pPr>
        <w:pStyle w:val="5"/>
        <w:keepNext/>
        <w:keepLines/>
        <w:spacing w:before="156" w:beforeLines="50" w:beforeAutospacing="0" w:after="156" w:afterLines="50" w:afterAutospacing="0" w:line="360" w:lineRule="auto"/>
        <w:jc w:val="both"/>
        <w:rPr>
          <w:bCs w:val="0"/>
          <w:color w:val="auto"/>
          <w:kern w:val="2"/>
          <w:sz w:val="21"/>
          <w:szCs w:val="21"/>
          <w:highlight w:val="none"/>
        </w:rPr>
      </w:pPr>
      <w:bookmarkStart w:id="148" w:name="_Toc351203518"/>
      <w:bookmarkStart w:id="149" w:name="_Toc532377204"/>
      <w:bookmarkStart w:id="150" w:name="_Toc532375589"/>
      <w:r>
        <w:rPr>
          <w:rFonts w:hint="eastAsia"/>
          <w:color w:val="auto"/>
          <w:kern w:val="2"/>
          <w:sz w:val="21"/>
          <w:szCs w:val="21"/>
          <w:highlight w:val="none"/>
        </w:rPr>
        <w:t>3</w:t>
      </w:r>
      <w:bookmarkStart w:id="151" w:name="_Toc296503045"/>
      <w:bookmarkStart w:id="152" w:name="_Toc296346546"/>
      <w:bookmarkStart w:id="153" w:name="_Toc337558746"/>
      <w:r>
        <w:rPr>
          <w:rFonts w:hint="eastAsia"/>
          <w:color w:val="auto"/>
          <w:kern w:val="2"/>
          <w:sz w:val="21"/>
          <w:szCs w:val="21"/>
          <w:highlight w:val="none"/>
        </w:rPr>
        <w:t>. 承包人</w:t>
      </w:r>
      <w:bookmarkEnd w:id="148"/>
      <w:bookmarkEnd w:id="149"/>
      <w:bookmarkEnd w:id="150"/>
    </w:p>
    <w:bookmarkEnd w:id="151"/>
    <w:bookmarkEnd w:id="152"/>
    <w:bookmarkEnd w:id="153"/>
    <w:p>
      <w:pPr>
        <w:pStyle w:val="6"/>
        <w:spacing w:before="0" w:beforeAutospacing="0" w:after="0" w:afterAutospacing="0" w:line="360" w:lineRule="auto"/>
        <w:ind w:firstLine="422" w:firstLineChars="200"/>
        <w:rPr>
          <w:color w:val="auto"/>
          <w:sz w:val="21"/>
          <w:szCs w:val="21"/>
          <w:highlight w:val="none"/>
        </w:rPr>
      </w:pPr>
      <w:bookmarkStart w:id="154" w:name="_Toc532377205"/>
      <w:bookmarkStart w:id="155" w:name="_Toc351203519"/>
      <w:r>
        <w:rPr>
          <w:rFonts w:hint="eastAsia"/>
          <w:color w:val="auto"/>
          <w:sz w:val="21"/>
          <w:szCs w:val="21"/>
          <w:highlight w:val="none"/>
        </w:rPr>
        <w:t>3</w:t>
      </w:r>
      <w:bookmarkStart w:id="156" w:name="_Toc296503046"/>
      <w:bookmarkStart w:id="157" w:name="_Toc296346547"/>
      <w:bookmarkStart w:id="158" w:name="_Toc337558747"/>
      <w:r>
        <w:rPr>
          <w:rFonts w:hint="eastAsia"/>
          <w:color w:val="auto"/>
          <w:sz w:val="21"/>
          <w:szCs w:val="21"/>
          <w:highlight w:val="none"/>
        </w:rPr>
        <w:t>.1 承包人的一般义务</w:t>
      </w:r>
      <w:bookmarkEnd w:id="154"/>
      <w:bookmarkEnd w:id="155"/>
    </w:p>
    <w:bookmarkEnd w:id="156"/>
    <w:bookmarkEnd w:id="157"/>
    <w:bookmarkEnd w:id="158"/>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承包人在履行合同过程中应遵守法律和工程建设标准规范，并履行以下义务：</w:t>
      </w:r>
    </w:p>
    <w:p>
      <w:pPr>
        <w:numPr>
          <w:ilvl w:val="0"/>
          <w:numId w:val="1"/>
        </w:num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办理法律规定应由承包人办理的许可和批准，并将办理结果书面报送发包人留存；</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（2）按法律规定和合同约定完成工程，并在保修期内承担保修义务；</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（3）按法律规定和合同约定采取施工安全和环境保护措施，办理工伤保险，确保工程及人员、材料、设备和设施的安全；</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（4）按合同约定的工作内容和施工进度要求，编制施工组织设计和施工措施计划，并对所有施工作业和施工方法的完备性和安全可靠性负责；</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5）在进行合同约定的各项工作时，不得侵害发包人与他人使用公用道路、水源、市政管网等公共设施的权利，避免对邻近的公共设施产生干扰。承包人占用或使用他人的施工场地，影响他人作业或生活的，应承担相应责任；</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（6）按照第6.3款〔环境保护〕约定负责施工场地及其周边环境与生态的保护工作；</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（7）按第6.1款〔安全文明施工〕约定采取施工安全措施，确保工程及其人员、材料、设备和设施的安全，防止因工程施工造成的人身伤害和财产损失；</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（8）将发包人按合同约定支付的各项价款专用于合同工程，且应及时支付其雇用人员工资，并及时向分包人支付合同价款；</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（9）按照法律规定和合同约定编制竣工资料，完成竣工资料立卷及归档，并按专用合同条款约定的竣工资料的套数、内容、时间等要求移交发包人；</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（10）应履行的其他义务。</w:t>
      </w:r>
    </w:p>
    <w:p>
      <w:pPr>
        <w:pStyle w:val="6"/>
        <w:spacing w:before="0" w:beforeAutospacing="0" w:after="0" w:afterAutospacing="0" w:line="360" w:lineRule="auto"/>
        <w:ind w:firstLine="422" w:firstLineChars="200"/>
        <w:rPr>
          <w:color w:val="auto"/>
          <w:sz w:val="21"/>
          <w:szCs w:val="21"/>
          <w:highlight w:val="none"/>
        </w:rPr>
      </w:pPr>
      <w:bookmarkStart w:id="159" w:name="_Toc351203520"/>
      <w:bookmarkStart w:id="160" w:name="_Toc532377206"/>
      <w:r>
        <w:rPr>
          <w:rFonts w:hint="eastAsia"/>
          <w:color w:val="auto"/>
          <w:sz w:val="21"/>
          <w:szCs w:val="21"/>
          <w:highlight w:val="none"/>
        </w:rPr>
        <w:t>3</w:t>
      </w:r>
      <w:bookmarkStart w:id="161" w:name="_Toc296503047"/>
      <w:bookmarkStart w:id="162" w:name="_Toc337558748"/>
      <w:bookmarkStart w:id="163" w:name="_Toc296346548"/>
      <w:r>
        <w:rPr>
          <w:rFonts w:hint="eastAsia"/>
          <w:color w:val="auto"/>
          <w:sz w:val="21"/>
          <w:szCs w:val="21"/>
          <w:highlight w:val="none"/>
        </w:rPr>
        <w:t xml:space="preserve">.2 </w:t>
      </w:r>
      <w:bookmarkEnd w:id="159"/>
      <w:r>
        <w:rPr>
          <w:rFonts w:hint="eastAsia"/>
          <w:color w:val="auto"/>
          <w:sz w:val="21"/>
          <w:szCs w:val="21"/>
          <w:highlight w:val="none"/>
        </w:rPr>
        <w:t>项目经理</w:t>
      </w:r>
      <w:bookmarkEnd w:id="160"/>
    </w:p>
    <w:bookmarkEnd w:id="161"/>
    <w:bookmarkEnd w:id="162"/>
    <w:bookmarkEnd w:id="163"/>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3.2.1 项目经理应为合同当事人所确认的人选，并在专用合同条款中明确项目经理的姓名、职称、注册执业证书编号、联系方式及授权范围等事项，项目经理经承包人授权后代表承包人负责履行合同。项目经理应是承包人正式聘用的员工，承包人应向发包人提交项目经理与承包人之间的劳动合同，以及承包人为项目经理缴纳社会保险的有效证明。承包人不提交上述文件的，项目经理无权履行职责，发包人有权要求更换项目经理，由此增加的费用和（或）延误的工期由承包人承担。</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项目经理应常驻施工现场，且每月在施工现场时间不得少于专用合同条款约定的天数。项目经理不得同时担任其他项目的项目经理。项目经理确需离开施工现场时，应事先通知监理人，并取得发包人的书面同意。项目经理的通知中应当载明临时代行其职责的人员的注册执业资格、管理经验等资料，该人员应具备履行相应职责的能力。</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承包人违反上述约定的，应按照专用合同条款的约定，承担违约责任。</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3.2.2 项目经理按合同约定组织工程实施。在紧急情况下为确保施工安全和人员安全，在无法与发包人代表和总监理工程师及时取得联系时，项目经理有权采取必要的措施保证与工程有关的人身、财产和工程的安全，但应在48小时内向发包人代表和总监理工程师提交书面报告。</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3.2.3 承包人需要更换项目经理的，应提前14天书面通知发包人和监理人，并征得发包人书面同意。通知中应当载明继任项目经理的注册执业资格、管理经验等资料，继任项目经理继续履行第3.2.1项约定的职责。未经发包人书面同意，承包人不得擅自更换项目经理。承包人擅自更换项目经理的，应按照专用合同条款的约定承担违约责任。</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3.2.4 发包人有权书面通知承包人更换其认为不称职的项目经理，通知中应当载明要求更换的理由。承包人应在接到更换通知后14天内向发包人提出书面的改进报告。发包人收到改进报告后仍要求更换的，承包人应在接到第二次更换通知的28天内进行更换，并将新任命的项目经理的注册执业资格、管理经验等资料书面通知发包人。继任项目经理继续履行第3.2.1项约定的职责。承包人无正当理由拒绝更换项目经理的，应按照专用合同条款的约定承担违约责任。</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3.2.5 项目经理因特殊情况授权其下属人员履行其某项工作职责的，该下属人员应具备履行相应职责的能力，并应提前7天将上述人员的姓名和授权范围书面通知监理人，并征得发包人书面同意。</w:t>
      </w:r>
    </w:p>
    <w:p>
      <w:pPr>
        <w:pStyle w:val="6"/>
        <w:spacing w:before="0" w:beforeAutospacing="0" w:after="0" w:afterAutospacing="0" w:line="360" w:lineRule="auto"/>
        <w:ind w:firstLine="422" w:firstLineChars="200"/>
        <w:rPr>
          <w:color w:val="auto"/>
          <w:sz w:val="21"/>
          <w:szCs w:val="21"/>
          <w:highlight w:val="none"/>
        </w:rPr>
      </w:pPr>
      <w:bookmarkStart w:id="164" w:name="_Toc532377207"/>
      <w:bookmarkStart w:id="165" w:name="_Toc351203521"/>
      <w:r>
        <w:rPr>
          <w:rFonts w:hint="eastAsia"/>
          <w:color w:val="auto"/>
          <w:sz w:val="21"/>
          <w:szCs w:val="21"/>
          <w:highlight w:val="none"/>
        </w:rPr>
        <w:t>3</w:t>
      </w:r>
      <w:bookmarkStart w:id="166" w:name="_Toc296503048"/>
      <w:bookmarkStart w:id="167" w:name="_Toc296346549"/>
      <w:bookmarkStart w:id="168" w:name="_Toc337558749"/>
      <w:r>
        <w:rPr>
          <w:rFonts w:hint="eastAsia"/>
          <w:color w:val="auto"/>
          <w:sz w:val="21"/>
          <w:szCs w:val="21"/>
          <w:highlight w:val="none"/>
        </w:rPr>
        <w:t xml:space="preserve">.3 </w:t>
      </w:r>
      <w:bookmarkEnd w:id="166"/>
      <w:bookmarkEnd w:id="167"/>
      <w:r>
        <w:rPr>
          <w:rFonts w:hint="eastAsia"/>
          <w:color w:val="auto"/>
          <w:sz w:val="21"/>
          <w:szCs w:val="21"/>
          <w:highlight w:val="none"/>
        </w:rPr>
        <w:t>承包人人员</w:t>
      </w:r>
      <w:bookmarkEnd w:id="164"/>
      <w:bookmarkEnd w:id="165"/>
    </w:p>
    <w:bookmarkEnd w:id="168"/>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3.3.1 除专用合同条款另有约定外，承包人应在接到开工通知后7天内，向监理人提交承包人项目管理机构及施工现场人员安排的报告，其内容应包括合同管理、施工、技术、材料、质量、安全、财务等主要施工管理人员名单及其岗位、注册执业资格等，以及各工种技术工人的安排情况，并同时提交主要施工管理人员与承包人之间的劳动关系证明和缴纳社会保险的有效证明。</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3.3.2 承包人派驻到施工现场的主要施工管理人员应相对稳定。施工过程中如有变动，承包人应及时向监理人提交施工现场人员变动情况的报告。承包人更换主要施工管理人员时，应提前7天书面通知监理人，并征得发包人书面同意。通知中应当载明继任人员的注册执业资格、管理经验等资料。</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特殊工种作业人员均应持有相应的资格证明，监理人可以随时检查。</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3.3.3 发包人对于承包人主要施工管理人员的资格或能力有异议的，承包人应提供资料证明被质疑人员有能力完成其岗位工作或不存在发包人所质疑的情形。发包人要求撤换不能按照合同约定履行职责及义务的主要施工管理人员的，承包人应当撤换。承包人无正当理由拒绝撤换的，应按照专用合同条款的约定承担违约责任。</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3.3.4 除专用合同条款另有约定外，承包人的主要施工管理人员离开施工现场每月累计不超过5天的，应报监理人同意；离开施工现场每月累计超过5天的，应通知监理人，并征得发包人书面同意。主要施工管理人员离开施工现场前应指定一名有经验的人员临时代行其职责，该人员应具备履行相应职责的资格和能力，且应征得监理人或发包人的同意。</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3.3.5 承包人擅自更换主要施工管理人员，或前述人员未经监理人或发包人同意擅自离开施工现场的，应按照专用合同条款约定承担违约责任。</w:t>
      </w:r>
    </w:p>
    <w:p>
      <w:pPr>
        <w:pStyle w:val="6"/>
        <w:spacing w:before="0" w:beforeAutospacing="0" w:after="0" w:afterAutospacing="0" w:line="360" w:lineRule="auto"/>
        <w:ind w:firstLine="422" w:firstLineChars="200"/>
        <w:rPr>
          <w:color w:val="auto"/>
          <w:sz w:val="21"/>
          <w:szCs w:val="21"/>
          <w:highlight w:val="none"/>
        </w:rPr>
      </w:pPr>
      <w:bookmarkStart w:id="169" w:name="_Toc532377208"/>
      <w:bookmarkStart w:id="170" w:name="_Toc351203522"/>
      <w:r>
        <w:rPr>
          <w:rFonts w:hint="eastAsia"/>
          <w:color w:val="auto"/>
          <w:sz w:val="21"/>
          <w:szCs w:val="21"/>
          <w:highlight w:val="none"/>
        </w:rPr>
        <w:t>3</w:t>
      </w:r>
      <w:bookmarkStart w:id="171" w:name="_Toc296346551"/>
      <w:bookmarkStart w:id="172" w:name="_Toc296503050"/>
      <w:bookmarkStart w:id="173" w:name="_Toc337558750"/>
      <w:r>
        <w:rPr>
          <w:rFonts w:hint="eastAsia"/>
          <w:color w:val="auto"/>
          <w:sz w:val="21"/>
          <w:szCs w:val="21"/>
          <w:highlight w:val="none"/>
        </w:rPr>
        <w:t>.4 承包人现场查勘</w:t>
      </w:r>
      <w:bookmarkEnd w:id="169"/>
      <w:bookmarkEnd w:id="170"/>
    </w:p>
    <w:bookmarkEnd w:id="171"/>
    <w:bookmarkEnd w:id="172"/>
    <w:bookmarkEnd w:id="173"/>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承包人应对基于发包人按照第2.4.3项〔提供基础资料〕提交的基础资料所做出的解释和推断负责，但因基础资料存在错误、遗漏导致承包人解释或推断失实的，由发包人承担责任。</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承包人应对施工现场和施工条件进行查勘，并充分了解工程所在地的气象条件、交通条件、风俗习惯以及其他与完成合同工作有关的其他资料。因承包人未能充分查勘、了解前述情况或未能充分估计前述情况所可能产生后果的，承包人承担由此增加的费用和（或）延误的工期。</w:t>
      </w:r>
    </w:p>
    <w:p>
      <w:pPr>
        <w:pStyle w:val="6"/>
        <w:spacing w:before="0" w:beforeAutospacing="0" w:after="0" w:afterAutospacing="0" w:line="360" w:lineRule="auto"/>
        <w:ind w:firstLine="422" w:firstLineChars="200"/>
        <w:rPr>
          <w:rFonts w:hint="eastAsia"/>
          <w:color w:val="auto"/>
          <w:sz w:val="21"/>
          <w:szCs w:val="21"/>
          <w:highlight w:val="none"/>
        </w:rPr>
      </w:pPr>
      <w:bookmarkStart w:id="174" w:name="_Toc532377209"/>
      <w:bookmarkStart w:id="175" w:name="_Toc351203523"/>
      <w:r>
        <w:rPr>
          <w:rFonts w:hint="eastAsia"/>
          <w:color w:val="auto"/>
          <w:sz w:val="21"/>
          <w:szCs w:val="21"/>
          <w:highlight w:val="none"/>
        </w:rPr>
        <w:t>3</w:t>
      </w:r>
      <w:bookmarkStart w:id="176" w:name="_Toc337558751"/>
      <w:bookmarkStart w:id="177" w:name="_Toc296503051"/>
      <w:bookmarkStart w:id="178" w:name="_Toc296346552"/>
      <w:r>
        <w:rPr>
          <w:rFonts w:hint="eastAsia"/>
          <w:color w:val="auto"/>
          <w:sz w:val="21"/>
          <w:szCs w:val="21"/>
          <w:highlight w:val="none"/>
        </w:rPr>
        <w:t>.5 分包</w:t>
      </w:r>
      <w:bookmarkEnd w:id="174"/>
      <w:bookmarkEnd w:id="175"/>
    </w:p>
    <w:p>
      <w:pPr>
        <w:rPr>
          <w:rFonts w:hint="default" w:eastAsia="宋体"/>
          <w:lang w:val="en-US" w:eastAsia="zh-CN"/>
        </w:rPr>
      </w:pPr>
      <w:r>
        <w:rPr>
          <w:rFonts w:hint="eastAsia"/>
          <w:color w:val="auto"/>
          <w:sz w:val="21"/>
          <w:szCs w:val="21"/>
          <w:highlight w:val="none"/>
          <w:lang w:val="en-US" w:eastAsia="zh-CN"/>
        </w:rPr>
        <w:t>本工程禁止分包。</w:t>
      </w:r>
    </w:p>
    <w:bookmarkEnd w:id="176"/>
    <w:bookmarkEnd w:id="177"/>
    <w:bookmarkEnd w:id="178"/>
    <w:p>
      <w:pPr>
        <w:pStyle w:val="6"/>
        <w:spacing w:before="0" w:beforeAutospacing="0" w:after="0" w:afterAutospacing="0" w:line="360" w:lineRule="auto"/>
        <w:ind w:firstLine="422" w:firstLineChars="200"/>
        <w:rPr>
          <w:color w:val="auto"/>
          <w:sz w:val="21"/>
          <w:szCs w:val="21"/>
          <w:highlight w:val="none"/>
        </w:rPr>
      </w:pPr>
      <w:bookmarkStart w:id="179" w:name="_Toc532377210"/>
      <w:bookmarkStart w:id="180" w:name="_Toc351203524"/>
      <w:r>
        <w:rPr>
          <w:rFonts w:hint="eastAsia"/>
          <w:color w:val="auto"/>
          <w:sz w:val="21"/>
          <w:szCs w:val="21"/>
          <w:highlight w:val="none"/>
        </w:rPr>
        <w:t>3.6 工程照管与成品、半成品保护</w:t>
      </w:r>
      <w:bookmarkEnd w:id="179"/>
      <w:bookmarkEnd w:id="180"/>
    </w:p>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（1）除专用合同条款另有约定外，自发包人向承包人移交施工现场之日起，承包人应负责照管工程及工程相关的材料、工程设备，直到颁发工程接收证书之日止。</w:t>
      </w:r>
    </w:p>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（2）在承包人负责照管期间，因承包人原因造成工程、材料、工程设备损坏的，由承包人负责修复或更换，并承担由此增加的费用和（或）延误的工期。</w:t>
      </w:r>
    </w:p>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（3）对合同内分期完成的成品和半成品，在工程接收证书颁发前，由承包人承担保护责任。因承包人原因造成成品或半成品损坏的，由承包人负责修复或更换，并承担由此增加的费用和（或）延误的工期。</w:t>
      </w:r>
    </w:p>
    <w:p>
      <w:pPr>
        <w:pStyle w:val="6"/>
        <w:spacing w:before="0" w:beforeAutospacing="0" w:after="0" w:afterAutospacing="0" w:line="360" w:lineRule="auto"/>
        <w:ind w:firstLine="422" w:firstLineChars="200"/>
        <w:rPr>
          <w:color w:val="auto"/>
          <w:sz w:val="21"/>
          <w:szCs w:val="21"/>
          <w:highlight w:val="none"/>
        </w:rPr>
      </w:pPr>
      <w:bookmarkStart w:id="181" w:name="_Toc532377211"/>
      <w:bookmarkStart w:id="182" w:name="_Toc351203525"/>
      <w:r>
        <w:rPr>
          <w:rFonts w:hint="eastAsia"/>
          <w:color w:val="auto"/>
          <w:sz w:val="21"/>
          <w:szCs w:val="21"/>
          <w:highlight w:val="none"/>
        </w:rPr>
        <w:t>3</w:t>
      </w:r>
      <w:bookmarkStart w:id="183" w:name="_Toc337558752"/>
      <w:bookmarkStart w:id="184" w:name="_Toc296346553"/>
      <w:bookmarkStart w:id="185" w:name="_Toc296503052"/>
      <w:r>
        <w:rPr>
          <w:rFonts w:hint="eastAsia"/>
          <w:color w:val="auto"/>
          <w:sz w:val="21"/>
          <w:szCs w:val="21"/>
          <w:highlight w:val="none"/>
        </w:rPr>
        <w:t>.7 履约担保</w:t>
      </w:r>
      <w:bookmarkEnd w:id="181"/>
      <w:bookmarkEnd w:id="182"/>
    </w:p>
    <w:bookmarkEnd w:id="183"/>
    <w:bookmarkEnd w:id="184"/>
    <w:bookmarkEnd w:id="185"/>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发包人需要承包人提供履约担保的，由合同当事人在专用合同条款中约定履约担保的方式、金额及期限等。履约担保可以采用银行保函或担保公司担保等形式，具体由合同当事人在专用合同条款中约定。</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因承包人原因导致工期延长的，继续提供履约担保所增加的费用由承包人承担；非因承包人原因导致工期延长的，继续提供履约担保所增加的费用由发包人承担。</w:t>
      </w:r>
    </w:p>
    <w:p>
      <w:pPr>
        <w:pStyle w:val="5"/>
        <w:keepNext/>
        <w:keepLines/>
        <w:spacing w:before="156" w:beforeLines="50" w:beforeAutospacing="0" w:after="156" w:afterLines="50" w:afterAutospacing="0" w:line="360" w:lineRule="auto"/>
        <w:jc w:val="both"/>
        <w:rPr>
          <w:bCs w:val="0"/>
          <w:color w:val="auto"/>
          <w:kern w:val="2"/>
          <w:sz w:val="21"/>
          <w:szCs w:val="21"/>
          <w:highlight w:val="none"/>
        </w:rPr>
      </w:pPr>
      <w:bookmarkStart w:id="186" w:name="_Toc351203527"/>
      <w:bookmarkStart w:id="187" w:name="_Toc532377213"/>
      <w:bookmarkStart w:id="188" w:name="_Toc532375590"/>
      <w:r>
        <w:rPr>
          <w:rFonts w:hint="eastAsia"/>
          <w:color w:val="auto"/>
          <w:kern w:val="2"/>
          <w:sz w:val="21"/>
          <w:szCs w:val="21"/>
          <w:highlight w:val="none"/>
        </w:rPr>
        <w:t>4</w:t>
      </w:r>
      <w:bookmarkStart w:id="189" w:name="_Toc296503053"/>
      <w:bookmarkStart w:id="190" w:name="_Toc296346554"/>
      <w:bookmarkStart w:id="191" w:name="_Toc337558753"/>
      <w:r>
        <w:rPr>
          <w:rFonts w:hint="eastAsia"/>
          <w:color w:val="auto"/>
          <w:kern w:val="2"/>
          <w:sz w:val="21"/>
          <w:szCs w:val="21"/>
          <w:highlight w:val="none"/>
        </w:rPr>
        <w:t>. 监</w:t>
      </w:r>
      <w:bookmarkEnd w:id="189"/>
      <w:bookmarkEnd w:id="190"/>
      <w:r>
        <w:rPr>
          <w:rFonts w:hint="eastAsia"/>
          <w:color w:val="auto"/>
          <w:kern w:val="2"/>
          <w:sz w:val="21"/>
          <w:szCs w:val="21"/>
          <w:highlight w:val="none"/>
        </w:rPr>
        <w:t>理人</w:t>
      </w:r>
      <w:bookmarkEnd w:id="186"/>
      <w:bookmarkEnd w:id="187"/>
      <w:bookmarkEnd w:id="188"/>
    </w:p>
    <w:bookmarkEnd w:id="191"/>
    <w:p>
      <w:pPr>
        <w:pStyle w:val="6"/>
        <w:spacing w:before="0" w:beforeAutospacing="0" w:after="0" w:afterAutospacing="0" w:line="360" w:lineRule="auto"/>
        <w:ind w:firstLine="422" w:firstLineChars="200"/>
        <w:rPr>
          <w:color w:val="auto"/>
          <w:sz w:val="21"/>
          <w:szCs w:val="21"/>
          <w:highlight w:val="none"/>
        </w:rPr>
      </w:pPr>
      <w:bookmarkStart w:id="192" w:name="_Toc532377214"/>
      <w:bookmarkStart w:id="193" w:name="_Toc351203528"/>
      <w:r>
        <w:rPr>
          <w:rFonts w:hint="eastAsia"/>
          <w:color w:val="auto"/>
          <w:sz w:val="21"/>
          <w:szCs w:val="21"/>
          <w:highlight w:val="none"/>
        </w:rPr>
        <w:t>4</w:t>
      </w:r>
      <w:bookmarkStart w:id="194" w:name="_Toc337558754"/>
      <w:bookmarkStart w:id="195" w:name="_Toc296346555"/>
      <w:bookmarkStart w:id="196" w:name="_Toc296503054"/>
      <w:r>
        <w:rPr>
          <w:rFonts w:hint="eastAsia"/>
          <w:color w:val="auto"/>
          <w:sz w:val="21"/>
          <w:szCs w:val="21"/>
          <w:highlight w:val="none"/>
        </w:rPr>
        <w:t>.1监理人的一般规定</w:t>
      </w:r>
      <w:bookmarkEnd w:id="192"/>
      <w:bookmarkEnd w:id="193"/>
    </w:p>
    <w:bookmarkEnd w:id="194"/>
    <w:bookmarkEnd w:id="195"/>
    <w:bookmarkEnd w:id="196"/>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工程实行监理的，发包人和承包人应在专用合同条款中明确监理人的监理内容及监理权限等事项。监理人应当根据发包人授权及法律规定，代表发包人对工程施工相关事项进行检查、查验、审核、验收，并签发相关指示，但监理人无权修改合同，且无权减轻或免除合同约定的承包人的任何责任与义务。</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除专用合同条款另有约定外，监理人在施工现场的办公场所、生活场所由承包人提供，所发生的费用由发包人承担。</w:t>
      </w:r>
    </w:p>
    <w:p>
      <w:pPr>
        <w:pStyle w:val="6"/>
        <w:spacing w:before="0" w:beforeAutospacing="0" w:after="0" w:afterAutospacing="0" w:line="360" w:lineRule="auto"/>
        <w:ind w:firstLine="422" w:firstLineChars="200"/>
        <w:rPr>
          <w:color w:val="auto"/>
          <w:sz w:val="21"/>
          <w:szCs w:val="21"/>
          <w:highlight w:val="none"/>
        </w:rPr>
      </w:pPr>
      <w:bookmarkStart w:id="197" w:name="_Toc532377215"/>
      <w:bookmarkStart w:id="198" w:name="_Toc351203529"/>
      <w:r>
        <w:rPr>
          <w:rFonts w:hint="eastAsia"/>
          <w:color w:val="auto"/>
          <w:sz w:val="21"/>
          <w:szCs w:val="21"/>
          <w:highlight w:val="none"/>
        </w:rPr>
        <w:t>4</w:t>
      </w:r>
      <w:bookmarkStart w:id="199" w:name="_Toc337558755"/>
      <w:r>
        <w:rPr>
          <w:rFonts w:hint="eastAsia"/>
          <w:color w:val="auto"/>
          <w:sz w:val="21"/>
          <w:szCs w:val="21"/>
          <w:highlight w:val="none"/>
        </w:rPr>
        <w:t>.2监理人员</w:t>
      </w:r>
      <w:bookmarkEnd w:id="197"/>
      <w:bookmarkEnd w:id="198"/>
    </w:p>
    <w:bookmarkEnd w:id="199"/>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发包人授予监理人对工程实施监理的权利由监理人派驻施工现场的监理人员行使，监理人员包括总监理工程师及监理工程师。监理人应将授权的总监理工程师和监理工程师的姓名及授权范围以书面形式提前通知承包人。更换总监理工程师的，监理人应提前7天书面通知承包人；更换其他监理人员，监理人应提前48小时书面通知承包人。</w:t>
      </w:r>
    </w:p>
    <w:p>
      <w:pPr>
        <w:pStyle w:val="6"/>
        <w:spacing w:before="0" w:beforeAutospacing="0" w:after="0" w:afterAutospacing="0" w:line="360" w:lineRule="auto"/>
        <w:ind w:firstLine="422" w:firstLineChars="200"/>
        <w:rPr>
          <w:color w:val="auto"/>
          <w:sz w:val="21"/>
          <w:szCs w:val="21"/>
          <w:highlight w:val="none"/>
        </w:rPr>
      </w:pPr>
      <w:bookmarkStart w:id="200" w:name="_Toc351203530"/>
      <w:bookmarkStart w:id="201" w:name="_Toc532377216"/>
      <w:r>
        <w:rPr>
          <w:rFonts w:hint="eastAsia"/>
          <w:color w:val="auto"/>
          <w:sz w:val="21"/>
          <w:szCs w:val="21"/>
          <w:highlight w:val="none"/>
        </w:rPr>
        <w:t>4</w:t>
      </w:r>
      <w:bookmarkStart w:id="202" w:name="_Toc296503055"/>
      <w:bookmarkStart w:id="203" w:name="_Toc296346556"/>
      <w:bookmarkStart w:id="204" w:name="_Toc337558756"/>
      <w:r>
        <w:rPr>
          <w:rFonts w:hint="eastAsia"/>
          <w:color w:val="auto"/>
          <w:sz w:val="21"/>
          <w:szCs w:val="21"/>
          <w:highlight w:val="none"/>
        </w:rPr>
        <w:t>.3</w:t>
      </w:r>
      <w:bookmarkEnd w:id="202"/>
      <w:bookmarkEnd w:id="203"/>
      <w:r>
        <w:rPr>
          <w:rFonts w:hint="eastAsia"/>
          <w:color w:val="auto"/>
          <w:sz w:val="21"/>
          <w:szCs w:val="21"/>
          <w:highlight w:val="none"/>
        </w:rPr>
        <w:t>监理人的指</w:t>
      </w:r>
      <w:bookmarkEnd w:id="204"/>
      <w:r>
        <w:rPr>
          <w:rFonts w:hint="eastAsia"/>
          <w:color w:val="auto"/>
          <w:sz w:val="21"/>
          <w:szCs w:val="21"/>
          <w:highlight w:val="none"/>
        </w:rPr>
        <w:t>示</w:t>
      </w:r>
      <w:bookmarkEnd w:id="200"/>
      <w:bookmarkEnd w:id="201"/>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监理人应按照发包人的授权发出监理指示。监理人的指示应采用书面形式，并经其授权的监理人员签字。紧急情况下，为了保证施工人员的安全或避免工程受损，监理人员可以口头形式发出指示，该指示与书面形式的指示具有同等法律效力，但必须在发出口头指示后24小时内补发书面监理指示，补发的书面监理指示应与口头指示一致。</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监理人发出的指示应送达承包人项目经理或经项目经理授权接收的人员。因监理人未能按合同约定发出指示、指示延误或发出了错误指示而导致承包人费用增加和（或）工期延误的，由发包人承担相应责任。除专用合同条款另有约定外，总监理工程师不应将第4.4款〔商定或确定〕约定应由总监理工程师作出确定的权力授权或委托给其他监理人员。</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承包人对监理人发出的指示有疑问的，应向监理人提出书面异议，监理人应在48小时内对该指示予以确认、更改或撤销，监理人逾期未回复的，承包人有权拒绝执行上述指示。</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监理人对承包人的任何工作、工程或其采用的材料和工程设备未在约定的或合理期限内提出意见的，视为批准，但不免除或减轻承包人对该工作、工程、材料、工程设备等应承担的责任和义务。</w:t>
      </w:r>
    </w:p>
    <w:p>
      <w:pPr>
        <w:pStyle w:val="6"/>
        <w:spacing w:before="0" w:beforeAutospacing="0" w:after="0" w:afterAutospacing="0" w:line="360" w:lineRule="auto"/>
        <w:ind w:firstLine="422" w:firstLineChars="200"/>
        <w:rPr>
          <w:color w:val="auto"/>
          <w:sz w:val="21"/>
          <w:szCs w:val="21"/>
          <w:highlight w:val="none"/>
        </w:rPr>
      </w:pPr>
      <w:bookmarkStart w:id="205" w:name="_Toc532377217"/>
      <w:bookmarkStart w:id="206" w:name="_Toc351203531"/>
      <w:r>
        <w:rPr>
          <w:rFonts w:hint="eastAsia"/>
          <w:color w:val="auto"/>
          <w:sz w:val="21"/>
          <w:szCs w:val="21"/>
          <w:highlight w:val="none"/>
        </w:rPr>
        <w:t>4</w:t>
      </w:r>
      <w:bookmarkStart w:id="207" w:name="_Toc337558757"/>
      <w:bookmarkStart w:id="208" w:name="_Toc296503057"/>
      <w:bookmarkStart w:id="209" w:name="_Toc296346558"/>
      <w:r>
        <w:rPr>
          <w:rFonts w:hint="eastAsia"/>
          <w:color w:val="auto"/>
          <w:sz w:val="21"/>
          <w:szCs w:val="21"/>
          <w:highlight w:val="none"/>
        </w:rPr>
        <w:t>.4 商定或确定</w:t>
      </w:r>
      <w:bookmarkEnd w:id="205"/>
      <w:bookmarkEnd w:id="206"/>
    </w:p>
    <w:bookmarkEnd w:id="207"/>
    <w:bookmarkEnd w:id="208"/>
    <w:bookmarkEnd w:id="209"/>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合同当事人进行商定或确定时，总监理工程师应当会同合同当事人尽量通过协商达成一致，不能达成一致的，由总监理工程师按照合同约定审慎做出公正的确定。</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总监理工程师应将确定以书面形式通知发包人和承包人，并附详细依据。合同当事人对总监理工程师的确定没有异议的，按照总监理工程师的确定执行。任何一方合同当事人有异议，按照第20条〔争议解决〕约定处理。争议解决前，合同当事人暂按总监理工程师的确定执行；争议解决后，争议解决的结果与总监理工程师的确定不一致的，按照争议解决的结果执行，由此造成的损失由责任人承担。</w:t>
      </w:r>
    </w:p>
    <w:p>
      <w:pPr>
        <w:pStyle w:val="5"/>
        <w:keepNext/>
        <w:keepLines/>
        <w:spacing w:before="156" w:beforeLines="50" w:beforeAutospacing="0" w:after="156" w:afterLines="50" w:afterAutospacing="0" w:line="360" w:lineRule="auto"/>
        <w:jc w:val="both"/>
        <w:rPr>
          <w:bCs w:val="0"/>
          <w:color w:val="auto"/>
          <w:kern w:val="2"/>
          <w:sz w:val="21"/>
          <w:szCs w:val="21"/>
          <w:highlight w:val="none"/>
        </w:rPr>
      </w:pPr>
      <w:bookmarkStart w:id="210" w:name="_Toc532375591"/>
      <w:bookmarkStart w:id="211" w:name="_Toc351203532"/>
      <w:bookmarkStart w:id="212" w:name="_Toc532377218"/>
      <w:r>
        <w:rPr>
          <w:rFonts w:hint="eastAsia"/>
          <w:color w:val="auto"/>
          <w:kern w:val="2"/>
          <w:sz w:val="21"/>
          <w:szCs w:val="21"/>
          <w:highlight w:val="none"/>
        </w:rPr>
        <w:t>5</w:t>
      </w:r>
      <w:bookmarkStart w:id="213" w:name="_Toc337558758"/>
      <w:r>
        <w:rPr>
          <w:rFonts w:hint="eastAsia"/>
          <w:color w:val="auto"/>
          <w:kern w:val="2"/>
          <w:sz w:val="21"/>
          <w:szCs w:val="21"/>
          <w:highlight w:val="none"/>
        </w:rPr>
        <w:t>. 工程质量</w:t>
      </w:r>
      <w:bookmarkEnd w:id="210"/>
      <w:bookmarkEnd w:id="211"/>
      <w:bookmarkEnd w:id="212"/>
    </w:p>
    <w:bookmarkEnd w:id="213"/>
    <w:p>
      <w:pPr>
        <w:pStyle w:val="6"/>
        <w:spacing w:before="0" w:beforeAutospacing="0" w:after="0" w:afterAutospacing="0" w:line="360" w:lineRule="auto"/>
        <w:ind w:firstLine="422" w:firstLineChars="200"/>
        <w:rPr>
          <w:color w:val="auto"/>
          <w:sz w:val="21"/>
          <w:szCs w:val="21"/>
          <w:highlight w:val="none"/>
        </w:rPr>
      </w:pPr>
      <w:bookmarkStart w:id="214" w:name="_Toc351203533"/>
      <w:bookmarkStart w:id="215" w:name="_Toc532377219"/>
      <w:r>
        <w:rPr>
          <w:rFonts w:hint="eastAsia"/>
          <w:color w:val="auto"/>
          <w:sz w:val="21"/>
          <w:szCs w:val="21"/>
          <w:highlight w:val="none"/>
        </w:rPr>
        <w:t>5</w:t>
      </w:r>
      <w:bookmarkStart w:id="216" w:name="_Toc337558759"/>
      <w:r>
        <w:rPr>
          <w:rFonts w:hint="eastAsia"/>
          <w:color w:val="auto"/>
          <w:sz w:val="21"/>
          <w:szCs w:val="21"/>
          <w:highlight w:val="none"/>
        </w:rPr>
        <w:t>.1质量要求</w:t>
      </w:r>
      <w:bookmarkEnd w:id="214"/>
      <w:bookmarkEnd w:id="215"/>
    </w:p>
    <w:bookmarkEnd w:id="216"/>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5.1.1 工程质量标准必须符合现行国家有关工程施工质量验收规范和标准的要求。有关工程质量的特殊标准或要求由合同当事人在专用合同条款中约定。</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5.1.2 因发包人原因造成工程质量未达到合同约定标准的，由发包人承担由此增加的费用和（或）延误的工期，并支付承包人合理的利润。</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5.1.3 因承包人原因造成工程质量未达到合同约定标准的，发包人有权要求承包人返工直至工程质量达到合同约定的标准为止，并由承包人承担由此增加的费用和（或）延误的工期。</w:t>
      </w:r>
    </w:p>
    <w:p>
      <w:pPr>
        <w:pStyle w:val="6"/>
        <w:spacing w:before="0" w:beforeAutospacing="0" w:after="0" w:afterAutospacing="0" w:line="360" w:lineRule="auto"/>
        <w:ind w:firstLine="422" w:firstLineChars="200"/>
        <w:rPr>
          <w:color w:val="auto"/>
          <w:sz w:val="21"/>
          <w:szCs w:val="21"/>
          <w:highlight w:val="none"/>
        </w:rPr>
      </w:pPr>
      <w:bookmarkStart w:id="217" w:name="_Toc532377220"/>
      <w:bookmarkStart w:id="218" w:name="_Toc351203534"/>
      <w:r>
        <w:rPr>
          <w:rFonts w:hint="eastAsia"/>
          <w:color w:val="auto"/>
          <w:sz w:val="21"/>
          <w:szCs w:val="21"/>
          <w:highlight w:val="none"/>
        </w:rPr>
        <w:t>5</w:t>
      </w:r>
      <w:bookmarkStart w:id="219" w:name="_Toc337558760"/>
      <w:r>
        <w:rPr>
          <w:rFonts w:hint="eastAsia"/>
          <w:color w:val="auto"/>
          <w:sz w:val="21"/>
          <w:szCs w:val="21"/>
          <w:highlight w:val="none"/>
        </w:rPr>
        <w:t>.2质量保证措施</w:t>
      </w:r>
      <w:bookmarkEnd w:id="217"/>
      <w:bookmarkEnd w:id="218"/>
    </w:p>
    <w:bookmarkEnd w:id="219"/>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5.2.1 发包人的质量管理</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发包人应按照法律规定及合同约定完成与工程质量有关的各项工作。</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5.2.2 承包人的质量管理</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承包人按照第7.1款〔施工组织设计〕约定向发包人和监理人提交工程质量保证体系及措施文件，建立完善的质量检查制度，并提交相应的工程质量文件。对于发包人和监理人违反法律规定和合同约定的错误指示，承包人有权拒绝实施。</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承包人应对施工人员进行质量教育和技术培训，定期考核施工人员的劳动技能，严格执行施工规范和操作规程。</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承包人应按照法律规定和发包人的要求，对材料、工程设备以及工程的所有部位及其施工工艺进行全过程的质量检查和检验，并作详细记录，编制工程质量报表，报送监理人审查。此外，承包人还应按照法律规定和发包人的要求，进行施工现场取样试验、工程复核测量和设备性能检测，提供试验样品、提交试验报告和测量成果以及其他工作。</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5.2.3 监理人的质量检查和检验</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监理人按照法律规定和发包人授权对工程的所有部位及其施工工艺、材料和工程设备进行检查和检验。承包人应为监理人的检查和检验提供方便，包括监理人到施工现场，或制造、加工地点，或合同约定的其他地方进行察看和查阅施工原始记录。监理人为此进行的检查和检验，不免除或减轻承包人按照合同约定应当承担的责任。</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监理人的检查和检验不应影响施工正常进行。监理人的检查和检验影响施工正常进行的，且经检查检验不合格的，影响正常施工的费用由承包人承担，工期不予顺延；经检查检验合格的，由此增加的费用和（或）延误的工期由发包人承担。</w:t>
      </w:r>
    </w:p>
    <w:p>
      <w:pPr>
        <w:pStyle w:val="6"/>
        <w:spacing w:before="0" w:beforeAutospacing="0" w:after="0" w:afterAutospacing="0" w:line="360" w:lineRule="auto"/>
        <w:ind w:firstLine="422" w:firstLineChars="200"/>
        <w:rPr>
          <w:color w:val="auto"/>
          <w:sz w:val="21"/>
          <w:szCs w:val="21"/>
          <w:highlight w:val="none"/>
        </w:rPr>
      </w:pPr>
      <w:bookmarkStart w:id="220" w:name="_Toc532377221"/>
      <w:bookmarkStart w:id="221" w:name="_Toc351203535"/>
      <w:r>
        <w:rPr>
          <w:rFonts w:hint="eastAsia"/>
          <w:color w:val="auto"/>
          <w:sz w:val="21"/>
          <w:szCs w:val="21"/>
          <w:highlight w:val="none"/>
        </w:rPr>
        <w:t>5</w:t>
      </w:r>
      <w:bookmarkStart w:id="222" w:name="_Toc337558761"/>
      <w:r>
        <w:rPr>
          <w:rFonts w:hint="eastAsia"/>
          <w:color w:val="auto"/>
          <w:sz w:val="21"/>
          <w:szCs w:val="21"/>
          <w:highlight w:val="none"/>
        </w:rPr>
        <w:t>.3 隐蔽工程检查</w:t>
      </w:r>
      <w:bookmarkEnd w:id="220"/>
      <w:bookmarkEnd w:id="221"/>
    </w:p>
    <w:bookmarkEnd w:id="222"/>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5.3.1承包人自检</w:t>
      </w:r>
    </w:p>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承包人应当对工程隐蔽部位进行自检，并经自检确认是否具备覆盖条件。</w:t>
      </w:r>
    </w:p>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5.3.2检查程序</w:t>
      </w:r>
    </w:p>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除专用合同条款另有约定外，工程隐蔽部位经承包人自检确认具备覆盖条件的，承包人应在共同检查前48小时书面通知监理人检查，通知中应载明隐蔽检查的内容、时间和地点，并应附有自检记录和必要的检查资料。</w:t>
      </w:r>
    </w:p>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监理人应按时到场并对隐蔽工程及其施工工艺、材料和工程设备进行检查。经监理人检查确认质量符合隐蔽要求，并在验收记录上签字后，承包人才能进行覆盖。经监理人检查质量不合格的，承包人应在监理人指示的时间内完成修复，并由监理人重新检查，由此增加的费用和（或）延误的工期由承包人承担。</w:t>
      </w:r>
    </w:p>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除专用合同条款另有约定外，监理人不能按时进行检查的，应在检查前24小时向承包人提交书面延期要求，但延期不能超过48小时，由此导致工期延误的，工期应予以顺延。监理人未按时进行检查，也未提出延期要求的，视为隐蔽工程检查合格，承包人可自行完成覆盖工作，并作相应记录报送监理人，监理人应签字确认。监理人事后对检查记录有疑问的，可按第5.3.3项〔重新检查〕的约定重新检查。</w:t>
      </w:r>
    </w:p>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5.3.3 重新检查</w:t>
      </w:r>
    </w:p>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承包人覆盖工程隐蔽部位后，发包人或监理人对质量有疑问的，可要求承包人对已覆盖的部位进行钻孔探测或揭开重新检查，承包人应遵照执行，并在检查后重新覆盖恢复原状。经检查证明工程质量符合合同要求的，由发包人承担由此增加的费用和（或）延误的工期，并支付承包人合理的利润；经检查证明工程质量不符合合同要求的，由此增加的费用和（或）延误的工期由承包人承担。</w:t>
      </w:r>
    </w:p>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5.3.4 承包人私自覆盖</w:t>
      </w:r>
    </w:p>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承包人未通知监理人到场检查，私自将工程隐蔽部位覆盖的，监理人有权指示承包人钻孔探测或揭开检查，无论工程隐蔽部位质量是否合格，由此增加的费用和（或）延误的工期均由承包人承担。</w:t>
      </w:r>
    </w:p>
    <w:p>
      <w:pPr>
        <w:pStyle w:val="6"/>
        <w:spacing w:before="0" w:beforeAutospacing="0" w:after="0" w:afterAutospacing="0" w:line="360" w:lineRule="auto"/>
        <w:ind w:firstLine="422" w:firstLineChars="200"/>
        <w:rPr>
          <w:color w:val="auto"/>
          <w:sz w:val="21"/>
          <w:szCs w:val="21"/>
          <w:highlight w:val="none"/>
        </w:rPr>
      </w:pPr>
      <w:bookmarkStart w:id="223" w:name="_Toc532377222"/>
      <w:r>
        <w:rPr>
          <w:rFonts w:hint="eastAsia"/>
          <w:color w:val="auto"/>
          <w:sz w:val="21"/>
          <w:szCs w:val="21"/>
          <w:highlight w:val="none"/>
        </w:rPr>
        <w:t>5.4不合格工程的处理</w:t>
      </w:r>
      <w:bookmarkEnd w:id="223"/>
    </w:p>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 xml:space="preserve">5.4.1 因承包人原因造成工程不合格的，发包人有权随时要求承包人采取补救措施，直至达到合同要求的质量标准，由此增加的费用和（或）延误的工期由承包人承担。无法补救的，按照第13.2.4项〔拒绝接收全部或部分工程〕约定执行。 </w:t>
      </w:r>
    </w:p>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5.4.2 因发包人原因造成工程不合格的，由此增加的费用和（或）延误的工期由发包人承担，并支付承包人合理的利润。</w:t>
      </w:r>
    </w:p>
    <w:p>
      <w:pPr>
        <w:pStyle w:val="6"/>
        <w:spacing w:before="0" w:beforeAutospacing="0" w:after="0" w:afterAutospacing="0" w:line="360" w:lineRule="auto"/>
        <w:ind w:firstLine="422" w:firstLineChars="200"/>
        <w:rPr>
          <w:color w:val="auto"/>
          <w:sz w:val="21"/>
          <w:szCs w:val="21"/>
          <w:highlight w:val="none"/>
        </w:rPr>
      </w:pPr>
      <w:bookmarkStart w:id="224" w:name="_Toc351203537"/>
      <w:bookmarkStart w:id="225" w:name="_Toc532377223"/>
      <w:r>
        <w:rPr>
          <w:rFonts w:hint="eastAsia"/>
          <w:color w:val="auto"/>
          <w:sz w:val="21"/>
          <w:szCs w:val="21"/>
          <w:highlight w:val="none"/>
        </w:rPr>
        <w:t>5.5 质量争议检测</w:t>
      </w:r>
      <w:bookmarkEnd w:id="224"/>
      <w:bookmarkEnd w:id="225"/>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合同当事人对工程质量有争议的，由双方协商确定的工程质量检测机构鉴定，由此产生的费用及因此造成的损失，由责任方承担。</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合同当事人均有责任的，由双方根据其责任分别承担。合同当事人无法达成一致的，按照第4.4款〔商定或确定〕执行。</w:t>
      </w:r>
    </w:p>
    <w:p>
      <w:pPr>
        <w:pStyle w:val="5"/>
        <w:keepNext/>
        <w:keepLines/>
        <w:spacing w:before="156" w:beforeLines="50" w:beforeAutospacing="0" w:after="156" w:afterLines="50" w:afterAutospacing="0" w:line="360" w:lineRule="auto"/>
        <w:jc w:val="both"/>
        <w:rPr>
          <w:bCs w:val="0"/>
          <w:color w:val="auto"/>
          <w:kern w:val="2"/>
          <w:sz w:val="21"/>
          <w:szCs w:val="21"/>
          <w:highlight w:val="none"/>
        </w:rPr>
      </w:pPr>
      <w:bookmarkStart w:id="226" w:name="_Toc532377224"/>
      <w:bookmarkStart w:id="227" w:name="_Toc532375592"/>
      <w:bookmarkStart w:id="228" w:name="_Toc351203538"/>
      <w:r>
        <w:rPr>
          <w:rFonts w:hint="eastAsia"/>
          <w:color w:val="auto"/>
          <w:kern w:val="2"/>
          <w:sz w:val="21"/>
          <w:szCs w:val="21"/>
          <w:highlight w:val="none"/>
        </w:rPr>
        <w:t>6</w:t>
      </w:r>
      <w:bookmarkStart w:id="229" w:name="_Toc337558763"/>
      <w:r>
        <w:rPr>
          <w:rFonts w:hint="eastAsia"/>
          <w:color w:val="auto"/>
          <w:kern w:val="2"/>
          <w:sz w:val="21"/>
          <w:szCs w:val="21"/>
          <w:highlight w:val="none"/>
        </w:rPr>
        <w:t>. 安全文明施工与环境保护</w:t>
      </w:r>
      <w:bookmarkEnd w:id="226"/>
      <w:bookmarkEnd w:id="227"/>
      <w:bookmarkEnd w:id="228"/>
    </w:p>
    <w:bookmarkEnd w:id="229"/>
    <w:p>
      <w:pPr>
        <w:pStyle w:val="6"/>
        <w:spacing w:before="0" w:beforeAutospacing="0" w:after="0" w:afterAutospacing="0" w:line="360" w:lineRule="auto"/>
        <w:ind w:firstLine="422" w:firstLineChars="200"/>
        <w:rPr>
          <w:color w:val="auto"/>
          <w:sz w:val="21"/>
          <w:szCs w:val="21"/>
          <w:highlight w:val="none"/>
        </w:rPr>
      </w:pPr>
      <w:bookmarkStart w:id="230" w:name="_Toc351203539"/>
      <w:bookmarkStart w:id="231" w:name="_Toc532377225"/>
      <w:r>
        <w:rPr>
          <w:rFonts w:hint="eastAsia"/>
          <w:color w:val="auto"/>
          <w:sz w:val="21"/>
          <w:szCs w:val="21"/>
          <w:highlight w:val="none"/>
        </w:rPr>
        <w:t>6</w:t>
      </w:r>
      <w:bookmarkStart w:id="232" w:name="_Toc337558764"/>
      <w:r>
        <w:rPr>
          <w:rFonts w:hint="eastAsia"/>
          <w:color w:val="auto"/>
          <w:sz w:val="21"/>
          <w:szCs w:val="21"/>
          <w:highlight w:val="none"/>
        </w:rPr>
        <w:t>.1安全文明施工</w:t>
      </w:r>
      <w:bookmarkEnd w:id="230"/>
      <w:bookmarkEnd w:id="231"/>
    </w:p>
    <w:bookmarkEnd w:id="232"/>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6.1.1安全生产要求</w:t>
      </w:r>
    </w:p>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合同履行期间，合同当事人均应当遵守国家和工程所在地有关安全生产的要求，合同当事人有特别要求的，应在专用合同条款中明确施工项目安全生产标准化达标目标及相应事项。承包人有权拒绝发包人及监理人强令承包人违章作业、冒险施工的任何指示。</w:t>
      </w:r>
    </w:p>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在施工过程中，如遇到突发的地质变动、事先未知的地下施工障碍等影响施工安全的紧急情况，承包人应及时报告监理人和发包人，发包人应当及时下令停工并报政府有关行政管理部门采取应急措施。</w:t>
      </w:r>
    </w:p>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因安全生产需要暂停施工的，按照第7.8款〔暂停施工〕的约定执行。</w:t>
      </w:r>
    </w:p>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6.1.2 安全生产保证措施</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承包人应当按照有关规定编制安全技术措施或者专项施工方案，建立安全生产责任制度、治安保卫制度及安全生产教育培训制度，并按安全生产法律规定及合同约定履行安全职责，如实编制工程安全生产的有关记录，接受发包人、监理人及政府安全监督部门的检查与监督。</w:t>
      </w:r>
    </w:p>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6.1.3特别安全生产事项</w:t>
      </w:r>
    </w:p>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承包人应按照法律规定进行施工，开工前做好安全技术交底工作，施工过程中做好各项安全防护措施。承包人为实施合同而雇用的特殊工种的人员应受过专门的培训并已取得政府有关管理机构颁发的上岗证书。</w:t>
      </w:r>
    </w:p>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 xml:space="preserve">承包人在动力设备、输电线路、地下管道、密封防震车间、易燃易爆地段以及临街交通要道附近施工时，施工开始前应向发包人和监理人提出安全防护措施，经发包人认可后实施。 </w:t>
      </w:r>
    </w:p>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实施爆破作业，在放射、毒害性环境中施工（含储存、运输、使用）及使用毒害性、腐蚀性物品施工时，承包人应在施工前7天以书面通知发包人和监理人，并报送相应的安全防护措施，经发包人认可后实施。</w:t>
      </w:r>
    </w:p>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需单独编制危险性较大分部分项专项工程施工方案的，及要求进行专家论证的超过一定规模的危险性较大的分部分项工程，承包人应及时编制和组织论证。</w:t>
      </w:r>
    </w:p>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6.1.4 治安保卫</w:t>
      </w:r>
    </w:p>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除专用合同条款另有约定外，发包人应与当地公安部门协商，在现场建立治安管理机构或联防组织，统一管理施工场地的治安保卫事项，履行合同工程的治安保卫职责。</w:t>
      </w:r>
    </w:p>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发包人和承包人除应协助现场治安管理机构或联防组织维护施工场地的社会治安外，还应做好包括生活区在内的各自管辖区的治安保卫工作。</w:t>
      </w:r>
    </w:p>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除专用合同条款另有约定外，发包人和承包人应在工程开工后7天内共同编制施工场地治安管理计划，并制定应对突发治安事件的紧急预案。在工程施工过程中，发生暴乱、爆炸等恐怖事件，以及群殴、械斗等群体性突发治安事件的，发包人和承包人应立即向当地政府报告。发包人和承包人应积极协助当地有关部门采取措施平息事态，防止事态扩大，尽量避免人员伤亡和财产损失。</w:t>
      </w:r>
    </w:p>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6.1.5 文明施工</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承包人在工程施工期间，应当采取措施保持施工现场平整，物料堆放整齐。工程所在地有关政府行政管理部门有特殊要求的，按照其要求执行。合同当事人对文明施工有其他要求的，可以在专用合同条款中明确。</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在工程移交之前，承包人应当从施工现场清除承包人的全部工程设备、多余材料、垃圾和各种临时工程，并保持施工现场清洁整齐。经发包人书面同意，承包人可在发包人指定的地点保留承包人履行保修期内的各项义务所需要的材料、施工设备和临时工程。</w:t>
      </w:r>
    </w:p>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6.1.6 安全文明施工费</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安全文明施工费由发包人承担，发包人不得以任何形式扣减该部分费用。因基准日期后合同所适用的法律或政府有关规定发生变化，增加的安全文明施工费由发包人承担。</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承包人经发包人同意采取合同约定以外的安全措施所产生的费用，由发包人承担。未经发包人同意的，如果该措施避免了发包人的损失，则发包人在避免损失的额度内承担该措施费。如果该措施避免了承包人的损失，由承包人承担该措施费。</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承包人对安全文明施工费应专款专用，承包人应在财务账目中单独列项备查，不得挪作他用，否则发包人有权责令其限期改正；逾期未改正的，可以责令其暂停施工，由此增加的费用和（或）延误的工期由承包人承担。</w:t>
      </w:r>
    </w:p>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6.1.7 紧急情况处理</w:t>
      </w:r>
    </w:p>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在工程实施期间或缺陷责任期内发生危及工程安全的事件，监理人通知承包人进行抢救，承包人声明无能力或不愿立即执行的，发包人有权雇佣其他人员进行抢救。此类抢救按合同约定属于承包人义务的，由此增加的费用和（或）延误的工期由承包人承担。</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6.1.8 事故处理</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工程施工过程中发生事故的，承包人应立即通知监理人，监理人应立即通知发包人。发包人和承包人应立即组织人员和设备进行紧急抢救和抢修，减少人员伤亡和财产损失，防止事故扩大，并保护事故现场。需要移动现场物品时，应作出标记和书面记录，妥善保管有关证据。发包人和承包人应按国家有关规定，及时如实地向有关部门报告事故发生的情况，以及正在采取的紧急措施等。</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6.1.9 安全生产责任</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6.1.9.1 发包人的安全责任</w:t>
      </w:r>
    </w:p>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发包人应负责赔偿以下各种情况造成的损失：</w:t>
      </w:r>
    </w:p>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（1）工程或工程的任何部分对土地的占用所造成的第三者财产损失；</w:t>
      </w:r>
    </w:p>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（2）由于发包人原因在施工场地及其毗邻地带造成的第三者人身伤亡和财产损失；</w:t>
      </w:r>
    </w:p>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（3）由于发包人原因对承包人、监理人造成的人员人身伤亡和财产损失；</w:t>
      </w:r>
    </w:p>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（4）由于发包人原因造成的发包人自身人员的人身伤害以及财产损失。</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6.1.9.2 承包人的安全责任</w:t>
      </w:r>
    </w:p>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由于承包人原因在施工场地内及其毗邻地带造成的发包人、监理人以及第三者人员伤亡和财产损失，由承包人负责赔偿。</w:t>
      </w:r>
    </w:p>
    <w:p>
      <w:pPr>
        <w:pStyle w:val="6"/>
        <w:spacing w:before="0" w:beforeAutospacing="0" w:after="0" w:afterAutospacing="0" w:line="360" w:lineRule="auto"/>
        <w:ind w:firstLine="422" w:firstLineChars="200"/>
        <w:rPr>
          <w:color w:val="auto"/>
          <w:sz w:val="21"/>
          <w:szCs w:val="21"/>
          <w:highlight w:val="none"/>
        </w:rPr>
      </w:pPr>
      <w:bookmarkStart w:id="233" w:name="_Toc351203540"/>
      <w:bookmarkStart w:id="234" w:name="_Toc532377226"/>
      <w:r>
        <w:rPr>
          <w:rFonts w:hint="eastAsia"/>
          <w:color w:val="auto"/>
          <w:sz w:val="21"/>
          <w:szCs w:val="21"/>
          <w:highlight w:val="none"/>
        </w:rPr>
        <w:t>6</w:t>
      </w:r>
      <w:bookmarkStart w:id="235" w:name="_Toc337558765"/>
      <w:r>
        <w:rPr>
          <w:rFonts w:hint="eastAsia"/>
          <w:color w:val="auto"/>
          <w:sz w:val="21"/>
          <w:szCs w:val="21"/>
          <w:highlight w:val="none"/>
        </w:rPr>
        <w:t>.2 职业健康</w:t>
      </w:r>
      <w:bookmarkEnd w:id="233"/>
      <w:bookmarkEnd w:id="234"/>
    </w:p>
    <w:bookmarkEnd w:id="235"/>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6.2.1 劳动保护</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承包人应按照法律规定安排现场施工人员的劳动和休息时间，保障劳动者的休息时间，并支付合理的报酬和费用。承包人应依法为其履行合同所雇用的人员办理必要的证件、许可、保险和注册等，承包人应督促其分包人为分包人所雇用的人员办理必要的证件、许可、保险和注册等。</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承包人应按照法律规定保障现场施工人员的劳动安全，并提供劳动保护，并应按国家有关劳动保护的规定，采取有效的防止粉尘、降低噪声、控制有害气体和保障高温、高寒、高空作业安全等劳动保护措施。承包人雇佣人员在施工中受到伤害的，承包人应立即采取有效措施进行抢救和治疗。</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承包人应按法律规定安排工作时间，保证其雇佣人员享有休息和休假的权利。因工程施工的特殊需要占用休假日或延长工作时间的，应不超过法律规定的限度，并按法律规定给予补休或付酬。</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6.2.2 生活条件</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承包人应为其履行合同所雇用的人员提供必要的膳宿条件和生活环境；承包人应采取有效措施预防传染病，保证施工人员的健康，并定期对施工现场、施工人员生活基地和工程进行防疫和卫生的专业检查和处理， 在远离城镇的施工场地，还应配备必要的伤病防治和急救的医务人员与医疗设施。</w:t>
      </w:r>
    </w:p>
    <w:p>
      <w:pPr>
        <w:pStyle w:val="6"/>
        <w:spacing w:before="0" w:beforeAutospacing="0" w:after="0" w:afterAutospacing="0" w:line="360" w:lineRule="auto"/>
        <w:ind w:firstLine="422" w:firstLineChars="200"/>
        <w:rPr>
          <w:color w:val="auto"/>
          <w:sz w:val="21"/>
          <w:szCs w:val="21"/>
          <w:highlight w:val="none"/>
        </w:rPr>
      </w:pPr>
      <w:bookmarkStart w:id="236" w:name="_Toc351203541"/>
      <w:bookmarkStart w:id="237" w:name="_Toc532377227"/>
      <w:r>
        <w:rPr>
          <w:rFonts w:hint="eastAsia"/>
          <w:color w:val="auto"/>
          <w:sz w:val="21"/>
          <w:szCs w:val="21"/>
          <w:highlight w:val="none"/>
        </w:rPr>
        <w:t>6</w:t>
      </w:r>
      <w:bookmarkStart w:id="238" w:name="_Toc337558766"/>
      <w:r>
        <w:rPr>
          <w:rFonts w:hint="eastAsia"/>
          <w:color w:val="auto"/>
          <w:sz w:val="21"/>
          <w:szCs w:val="21"/>
          <w:highlight w:val="none"/>
        </w:rPr>
        <w:t>.3 环境保护</w:t>
      </w:r>
      <w:bookmarkEnd w:id="236"/>
      <w:bookmarkEnd w:id="237"/>
    </w:p>
    <w:bookmarkEnd w:id="238"/>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承包人应在施工组织设计中列明环境保护的具体措施。在合同履行期间，承包人应采取合理措施保护施工现场环境。对施工作业过程中可能引起的大气、水、噪音以及固体废物污染采取具体可行的防范措施。</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承包人应当承担因其原因引起的环境污染侵权损害赔偿责任，因上述环境污染引起纠纷而导致暂停施工的，由此增加的费用和（或）延误的工期由承包人承担。</w:t>
      </w:r>
    </w:p>
    <w:p>
      <w:pPr>
        <w:pStyle w:val="5"/>
        <w:keepNext/>
        <w:keepLines/>
        <w:spacing w:before="156" w:beforeLines="50" w:beforeAutospacing="0" w:after="156" w:afterLines="50" w:afterAutospacing="0" w:line="360" w:lineRule="auto"/>
        <w:jc w:val="both"/>
        <w:rPr>
          <w:bCs w:val="0"/>
          <w:color w:val="auto"/>
          <w:kern w:val="2"/>
          <w:sz w:val="21"/>
          <w:szCs w:val="21"/>
          <w:highlight w:val="none"/>
        </w:rPr>
      </w:pPr>
      <w:bookmarkStart w:id="239" w:name="_Toc351203542"/>
      <w:bookmarkStart w:id="240" w:name="_Toc532377228"/>
      <w:bookmarkStart w:id="241" w:name="_Toc532375593"/>
      <w:r>
        <w:rPr>
          <w:rFonts w:hint="eastAsia"/>
          <w:color w:val="auto"/>
          <w:kern w:val="2"/>
          <w:sz w:val="21"/>
          <w:szCs w:val="21"/>
          <w:highlight w:val="none"/>
        </w:rPr>
        <w:t>7</w:t>
      </w:r>
      <w:bookmarkStart w:id="242" w:name="_Toc337558767"/>
      <w:r>
        <w:rPr>
          <w:rFonts w:hint="eastAsia"/>
          <w:color w:val="auto"/>
          <w:kern w:val="2"/>
          <w:sz w:val="21"/>
          <w:szCs w:val="21"/>
          <w:highlight w:val="none"/>
        </w:rPr>
        <w:t>. 工期和进度</w:t>
      </w:r>
      <w:bookmarkEnd w:id="239"/>
      <w:bookmarkEnd w:id="240"/>
      <w:bookmarkEnd w:id="241"/>
    </w:p>
    <w:bookmarkEnd w:id="242"/>
    <w:p>
      <w:pPr>
        <w:pStyle w:val="6"/>
        <w:spacing w:before="0" w:beforeAutospacing="0" w:after="0" w:afterAutospacing="0" w:line="360" w:lineRule="auto"/>
        <w:ind w:firstLine="422" w:firstLineChars="200"/>
        <w:rPr>
          <w:color w:val="auto"/>
          <w:sz w:val="21"/>
          <w:szCs w:val="21"/>
          <w:highlight w:val="none"/>
        </w:rPr>
      </w:pPr>
      <w:bookmarkStart w:id="243" w:name="_Toc532377229"/>
      <w:bookmarkStart w:id="244" w:name="_Toc351203543"/>
      <w:r>
        <w:rPr>
          <w:rFonts w:hint="eastAsia"/>
          <w:color w:val="auto"/>
          <w:sz w:val="21"/>
          <w:szCs w:val="21"/>
          <w:highlight w:val="none"/>
        </w:rPr>
        <w:t>7</w:t>
      </w:r>
      <w:bookmarkStart w:id="245" w:name="_Toc337558768"/>
      <w:bookmarkStart w:id="246" w:name="_Toc296503066"/>
      <w:bookmarkStart w:id="247" w:name="_Toc296346567"/>
      <w:r>
        <w:rPr>
          <w:rFonts w:hint="eastAsia"/>
          <w:color w:val="auto"/>
          <w:sz w:val="21"/>
          <w:szCs w:val="21"/>
          <w:highlight w:val="none"/>
        </w:rPr>
        <w:t>.1施工组织设计</w:t>
      </w:r>
      <w:bookmarkEnd w:id="243"/>
      <w:bookmarkEnd w:id="244"/>
    </w:p>
    <w:bookmarkEnd w:id="245"/>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7.1.1 施工组织设计的内容</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施工组织设计应包含以下内容：</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 xml:space="preserve">（1）施工方案； </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（2）施工现场平面布置图；</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 xml:space="preserve">（3）施工进度计划和保证措施； </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（4）劳动力及材料供应计划；</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（5）施工机械设备的选用；</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（6）质量保证体系及措施；</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（7）安全生产、文明施工措施；</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（8）环境保护、成本控制措施；</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（9）合同当事人约定的其他内容。</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7.1.2 施工组织设计的提交和修改</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除专用合同条款另有约定外，承包人应在合同签订后14天内，但至迟不得晚于第7.3.2项〔开工通知〕载明的开工日期前7天，向监理人提交详细的施工组织设计，并由监理人报送发包人。除专用合同条款另有约定外，发包人和监理人应在监理人收到施工组织设计后7天内确认或提出修改意见。对发包人和监理人提出的合理意见和要求，承包人应自费修改完善。根据工程实际情况需要修改施工组织设计的，承包人应向发包人和监理人提交修改后的施工组织设计。</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施工进度计划的编制和修改按照第7.2款〔施工进度计划〕执行。</w:t>
      </w:r>
    </w:p>
    <w:p>
      <w:pPr>
        <w:pStyle w:val="6"/>
        <w:spacing w:before="0" w:beforeAutospacing="0" w:after="0" w:afterAutospacing="0" w:line="360" w:lineRule="auto"/>
        <w:ind w:firstLine="422" w:firstLineChars="200"/>
        <w:rPr>
          <w:color w:val="auto"/>
          <w:sz w:val="21"/>
          <w:szCs w:val="21"/>
          <w:highlight w:val="none"/>
        </w:rPr>
      </w:pPr>
      <w:bookmarkStart w:id="248" w:name="_Toc351203544"/>
      <w:bookmarkStart w:id="249" w:name="_Toc532377230"/>
      <w:r>
        <w:rPr>
          <w:rFonts w:hint="eastAsia"/>
          <w:color w:val="auto"/>
          <w:sz w:val="21"/>
          <w:szCs w:val="21"/>
          <w:highlight w:val="none"/>
        </w:rPr>
        <w:t>7</w:t>
      </w:r>
      <w:bookmarkStart w:id="250" w:name="_Toc337558769"/>
      <w:r>
        <w:rPr>
          <w:rFonts w:hint="eastAsia"/>
          <w:color w:val="auto"/>
          <w:sz w:val="21"/>
          <w:szCs w:val="21"/>
          <w:highlight w:val="none"/>
        </w:rPr>
        <w:t>.2 施工进度计划</w:t>
      </w:r>
      <w:bookmarkEnd w:id="248"/>
      <w:bookmarkEnd w:id="249"/>
    </w:p>
    <w:bookmarkEnd w:id="250"/>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7.2.1 施工进度计划的编制</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承包人应按照第7.1款〔施工组织设计〕约定提交详细的施工进度计划，施工进度计划的编制应当符合国家法律规定和一般工程实践惯例，施工进度计划经发包人批准后实施。施工进度计划是控制工程进度的依据，发包人和监理人有权按照施工进度计划检查工程进度情况。</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7.2.2 施工进度计划的修订</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施工进度计划不符合合同要求或与工程的实际进度不一致的，承包人应向监理人提交修订的施工进度计划，并附具有关措施和相关资料，由监理人报送发包人。除专用合同条款另有约定外，发包人和监理人应在收到修订的施工进度计划后7天内完成审核和批准或提出修改意见。发包人和监理人对承包人提交的施工进度计划的确认，不能减轻或免除承包人根据法律规定和合同约定应承担的任何责任或义务。</w:t>
      </w:r>
    </w:p>
    <w:p>
      <w:pPr>
        <w:pStyle w:val="6"/>
        <w:spacing w:before="0" w:beforeAutospacing="0" w:after="0" w:afterAutospacing="0" w:line="360" w:lineRule="auto"/>
        <w:ind w:firstLine="422" w:firstLineChars="200"/>
        <w:rPr>
          <w:color w:val="auto"/>
          <w:sz w:val="21"/>
          <w:szCs w:val="21"/>
          <w:highlight w:val="none"/>
        </w:rPr>
      </w:pPr>
      <w:bookmarkStart w:id="251" w:name="_Toc351203545"/>
      <w:bookmarkStart w:id="252" w:name="_Toc532377231"/>
      <w:r>
        <w:rPr>
          <w:rFonts w:hint="eastAsia"/>
          <w:color w:val="auto"/>
          <w:sz w:val="21"/>
          <w:szCs w:val="21"/>
          <w:highlight w:val="none"/>
        </w:rPr>
        <w:t>7</w:t>
      </w:r>
      <w:bookmarkStart w:id="253" w:name="_Toc337558770"/>
      <w:r>
        <w:rPr>
          <w:rFonts w:hint="eastAsia"/>
          <w:color w:val="auto"/>
          <w:sz w:val="21"/>
          <w:szCs w:val="21"/>
          <w:highlight w:val="none"/>
        </w:rPr>
        <w:t>.3 开工</w:t>
      </w:r>
      <w:bookmarkEnd w:id="251"/>
      <w:bookmarkEnd w:id="252"/>
    </w:p>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7.3.1 开工准备</w:t>
      </w:r>
    </w:p>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除专用合同条款另有约定外，承包人应按照第7.1款〔施工组织设计〕约定的期限，向监理人提交工程开工报审表，经监理人报发包人批准后执行。开工报审表应详细说明按施工进度计划正常施工所需的施工道路、临时设施、材料、工程设备、施工设备、施工人员等落实情况以及工程的进度安排。</w:t>
      </w:r>
    </w:p>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除专用合同条款另有约定外，合同当事人应按约定完成开工准备工作。</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7.3.2 开工通知</w:t>
      </w:r>
    </w:p>
    <w:bookmarkEnd w:id="253"/>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发包人应按照法律规定获得工程施工所需的许可。经发包人同意后，监理人发出的开工通知应符合法律规定。监理人应在计划开工日期7天前向承包人发出开工通知，工期自开工通知中载明的开工日期起算。</w:t>
      </w:r>
    </w:p>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除专用合同条款另有约定外，因发包人原因造成监理人未能在计划开工日期之日起90天内发出开工通知的，承包人有权提出价格调整要求，或者解除合同。发包人应当承担由此增加的费用和（或）延误的工期，并向承包人支付合理利润。</w:t>
      </w:r>
    </w:p>
    <w:p>
      <w:pPr>
        <w:pStyle w:val="6"/>
        <w:spacing w:before="0" w:beforeAutospacing="0" w:after="0" w:afterAutospacing="0" w:line="360" w:lineRule="auto"/>
        <w:ind w:firstLine="422" w:firstLineChars="200"/>
        <w:rPr>
          <w:color w:val="auto"/>
          <w:sz w:val="21"/>
          <w:szCs w:val="21"/>
          <w:highlight w:val="none"/>
        </w:rPr>
      </w:pPr>
      <w:bookmarkStart w:id="254" w:name="_Toc351203546"/>
      <w:bookmarkStart w:id="255" w:name="_Toc532377232"/>
      <w:r>
        <w:rPr>
          <w:rFonts w:hint="eastAsia"/>
          <w:color w:val="auto"/>
          <w:sz w:val="21"/>
          <w:szCs w:val="21"/>
          <w:highlight w:val="none"/>
        </w:rPr>
        <w:t>7.4测量放线</w:t>
      </w:r>
      <w:bookmarkEnd w:id="254"/>
      <w:bookmarkEnd w:id="255"/>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7.4.1 除专用合同条款另有约定外，发包人应在至迟不得晚于第7.3.2项〔开工通知〕载明的开工日期前7天通过监理人向承包人提供测量基准点、基准线和水准点及其书面资料。发包人应对其提供的测量基准点、基准线和水准点及其书面资料的真实性、准确性和完整性负责。</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承包人发现发包人提供的测量基准点、基准线和水准点及其书面资料存在错误或疏漏的，应及时通知监理人。监理人应及时报告发包人，并会同发包人和承包人予以核实。发包人应就如何处理和是否继续施工作出决定，并通知监理人和承包人。</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7.4.2 承包人负责施工过程中的全部施工测量放线工作，并配置具有相应资质的人员、合格的仪器、设备和其他物品。承包人应矫正工程的位置、标高、尺寸或准线中出现的任何差错，并对工程各部分的定位负责。</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施工过程中对施工现场内水准点等测量标志物的保护工作由承包人负责。</w:t>
      </w:r>
      <w:bookmarkStart w:id="256" w:name="_Toc351203547"/>
    </w:p>
    <w:p>
      <w:pPr>
        <w:pStyle w:val="6"/>
        <w:spacing w:before="0" w:beforeAutospacing="0" w:after="0" w:afterAutospacing="0" w:line="360" w:lineRule="auto"/>
        <w:ind w:firstLine="422" w:firstLineChars="200"/>
        <w:rPr>
          <w:color w:val="auto"/>
          <w:sz w:val="21"/>
          <w:szCs w:val="21"/>
          <w:highlight w:val="none"/>
        </w:rPr>
      </w:pPr>
      <w:bookmarkStart w:id="257" w:name="_Toc532377233"/>
      <w:r>
        <w:rPr>
          <w:rFonts w:hint="eastAsia"/>
          <w:color w:val="auto"/>
          <w:sz w:val="21"/>
          <w:szCs w:val="21"/>
          <w:highlight w:val="none"/>
        </w:rPr>
        <w:t>7</w:t>
      </w:r>
      <w:bookmarkEnd w:id="246"/>
      <w:bookmarkEnd w:id="247"/>
      <w:bookmarkStart w:id="258" w:name="_Toc296346574"/>
      <w:bookmarkStart w:id="259" w:name="_Toc296503073"/>
      <w:bookmarkStart w:id="260" w:name="_Toc337558772"/>
      <w:r>
        <w:rPr>
          <w:rFonts w:hint="eastAsia"/>
          <w:color w:val="auto"/>
          <w:sz w:val="21"/>
          <w:szCs w:val="21"/>
          <w:highlight w:val="none"/>
        </w:rPr>
        <w:t>.5 工期延误</w:t>
      </w:r>
      <w:bookmarkEnd w:id="256"/>
      <w:bookmarkEnd w:id="257"/>
    </w:p>
    <w:bookmarkEnd w:id="258"/>
    <w:bookmarkEnd w:id="259"/>
    <w:bookmarkEnd w:id="260"/>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7.5.1 因发包人原因导致工期延误</w:t>
      </w:r>
    </w:p>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 xml:space="preserve">在合同履行过程中，因下列情况导致工期延误和（或）费用增加的，由发包人承担由此延误的工期和（或）增加的费用，且发包人应支付承包人合理的利润： </w:t>
      </w:r>
    </w:p>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（1）发包人未能按合同约定提供图纸或所提供图纸不符合合同约定的；</w:t>
      </w:r>
    </w:p>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（2）发包人未能按合同约定提供施工现场、施工条件、基础资料、许可、批准等开工条件的；</w:t>
      </w:r>
    </w:p>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（3）发包人提供的测量基准点、基准线和水准点及其书面资料存在错误或疏漏的；</w:t>
      </w:r>
    </w:p>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（4）发包人未能在计划开工日期之日起7天内同意下达开工通知的；</w:t>
      </w:r>
    </w:p>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（5）发包人未能按合同约定日期支付工程预付款、进度款或竣工结算款的；</w:t>
      </w:r>
    </w:p>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（6）监理人未按合同约定发出指示、批准等文件的；</w:t>
      </w:r>
    </w:p>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（7）专用合同条款中约定的其他情形。</w:t>
      </w:r>
    </w:p>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因发包人原因未按计划开工日期开工的，发包人应按实际开工日期顺延竣工日期，确保实际工期不低于合同约定的工期总日历天数。因发包人原因导致工期延误需要修订施工进度计划的，按照第7.2.2项〔施工进度计划的修订〕执行。</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7.5.2 因承包人原因导致工期延误</w:t>
      </w:r>
    </w:p>
    <w:p>
      <w:pPr>
        <w:autoSpaceDE w:val="0"/>
        <w:autoSpaceDN w:val="0"/>
        <w:spacing w:line="360" w:lineRule="auto"/>
        <w:ind w:firstLine="420" w:firstLineChars="200"/>
        <w:jc w:val="left"/>
        <w:rPr>
          <w:rFonts w:ascii="宋体" w:hAnsi="宋体"/>
          <w:color w:val="auto"/>
          <w:kern w:val="0"/>
          <w:szCs w:val="21"/>
          <w:highlight w:val="none"/>
        </w:rPr>
      </w:pPr>
      <w:bookmarkStart w:id="261" w:name="_Toc296346577"/>
      <w:bookmarkStart w:id="262" w:name="_Toc296503076"/>
      <w:r>
        <w:rPr>
          <w:rFonts w:hint="eastAsia" w:ascii="宋体" w:hAnsi="宋体"/>
          <w:color w:val="auto"/>
          <w:kern w:val="0"/>
          <w:szCs w:val="21"/>
          <w:highlight w:val="none"/>
        </w:rPr>
        <w:t>因</w:t>
      </w:r>
      <w:bookmarkEnd w:id="261"/>
      <w:bookmarkEnd w:id="262"/>
      <w:r>
        <w:rPr>
          <w:rFonts w:hint="eastAsia" w:ascii="宋体" w:hAnsi="宋体"/>
          <w:color w:val="auto"/>
          <w:kern w:val="0"/>
          <w:szCs w:val="21"/>
          <w:highlight w:val="none"/>
        </w:rPr>
        <w:t>承包人原因造成工期延误的，可以在专用合同条款中约定逾期竣工违约金的计算方法和逾期竣工违约金的上限。承包人支付逾期竣工违约金后，不免除承包人继续完成工程及修补缺陷的义务。</w:t>
      </w:r>
    </w:p>
    <w:p>
      <w:pPr>
        <w:pStyle w:val="6"/>
        <w:spacing w:before="0" w:beforeAutospacing="0" w:after="0" w:afterAutospacing="0" w:line="360" w:lineRule="auto"/>
        <w:ind w:firstLine="422" w:firstLineChars="200"/>
        <w:rPr>
          <w:color w:val="auto"/>
          <w:sz w:val="21"/>
          <w:szCs w:val="21"/>
          <w:highlight w:val="none"/>
        </w:rPr>
      </w:pPr>
      <w:bookmarkStart w:id="263" w:name="_Toc532377234"/>
      <w:bookmarkStart w:id="264" w:name="_Toc351203548"/>
      <w:r>
        <w:rPr>
          <w:rFonts w:hint="eastAsia"/>
          <w:color w:val="auto"/>
          <w:sz w:val="21"/>
          <w:szCs w:val="21"/>
          <w:highlight w:val="none"/>
        </w:rPr>
        <w:t>7</w:t>
      </w:r>
      <w:bookmarkStart w:id="265" w:name="_Toc296503074"/>
      <w:bookmarkStart w:id="266" w:name="_Toc337558773"/>
      <w:bookmarkStart w:id="267" w:name="_Toc296346575"/>
      <w:bookmarkStart w:id="268" w:name="_Toc296503077"/>
      <w:bookmarkStart w:id="269" w:name="_Toc296346578"/>
      <w:r>
        <w:rPr>
          <w:rFonts w:hint="eastAsia"/>
          <w:color w:val="auto"/>
          <w:sz w:val="21"/>
          <w:szCs w:val="21"/>
          <w:highlight w:val="none"/>
        </w:rPr>
        <w:t>.6 不利物质条件</w:t>
      </w:r>
      <w:bookmarkEnd w:id="263"/>
      <w:bookmarkEnd w:id="264"/>
    </w:p>
    <w:bookmarkEnd w:id="265"/>
    <w:bookmarkEnd w:id="266"/>
    <w:bookmarkEnd w:id="267"/>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不利物质条件是指有经验的承包人在施工现场遇到的不可预见的自然物质条件、非自然的物质障碍和污染物，包括地表以下物质条件和水文条件以及专用合同条款约定的其他情形，但不包括气候条件。</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承包人遇到不利物质条件时，应采取克服不利物质条件的合理措施继续施工，并及时通知发包人和监理人。通知应载明不利物质条件的内容以及承包人认为不可预见的理由。监理人经发包人同意后应当及时发出指示，指示构成变更的，按第10条〔变更〕约定执行。承包人因采取合理措施而增加的费用和（或）延误的工期由发包人承担。</w:t>
      </w:r>
    </w:p>
    <w:p>
      <w:pPr>
        <w:pStyle w:val="6"/>
        <w:spacing w:before="0" w:beforeAutospacing="0" w:after="0" w:afterAutospacing="0" w:line="360" w:lineRule="auto"/>
        <w:ind w:firstLine="422" w:firstLineChars="200"/>
        <w:rPr>
          <w:color w:val="auto"/>
          <w:sz w:val="21"/>
          <w:szCs w:val="21"/>
          <w:highlight w:val="none"/>
        </w:rPr>
      </w:pPr>
      <w:bookmarkStart w:id="270" w:name="_Toc532377235"/>
      <w:bookmarkStart w:id="271" w:name="_Toc351203549"/>
      <w:r>
        <w:rPr>
          <w:rFonts w:hint="eastAsia"/>
          <w:color w:val="auto"/>
          <w:sz w:val="21"/>
          <w:szCs w:val="21"/>
          <w:highlight w:val="none"/>
        </w:rPr>
        <w:t>7</w:t>
      </w:r>
      <w:bookmarkStart w:id="272" w:name="_Toc337558774"/>
      <w:bookmarkStart w:id="273" w:name="_Toc296346576"/>
      <w:bookmarkStart w:id="274" w:name="_Toc296503075"/>
      <w:r>
        <w:rPr>
          <w:rFonts w:hint="eastAsia"/>
          <w:color w:val="auto"/>
          <w:sz w:val="21"/>
          <w:szCs w:val="21"/>
          <w:highlight w:val="none"/>
        </w:rPr>
        <w:t>.7 异常恶劣的气候条件</w:t>
      </w:r>
      <w:bookmarkEnd w:id="270"/>
      <w:bookmarkEnd w:id="271"/>
    </w:p>
    <w:bookmarkEnd w:id="272"/>
    <w:bookmarkEnd w:id="273"/>
    <w:bookmarkEnd w:id="274"/>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异常恶劣的气候条件是指在施工过程中遇到的，有经验的承包人在签订合同时不可预见的，对合同履行造成实质性影响的，但尚未构成不可抗力事件的恶劣气候条件。合同当事人可以在专用合同条款中约定异常恶劣的气候条件的具体情形。</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承包人应采取克服异常恶劣的气候条件的合理措施继续施工，并及时通知发包人和监理人。监理人经发包人同意后应当及时发出指示，指示构成变更的，按第10条〔变更〕约定办理。承包人因采取合理措施而增加的费用和（或）延误的工期由发包人承担。</w:t>
      </w:r>
      <w:bookmarkStart w:id="275" w:name="_Toc351203550"/>
    </w:p>
    <w:p>
      <w:pPr>
        <w:pStyle w:val="6"/>
        <w:spacing w:before="0" w:beforeAutospacing="0" w:after="0" w:afterAutospacing="0" w:line="360" w:lineRule="auto"/>
        <w:ind w:firstLine="422" w:firstLineChars="200"/>
        <w:rPr>
          <w:color w:val="auto"/>
          <w:sz w:val="21"/>
          <w:szCs w:val="21"/>
          <w:highlight w:val="none"/>
        </w:rPr>
      </w:pPr>
      <w:bookmarkStart w:id="276" w:name="_Toc532377236"/>
      <w:r>
        <w:rPr>
          <w:rFonts w:hint="eastAsia"/>
          <w:color w:val="auto"/>
          <w:sz w:val="21"/>
          <w:szCs w:val="21"/>
          <w:highlight w:val="none"/>
        </w:rPr>
        <w:t>7</w:t>
      </w:r>
      <w:bookmarkStart w:id="277" w:name="_Toc337558775"/>
      <w:r>
        <w:rPr>
          <w:rFonts w:hint="eastAsia"/>
          <w:color w:val="auto"/>
          <w:sz w:val="21"/>
          <w:szCs w:val="21"/>
          <w:highlight w:val="none"/>
        </w:rPr>
        <w:t>.8 暂停施工</w:t>
      </w:r>
      <w:bookmarkEnd w:id="275"/>
      <w:bookmarkEnd w:id="276"/>
    </w:p>
    <w:bookmarkEnd w:id="268"/>
    <w:bookmarkEnd w:id="269"/>
    <w:bookmarkEnd w:id="277"/>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7.8.1发包人原因引起的暂停施工</w:t>
      </w:r>
    </w:p>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因发包人原因引起暂停施工的，监理人经发包人同意后，应及时下达暂停施工指示。情况紧急且监理人未及时下达暂停施工指示的，按照第7.8.4项〔紧急情况下的暂停施工〕执行。</w:t>
      </w:r>
    </w:p>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因发包人原因引起的暂停施工，发包人应承担由此增加的费用和（或）延误的工期，并支付承包人合理的利润。</w:t>
      </w:r>
    </w:p>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7.8.2 承包人原因引起的暂停施工</w:t>
      </w:r>
    </w:p>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因承包人原因引起的暂停施工，承包人应承担由此增加的费用和（或）延误的工期，且承包人在收到监理人复工指示后84天内仍未复工的，视为第16.2.1项〔承包人违约的情形〕第（7）目约定的承包人无法继续履行合同的情形。</w:t>
      </w:r>
    </w:p>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7.8.3 指示暂停施工</w:t>
      </w:r>
    </w:p>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监理人认为有必要时，并经发包人批准后，可向承包人作出暂停施工的指示，承包人应按监理人指示暂停施工。</w:t>
      </w:r>
    </w:p>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7.8.4 紧急情况下的暂停施工</w:t>
      </w:r>
    </w:p>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因紧急情况需暂停施工，且监理人未及时下达暂停施工指示的，承包人可先暂停施工，并及时通知监理人。监理人应在接到通知后24小时内发出指示，逾期未发出指示，视为同意承包人暂停施工。监理人不同意承包人暂停施工的，应说明理由，承包人对监理人的答复有异议，按照第20条〔争议解决〕约定处理。</w:t>
      </w:r>
    </w:p>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7.8.5 暂停施工后的复工</w:t>
      </w:r>
    </w:p>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暂停施工后，发包人和承包人应采取有效措施积极消除暂停施工的影响。在工程复工前，监理人会同发包人和承包人确定因暂停施工造成的损失，并确定工程复工条件。当工程具备复工条件时，监理人应经发包人批准后向承包人发出复工通知，承包人应按照复工通知要求复工。</w:t>
      </w:r>
    </w:p>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承包人无故拖延和拒绝复工的，承包人承担由此增加的费用和（或）延误的工期；因发包人原因无法按时复工的，按照第7.5.1项〔因发包人原因导致工期延误〕约定办理。</w:t>
      </w:r>
    </w:p>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7.8.6 暂停施工持续56天以上</w:t>
      </w:r>
    </w:p>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监理人发出暂停施工指示后56天内未向承包人发出复工通知，除该项停工属于第7.8.2项〔承包人原因引起的暂停施工〕及第17条〔不可抗力〕约定的情形外，承包人可向发包人提交书面通知，要求发包人在收到书面通知后28天内准许已暂停施工的部分或全部工程继续施工。发包人逾期不予批准的，则承包人可以通知发包人，将工程受影响的部分视为按第10.1款〔变更的范围〕第（2）项的可取消工作。</w:t>
      </w:r>
    </w:p>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暂停施工持续84天以上不复工的，且不属于第7.8.2项〔承包人原因引起的暂停施工〕及第17条〔不可抗力〕约定的情形，并影响到整个工程以及合同目的实现的，承包人有权提出价格调整要求，或者解除合同。解除合同的，按照第16.1.3项〔因发包人违约解除合同〕执行。</w:t>
      </w:r>
    </w:p>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7.8.7 暂停施工期间的工程照管</w:t>
      </w:r>
    </w:p>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暂停施工期间，承包人应负责妥善照管工程并提供安全保障，由此增加的费用由责任方承担。</w:t>
      </w:r>
    </w:p>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7.8.8 暂停施工的措施</w:t>
      </w:r>
    </w:p>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暂停施工期间，发包人和承包人均应采取必要的措施确保工程质量及安全，防止因暂停施工扩大损失。</w:t>
      </w:r>
    </w:p>
    <w:p>
      <w:pPr>
        <w:pStyle w:val="6"/>
        <w:spacing w:before="0" w:beforeAutospacing="0" w:after="0" w:afterAutospacing="0" w:line="360" w:lineRule="auto"/>
        <w:ind w:firstLine="422" w:firstLineChars="200"/>
        <w:rPr>
          <w:color w:val="auto"/>
          <w:sz w:val="21"/>
          <w:szCs w:val="21"/>
          <w:highlight w:val="none"/>
        </w:rPr>
      </w:pPr>
      <w:bookmarkStart w:id="278" w:name="_Toc532377237"/>
      <w:bookmarkStart w:id="279" w:name="_Toc351203551"/>
      <w:r>
        <w:rPr>
          <w:rFonts w:hint="eastAsia"/>
          <w:color w:val="auto"/>
          <w:sz w:val="21"/>
          <w:szCs w:val="21"/>
          <w:highlight w:val="none"/>
        </w:rPr>
        <w:t>7.9提前竣工</w:t>
      </w:r>
      <w:bookmarkEnd w:id="278"/>
      <w:bookmarkEnd w:id="279"/>
    </w:p>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7.9.1 发包人要求承包人提前竣工的，发包人应通过监理人向承包人下达提前竣工指示，承包人应向发包人和监理人提交提前竣工建议书，提前竣工建议书应包括实施的方案、缩短的时间、增加的合同价格等内容。发包人接受该提前竣工建议书的，监理人应与发包人和承包人协商采取加快工程进度的措施，并修订施工进度计划，由此增加的费用由发包人承担。承包人认为提前竣工指示无法执行的，应向监理人和发包人提出书面异议，发包人和监理人应在收到异议后7天内予以答复。任何情况下，发包人不得压缩合理工期。</w:t>
      </w:r>
    </w:p>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7.9.2 发包人要求承包人提前竣工，或承包人提出提前竣工的建议能够给发包人带来效益的，合同当事人可以在专用合同条款中约定提前竣工的奖励。</w:t>
      </w:r>
    </w:p>
    <w:p>
      <w:pPr>
        <w:pStyle w:val="5"/>
        <w:keepNext/>
        <w:keepLines/>
        <w:spacing w:before="156" w:beforeLines="50" w:beforeAutospacing="0" w:after="156" w:afterLines="50" w:afterAutospacing="0" w:line="360" w:lineRule="auto"/>
        <w:jc w:val="both"/>
        <w:rPr>
          <w:bCs w:val="0"/>
          <w:color w:val="auto"/>
          <w:kern w:val="2"/>
          <w:sz w:val="21"/>
          <w:szCs w:val="21"/>
          <w:highlight w:val="none"/>
        </w:rPr>
      </w:pPr>
      <w:bookmarkStart w:id="280" w:name="_Toc532375594"/>
      <w:bookmarkStart w:id="281" w:name="_Toc532377238"/>
      <w:bookmarkStart w:id="282" w:name="_Toc351203552"/>
      <w:r>
        <w:rPr>
          <w:rFonts w:hint="eastAsia"/>
          <w:color w:val="auto"/>
          <w:kern w:val="2"/>
          <w:sz w:val="21"/>
          <w:szCs w:val="21"/>
          <w:highlight w:val="none"/>
        </w:rPr>
        <w:t>8</w:t>
      </w:r>
      <w:bookmarkStart w:id="283" w:name="_Toc337558776"/>
      <w:bookmarkStart w:id="284" w:name="_Toc296346559"/>
      <w:bookmarkStart w:id="285" w:name="_Toc296503058"/>
      <w:r>
        <w:rPr>
          <w:rFonts w:hint="eastAsia"/>
          <w:color w:val="auto"/>
          <w:kern w:val="2"/>
          <w:sz w:val="21"/>
          <w:szCs w:val="21"/>
          <w:highlight w:val="none"/>
        </w:rPr>
        <w:t>. 材料与设备</w:t>
      </w:r>
      <w:bookmarkEnd w:id="280"/>
      <w:bookmarkEnd w:id="281"/>
      <w:bookmarkEnd w:id="282"/>
    </w:p>
    <w:bookmarkEnd w:id="283"/>
    <w:bookmarkEnd w:id="284"/>
    <w:bookmarkEnd w:id="285"/>
    <w:p>
      <w:pPr>
        <w:pStyle w:val="6"/>
        <w:spacing w:before="0" w:beforeAutospacing="0" w:after="0" w:afterAutospacing="0" w:line="360" w:lineRule="auto"/>
        <w:ind w:firstLine="422" w:firstLineChars="200"/>
        <w:rPr>
          <w:color w:val="auto"/>
          <w:sz w:val="21"/>
          <w:szCs w:val="21"/>
          <w:highlight w:val="none"/>
        </w:rPr>
      </w:pPr>
      <w:bookmarkStart w:id="286" w:name="_Toc532377239"/>
      <w:bookmarkStart w:id="287" w:name="_Toc351203553"/>
      <w:r>
        <w:rPr>
          <w:rFonts w:hint="eastAsia"/>
          <w:color w:val="auto"/>
          <w:sz w:val="21"/>
          <w:szCs w:val="21"/>
          <w:highlight w:val="none"/>
        </w:rPr>
        <w:t>8</w:t>
      </w:r>
      <w:bookmarkStart w:id="288" w:name="_Toc337558777"/>
      <w:bookmarkStart w:id="289" w:name="_Toc296346560"/>
      <w:bookmarkStart w:id="290" w:name="_Toc296503059"/>
      <w:bookmarkStart w:id="291" w:name="_Toc468936960"/>
      <w:r>
        <w:rPr>
          <w:rFonts w:hint="eastAsia"/>
          <w:color w:val="auto"/>
          <w:sz w:val="21"/>
          <w:szCs w:val="21"/>
          <w:highlight w:val="none"/>
        </w:rPr>
        <w:t>.1发包人供应材料与工程设备</w:t>
      </w:r>
      <w:bookmarkEnd w:id="286"/>
      <w:bookmarkEnd w:id="287"/>
    </w:p>
    <w:bookmarkEnd w:id="288"/>
    <w:bookmarkEnd w:id="289"/>
    <w:bookmarkEnd w:id="290"/>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发包人自行供应材料、工程设备的，应在签订合同时在专用合同条款的附件《发包人供应材料设备一览表》中明确材料、工程设备的品种、规格、型号、数量、单价、质量等级和送达地点。</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承包人应提前30天通过监理人以书面形式通知发包人供应材料与工程设备进场。承包人按照第7.2.2项〔施工进度计划的修订〕约定修订施工进度计划时，需同时提交经修订后的发包人供应材料与工程设备的进场计划。</w:t>
      </w:r>
    </w:p>
    <w:p>
      <w:pPr>
        <w:pStyle w:val="6"/>
        <w:spacing w:before="0" w:beforeAutospacing="0" w:after="0" w:afterAutospacing="0" w:line="360" w:lineRule="auto"/>
        <w:ind w:firstLine="422" w:firstLineChars="200"/>
        <w:rPr>
          <w:color w:val="auto"/>
          <w:sz w:val="21"/>
          <w:szCs w:val="21"/>
          <w:highlight w:val="none"/>
        </w:rPr>
      </w:pPr>
      <w:bookmarkStart w:id="292" w:name="_Toc532377240"/>
      <w:r>
        <w:rPr>
          <w:rFonts w:hint="eastAsia"/>
          <w:color w:val="auto"/>
          <w:sz w:val="21"/>
          <w:szCs w:val="21"/>
          <w:highlight w:val="none"/>
        </w:rPr>
        <w:t>8.2承包人采购材料与工程设备</w:t>
      </w:r>
      <w:bookmarkEnd w:id="292"/>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承包人负责采购材料、工程设备的，应按照设计和有关标准要求采购，并提供产品合格证明及出厂证明，对材料、工程设备质量负责。合同约定由承包人采购的材料、工程设备，发包人不得指定生产厂家或供应商，发包人违反本款约定指定生产厂家或供应商的，承包人有权拒绝，并由发包人承担相应责任。</w:t>
      </w:r>
    </w:p>
    <w:p>
      <w:pPr>
        <w:pStyle w:val="6"/>
        <w:spacing w:before="0" w:beforeAutospacing="0" w:after="0" w:afterAutospacing="0" w:line="360" w:lineRule="auto"/>
        <w:ind w:firstLine="422" w:firstLineChars="200"/>
        <w:rPr>
          <w:color w:val="auto"/>
          <w:sz w:val="21"/>
          <w:szCs w:val="21"/>
          <w:highlight w:val="none"/>
        </w:rPr>
      </w:pPr>
      <w:bookmarkStart w:id="293" w:name="_Toc351203555"/>
      <w:bookmarkStart w:id="294" w:name="_Toc532377241"/>
      <w:r>
        <w:rPr>
          <w:rFonts w:hint="eastAsia"/>
          <w:color w:val="auto"/>
          <w:sz w:val="21"/>
          <w:szCs w:val="21"/>
          <w:highlight w:val="none"/>
        </w:rPr>
        <w:t>8</w:t>
      </w:r>
      <w:bookmarkStart w:id="295" w:name="_Toc296346562"/>
      <w:bookmarkStart w:id="296" w:name="_Toc337558779"/>
      <w:bookmarkStart w:id="297" w:name="_Toc296503061"/>
      <w:r>
        <w:rPr>
          <w:rFonts w:hint="eastAsia"/>
          <w:color w:val="auto"/>
          <w:sz w:val="21"/>
          <w:szCs w:val="21"/>
          <w:highlight w:val="none"/>
        </w:rPr>
        <w:t>.3材料与工程设备的接收与拒收</w:t>
      </w:r>
      <w:bookmarkEnd w:id="293"/>
      <w:bookmarkEnd w:id="294"/>
    </w:p>
    <w:bookmarkEnd w:id="295"/>
    <w:bookmarkEnd w:id="296"/>
    <w:bookmarkEnd w:id="297"/>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8.3.1 发包人应按《发包人供应材料设备一览表》约定的内容提供材料和工程设备，并向承包人提供产品合格证明及出厂证明，对其质量负责。发包人应提前24小时以书面形式通知承包人、监理人材料和工程设备到货时间，承包人负责材料和工程设备的清点、检验和接收。</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发包人提供的材料和工程设备的规格、数量或质量不符合合同约定的，或因发包人原因导致交货日期延误或交货地点变更等情况的，按照第16.1款〔发包人违约〕约定办理。</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8.3.2 承包人采购的材料和工程设备，应保证产品质量合格，承包人应在材料和工程设备到货前24小时通知监理人检验。承</w:t>
      </w:r>
      <w:bookmarkStart w:id="298" w:name="_Toc250655469"/>
      <w:r>
        <w:rPr>
          <w:rFonts w:hint="eastAsia" w:ascii="宋体" w:hAnsi="宋体"/>
          <w:color w:val="auto"/>
          <w:kern w:val="0"/>
          <w:szCs w:val="21"/>
          <w:highlight w:val="none"/>
        </w:rPr>
        <w:t>包人进行永久设备、材料的制造和生产的，应符合相关质量标准，并向监理人提交材料的样本以及有关资料，并应在使用该材料或工程设备之前获得监理人同意。</w:t>
      </w:r>
    </w:p>
    <w:bookmarkEnd w:id="298"/>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 xml:space="preserve"> 承包人采购的材料和工程设备不符合设计或有关标准要求时，承包人应在监理人要求的合理期限内将不符合设计或有关标准要求的材料、工程设备运出施工现场，并重新采购符合要求的材料、工程设备，由此增加的费用和（或）延误的工期，由承包人承担。</w:t>
      </w:r>
    </w:p>
    <w:p>
      <w:pPr>
        <w:pStyle w:val="6"/>
        <w:spacing w:before="0" w:beforeAutospacing="0" w:after="0" w:afterAutospacing="0" w:line="360" w:lineRule="auto"/>
        <w:ind w:firstLine="422" w:firstLineChars="200"/>
        <w:rPr>
          <w:color w:val="auto"/>
          <w:sz w:val="21"/>
          <w:szCs w:val="21"/>
          <w:highlight w:val="none"/>
        </w:rPr>
      </w:pPr>
      <w:bookmarkStart w:id="299" w:name="_Toc532377242"/>
      <w:bookmarkStart w:id="300" w:name="_Toc351203556"/>
      <w:r>
        <w:rPr>
          <w:rFonts w:hint="eastAsia"/>
          <w:color w:val="auto"/>
          <w:sz w:val="21"/>
          <w:szCs w:val="21"/>
          <w:highlight w:val="none"/>
        </w:rPr>
        <w:t>8</w:t>
      </w:r>
      <w:bookmarkStart w:id="301" w:name="_Toc296503062"/>
      <w:bookmarkStart w:id="302" w:name="_Toc337558780"/>
      <w:bookmarkStart w:id="303" w:name="_Toc296346563"/>
      <w:r>
        <w:rPr>
          <w:rFonts w:hint="eastAsia"/>
          <w:color w:val="auto"/>
          <w:sz w:val="21"/>
          <w:szCs w:val="21"/>
          <w:highlight w:val="none"/>
        </w:rPr>
        <w:t>.4材料与工程设备的保管与使用</w:t>
      </w:r>
      <w:bookmarkEnd w:id="299"/>
      <w:bookmarkEnd w:id="300"/>
    </w:p>
    <w:bookmarkEnd w:id="301"/>
    <w:bookmarkEnd w:id="302"/>
    <w:bookmarkEnd w:id="303"/>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8.4.1 发包人供应材料与工程设备的保管与使用</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发包人供应的材料和工程设备，承包人清点后由承包人妥善保管，保管费用由发包人承担，但已标价工程量清单或预算书已经列支或专用合同条款另有约定除外。因承包人原因发生丢失毁损的，由承包人负责赔偿；监理人未通知承包人清点的，承包人不负责材料和工程设备的保管，由此导致丢失毁损的由发包人负责。</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发包人供应的材料和工程设备使用前，由承包人负责检验，检验费用由发包人承担，不合格的不得使用。</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8.4.2 承包人采购材料与工程设备的保管与使用</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承包人采购的材料和工程设备由承包人妥善保管，保管费用由承包人承担。法律规定材料和工程设备使用前必须进行检验或试验的，承包人应按监理人的要求进行检验或试验，检验或试验费用由承包人承担，不合格的不得使用。</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发包人或监理人发现承包人使用不符合设计或有关标准要求的材料和工程设备时，有权要求承包人进行修复、拆除或重新采购，由此增加的费用和（或）延误的工期，由承包人承担。</w:t>
      </w:r>
    </w:p>
    <w:p>
      <w:pPr>
        <w:pStyle w:val="6"/>
        <w:spacing w:before="0" w:beforeAutospacing="0" w:after="0" w:afterAutospacing="0" w:line="360" w:lineRule="auto"/>
        <w:ind w:firstLine="422" w:firstLineChars="200"/>
        <w:rPr>
          <w:color w:val="auto"/>
          <w:sz w:val="21"/>
          <w:szCs w:val="21"/>
          <w:highlight w:val="none"/>
        </w:rPr>
      </w:pPr>
      <w:bookmarkStart w:id="304" w:name="_Toc532377243"/>
      <w:bookmarkStart w:id="305" w:name="_Toc351203557"/>
      <w:r>
        <w:rPr>
          <w:rFonts w:hint="eastAsia"/>
          <w:color w:val="auto"/>
          <w:sz w:val="21"/>
          <w:szCs w:val="21"/>
          <w:highlight w:val="none"/>
        </w:rPr>
        <w:t>8.5禁止使用不合格的材料和工程设备</w:t>
      </w:r>
      <w:bookmarkEnd w:id="304"/>
      <w:bookmarkEnd w:id="305"/>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8.5.1 监理人有权拒绝承包人提供的不合格材料或工程设备，并要求承包人立即进行更换。监理人应在更换后再次进行检查和检验，由此增加的费用和（或）延误的工期由承包人承担。</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8.5.2 监理人发现承包人使用了不合格的材料和工程设备，承包人应按照监理人的指示立即改正，并禁止在工程中继续使用不合格的材料和工程设备。</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8.5.3 发包人提供的材料或工程设备不符合合同要求的，承包人有权拒绝，并可要求发包人更换，由此增加的费用和（或）延误的工期由发包人承担，并支付承包人合理的利润。</w:t>
      </w:r>
    </w:p>
    <w:p>
      <w:pPr>
        <w:pStyle w:val="6"/>
        <w:spacing w:before="0" w:beforeAutospacing="0" w:after="0" w:afterAutospacing="0" w:line="360" w:lineRule="auto"/>
        <w:ind w:firstLine="422" w:firstLineChars="200"/>
        <w:rPr>
          <w:color w:val="auto"/>
          <w:sz w:val="21"/>
          <w:szCs w:val="21"/>
          <w:highlight w:val="none"/>
        </w:rPr>
      </w:pPr>
      <w:bookmarkStart w:id="306" w:name="_Toc532377244"/>
      <w:bookmarkStart w:id="307" w:name="_Toc351203558"/>
      <w:r>
        <w:rPr>
          <w:rFonts w:hint="eastAsia"/>
          <w:color w:val="auto"/>
          <w:sz w:val="21"/>
          <w:szCs w:val="21"/>
          <w:highlight w:val="none"/>
        </w:rPr>
        <w:t>8.6 样品</w:t>
      </w:r>
      <w:bookmarkEnd w:id="306"/>
      <w:bookmarkEnd w:id="307"/>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8.6.1</w:t>
      </w:r>
      <w:r>
        <w:rPr>
          <w:rFonts w:hint="eastAsia" w:ascii="宋体" w:hAnsi="宋体"/>
          <w:color w:val="auto"/>
          <w:kern w:val="0"/>
          <w:szCs w:val="21"/>
          <w:highlight w:val="none"/>
        </w:rPr>
        <w:tab/>
      </w:r>
      <w:r>
        <w:rPr>
          <w:rFonts w:hint="eastAsia" w:ascii="宋体" w:hAnsi="宋体"/>
          <w:color w:val="auto"/>
          <w:kern w:val="0"/>
          <w:szCs w:val="21"/>
          <w:highlight w:val="none"/>
        </w:rPr>
        <w:t>样品的报送与封存</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需要承包人报送样品的材料或工程设备，样品的种类、名称、规格、数量等要求均应在专用合同条款中约定。样品的报送程序如下：</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1）承包人应在计划采购前28天向监理人报送样品。承包人报送的样品均应来自供应材料的实际生产地，且提供的样品的规格、数量足以表明材料或工程设备的质量、型号、颜色、表面处理、质地、误差和其他要求的特征。</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2）承包人每次报送样品时应随附申报单，申报单应载明报送样品的相关数据和资料，并标明每件样品对应的图纸号，预留监理人批复意见栏。监理人应在收到承包人报送的样品后7天向承包人回复经发包人签认的样品审批意见。</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（3）经发包人和监理人审批确认的样品应按约定的方法封样，封存的样品作为检验工程相关部分的标准之一。承包人在施工过程中不得使用与样品不符的材料或工程设备。</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4）发包人和监理人对样品的审批确认仅为确认相关材料或工程设备的特征或用途，不得被理解为对合同的修改或改变，也并不减轻或免除承包人任何的责任和义务。如果封存的样品修改或改变了合同约定，合同当事人应当以书面协议予以确认。</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8.6.2 样品的保管</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经批准的样品应由监理人负责封存于现场，承包人应在现场为保存样品提供适当和固定的场所并保持适当和良好的存储环境条件。</w:t>
      </w:r>
    </w:p>
    <w:p>
      <w:pPr>
        <w:pStyle w:val="6"/>
        <w:spacing w:before="0" w:beforeAutospacing="0" w:after="0" w:afterAutospacing="0" w:line="360" w:lineRule="auto"/>
        <w:ind w:firstLine="422" w:firstLineChars="200"/>
        <w:rPr>
          <w:color w:val="auto"/>
          <w:sz w:val="21"/>
          <w:szCs w:val="21"/>
          <w:highlight w:val="none"/>
        </w:rPr>
      </w:pPr>
      <w:bookmarkStart w:id="308" w:name="_Toc351203559"/>
      <w:bookmarkStart w:id="309" w:name="_Toc532377245"/>
      <w:r>
        <w:rPr>
          <w:rFonts w:hint="eastAsia"/>
          <w:color w:val="auto"/>
          <w:sz w:val="21"/>
          <w:szCs w:val="21"/>
          <w:highlight w:val="none"/>
        </w:rPr>
        <w:t>8.7材料与工程设备的替代</w:t>
      </w:r>
      <w:bookmarkEnd w:id="308"/>
      <w:bookmarkEnd w:id="309"/>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8.7.1 出现下列情况需要使用替代材料和工程设备的，承包人应按照第8.7.2项约定的程序执行：</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（1）基准日期后生效的法律规定禁止使用的；</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（2）发包人要求使用替代品的；</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（3）因其他原因必须使用替代品的。</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8.7.2 承包人应在使用替代材料和工程设备28天前书面通知监理人，并附下列文件：</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（1）被替代的材料和工程设备的名称、数量、规格、型号、品牌、性能、价格及其他相关资料；</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（2）替代品的名称、数量、规格、型号、品牌、性能、价格及其他相关资料；</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（3）替代品与被替代产品之间的差异以及使用替代品可能对工程产生的影响；</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（4）替代品与被替代产品的价格差异；</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（5）使用替代品的理由和原因说明；</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（6）监理人要求的其他文件。</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监理人应在收到通知后14天内向承包人发出经发包人签认的书面指示；监理人逾期发出书面指示的，视为发包人和监理人同意使用替代品。</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8.7.3 发包人认可使用替代材料和工程设备的，替代材料和工程设备的价格，按照已标价工程量清单或预算书相同项目的价格认定；无相同项目的，参考相似项目价格认定；既无相同项目也无相似项目的，按照合理的成本与利润构成的原则，由合同当事人按照第4.4款〔商定或确定〕确定价格。</w:t>
      </w:r>
    </w:p>
    <w:p>
      <w:pPr>
        <w:pStyle w:val="6"/>
        <w:spacing w:before="0" w:beforeAutospacing="0" w:after="0" w:afterAutospacing="0" w:line="360" w:lineRule="auto"/>
        <w:ind w:firstLine="422" w:firstLineChars="200"/>
        <w:rPr>
          <w:color w:val="auto"/>
          <w:sz w:val="21"/>
          <w:szCs w:val="21"/>
          <w:highlight w:val="none"/>
        </w:rPr>
      </w:pPr>
      <w:bookmarkStart w:id="310" w:name="_Toc351203560"/>
      <w:bookmarkStart w:id="311" w:name="_Toc532377246"/>
      <w:r>
        <w:rPr>
          <w:rFonts w:hint="eastAsia"/>
          <w:color w:val="auto"/>
          <w:sz w:val="21"/>
          <w:szCs w:val="21"/>
          <w:highlight w:val="none"/>
        </w:rPr>
        <w:t>8.8施工设备和临时设施</w:t>
      </w:r>
      <w:bookmarkEnd w:id="310"/>
      <w:bookmarkEnd w:id="311"/>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8.8.1 承包人提供的施工设备和临时设施</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承包人应按合同进度计划的要求，及时配置施工设备和修建临时设施。进入施工场地的承包人设备需经监理人核查后才能投入使用。承包人更换合同约定的承包人设备的，应报监理人批准。</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除专用合同条款另有约定外，承包人应自行承担修建临时设施的费用，需要临时占地的，应由发包人办理申请手续并承担相应费用。</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8.8.2发包人提供的施工设备和临时设施</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发包人提供的施工设备或临时设施在专用合同条款中约定。</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8.8.3要求承包人增加或更换施工设备</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承包人使用的施工设备不能满足合同进度计划和（或）质量要求时，监理人有权要求承包人增加或更换施工设备，承包人应及时增加或更换，由此增加的费用和（或）延误的工期由承包人承担。</w:t>
      </w:r>
    </w:p>
    <w:p>
      <w:pPr>
        <w:pStyle w:val="6"/>
        <w:spacing w:before="0" w:beforeAutospacing="0" w:after="0" w:afterAutospacing="0" w:line="360" w:lineRule="auto"/>
        <w:ind w:firstLine="422" w:firstLineChars="200"/>
        <w:rPr>
          <w:color w:val="auto"/>
          <w:sz w:val="21"/>
          <w:szCs w:val="21"/>
          <w:highlight w:val="none"/>
        </w:rPr>
      </w:pPr>
      <w:bookmarkStart w:id="312" w:name="_Toc351203561"/>
      <w:bookmarkStart w:id="313" w:name="_Toc532377247"/>
      <w:r>
        <w:rPr>
          <w:rFonts w:hint="eastAsia"/>
          <w:color w:val="auto"/>
          <w:sz w:val="21"/>
          <w:szCs w:val="21"/>
          <w:highlight w:val="none"/>
        </w:rPr>
        <w:t>8</w:t>
      </w:r>
      <w:bookmarkStart w:id="314" w:name="_Toc296503063"/>
      <w:bookmarkStart w:id="315" w:name="_Toc296346564"/>
      <w:bookmarkStart w:id="316" w:name="_Toc337558781"/>
      <w:r>
        <w:rPr>
          <w:rFonts w:hint="eastAsia"/>
          <w:color w:val="auto"/>
          <w:sz w:val="21"/>
          <w:szCs w:val="21"/>
          <w:highlight w:val="none"/>
        </w:rPr>
        <w:t>.9材料与设备专用</w:t>
      </w:r>
      <w:bookmarkEnd w:id="312"/>
      <w:r>
        <w:rPr>
          <w:rFonts w:hint="eastAsia"/>
          <w:color w:val="auto"/>
          <w:sz w:val="21"/>
          <w:szCs w:val="21"/>
          <w:highlight w:val="none"/>
        </w:rPr>
        <w:t>要求</w:t>
      </w:r>
      <w:bookmarkEnd w:id="313"/>
    </w:p>
    <w:bookmarkEnd w:id="314"/>
    <w:bookmarkEnd w:id="315"/>
    <w:bookmarkEnd w:id="316"/>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承包人运入施工现场的材料、工程设备、施工设备以及在施工场地建设的临时设施，包括备品备件、安装工具与资料，必须专用于工程。未经发包人批准，承包人不得运出施工现场或挪作他用；</w:t>
      </w:r>
      <w:bookmarkEnd w:id="291"/>
      <w:r>
        <w:rPr>
          <w:rFonts w:hint="eastAsia" w:ascii="宋体" w:hAnsi="宋体"/>
          <w:color w:val="auto"/>
          <w:kern w:val="0"/>
          <w:szCs w:val="21"/>
          <w:highlight w:val="none"/>
        </w:rPr>
        <w:t>经发包人批准，承包人可以根据施工进度计划撤走闲置的施工设备和其他物品。</w:t>
      </w:r>
    </w:p>
    <w:p>
      <w:pPr>
        <w:pStyle w:val="5"/>
        <w:keepNext/>
        <w:keepLines/>
        <w:spacing w:before="156" w:beforeLines="50" w:beforeAutospacing="0" w:after="156" w:afterLines="50" w:afterAutospacing="0" w:line="360" w:lineRule="auto"/>
        <w:jc w:val="both"/>
        <w:rPr>
          <w:bCs w:val="0"/>
          <w:color w:val="auto"/>
          <w:kern w:val="2"/>
          <w:sz w:val="21"/>
          <w:szCs w:val="21"/>
          <w:highlight w:val="none"/>
        </w:rPr>
      </w:pPr>
      <w:bookmarkStart w:id="317" w:name="_Toc532377248"/>
      <w:bookmarkStart w:id="318" w:name="_Toc532375595"/>
      <w:bookmarkStart w:id="319" w:name="_Toc351203562"/>
      <w:r>
        <w:rPr>
          <w:rFonts w:hint="eastAsia"/>
          <w:color w:val="auto"/>
          <w:kern w:val="2"/>
          <w:sz w:val="21"/>
          <w:szCs w:val="21"/>
          <w:highlight w:val="none"/>
        </w:rPr>
        <w:t>9</w:t>
      </w:r>
      <w:bookmarkStart w:id="320" w:name="_Toc337558782"/>
      <w:bookmarkStart w:id="321" w:name="_Toc296503083"/>
      <w:bookmarkStart w:id="322" w:name="_Toc296346584"/>
      <w:r>
        <w:rPr>
          <w:rFonts w:hint="eastAsia"/>
          <w:color w:val="auto"/>
          <w:kern w:val="2"/>
          <w:sz w:val="21"/>
          <w:szCs w:val="21"/>
          <w:highlight w:val="none"/>
        </w:rPr>
        <w:t>. 试验与检验</w:t>
      </w:r>
      <w:bookmarkEnd w:id="317"/>
      <w:bookmarkEnd w:id="318"/>
      <w:bookmarkEnd w:id="319"/>
    </w:p>
    <w:bookmarkEnd w:id="320"/>
    <w:p>
      <w:pPr>
        <w:pStyle w:val="6"/>
        <w:spacing w:before="0" w:beforeAutospacing="0" w:after="0" w:afterAutospacing="0" w:line="360" w:lineRule="auto"/>
        <w:ind w:firstLine="422" w:firstLineChars="200"/>
        <w:rPr>
          <w:color w:val="auto"/>
          <w:sz w:val="21"/>
          <w:szCs w:val="21"/>
          <w:highlight w:val="none"/>
        </w:rPr>
      </w:pPr>
      <w:bookmarkStart w:id="323" w:name="_Toc351203563"/>
      <w:bookmarkStart w:id="324" w:name="_Toc532377249"/>
      <w:r>
        <w:rPr>
          <w:rFonts w:hint="eastAsia"/>
          <w:color w:val="auto"/>
          <w:sz w:val="21"/>
          <w:szCs w:val="21"/>
          <w:highlight w:val="none"/>
        </w:rPr>
        <w:t>9</w:t>
      </w:r>
      <w:bookmarkStart w:id="325" w:name="_Toc337558783"/>
      <w:r>
        <w:rPr>
          <w:rFonts w:hint="eastAsia"/>
          <w:color w:val="auto"/>
          <w:sz w:val="21"/>
          <w:szCs w:val="21"/>
          <w:highlight w:val="none"/>
        </w:rPr>
        <w:t>.1试验设备与试验人员</w:t>
      </w:r>
      <w:bookmarkEnd w:id="323"/>
      <w:bookmarkEnd w:id="324"/>
    </w:p>
    <w:bookmarkEnd w:id="325"/>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9.1.1 承包人根据合同约定或监理人指示进行的现场材料试验，应由承包人提供试验场所、试验人员、试验设备以及其他必要的试验条件。监理人在必要时可以使用承包人提供的试验场所、试验设备以及其他试验条件，进行以工程质量检查为目的的材料复核试验，承包人应予以协助。</w:t>
      </w:r>
    </w:p>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9.1.2 承包人应按专用合同条款的约定提供试验设备、取样装置、试验场所和试验条件，并向监理人提交相应进场计划表。</w:t>
      </w:r>
    </w:p>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承包人配置的试验设备要符合相应试验规程的要求并经过具有资质的检测单位检测，且在正式使用该试验设备前，需要经过监理人与承包人共同校定。</w:t>
      </w:r>
    </w:p>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9.1.3 承包人应向监理人提交试验人员的名单及其岗位、资格等证明资料，试验人员必须能够熟练进行相应的检测试验，承包人对试验人员的试验程序和试验结果的正确性负责。</w:t>
      </w:r>
    </w:p>
    <w:p>
      <w:pPr>
        <w:pStyle w:val="6"/>
        <w:spacing w:before="0" w:beforeAutospacing="0" w:after="0" w:afterAutospacing="0" w:line="360" w:lineRule="auto"/>
        <w:ind w:firstLine="422" w:firstLineChars="200"/>
        <w:rPr>
          <w:color w:val="auto"/>
          <w:sz w:val="21"/>
          <w:szCs w:val="21"/>
          <w:highlight w:val="none"/>
        </w:rPr>
      </w:pPr>
      <w:bookmarkStart w:id="326" w:name="_Toc532377250"/>
      <w:bookmarkStart w:id="327" w:name="_Toc351203564"/>
      <w:r>
        <w:rPr>
          <w:rFonts w:hint="eastAsia"/>
          <w:color w:val="auto"/>
          <w:sz w:val="21"/>
          <w:szCs w:val="21"/>
          <w:highlight w:val="none"/>
        </w:rPr>
        <w:t>9</w:t>
      </w:r>
      <w:bookmarkStart w:id="328" w:name="_Toc337558784"/>
      <w:r>
        <w:rPr>
          <w:rFonts w:hint="eastAsia"/>
          <w:color w:val="auto"/>
          <w:sz w:val="21"/>
          <w:szCs w:val="21"/>
          <w:highlight w:val="none"/>
        </w:rPr>
        <w:t>.2取样</w:t>
      </w:r>
      <w:bookmarkEnd w:id="326"/>
      <w:bookmarkEnd w:id="327"/>
    </w:p>
    <w:bookmarkEnd w:id="328"/>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试验属于自检性质的，承包人可以单独取样。试验属于监理人抽检性质的，可由监理人取样，也可由承包人的试验人员在监理人的监督下取样。</w:t>
      </w:r>
    </w:p>
    <w:p>
      <w:pPr>
        <w:pStyle w:val="6"/>
        <w:spacing w:before="0" w:beforeAutospacing="0" w:after="0" w:afterAutospacing="0" w:line="360" w:lineRule="auto"/>
        <w:ind w:firstLine="422" w:firstLineChars="200"/>
        <w:rPr>
          <w:color w:val="auto"/>
          <w:sz w:val="21"/>
          <w:szCs w:val="21"/>
          <w:highlight w:val="none"/>
        </w:rPr>
      </w:pPr>
      <w:bookmarkStart w:id="329" w:name="_Toc532377251"/>
      <w:bookmarkStart w:id="330" w:name="_Toc351203565"/>
      <w:r>
        <w:rPr>
          <w:rFonts w:hint="eastAsia"/>
          <w:color w:val="auto"/>
          <w:sz w:val="21"/>
          <w:szCs w:val="21"/>
          <w:highlight w:val="none"/>
        </w:rPr>
        <w:t>9</w:t>
      </w:r>
      <w:bookmarkStart w:id="331" w:name="_Toc337558785"/>
      <w:r>
        <w:rPr>
          <w:rFonts w:hint="eastAsia"/>
          <w:color w:val="auto"/>
          <w:sz w:val="21"/>
          <w:szCs w:val="21"/>
          <w:highlight w:val="none"/>
        </w:rPr>
        <w:t>.3材料、工程设备和工程的试验和检验</w:t>
      </w:r>
      <w:bookmarkEnd w:id="329"/>
      <w:bookmarkEnd w:id="330"/>
    </w:p>
    <w:bookmarkEnd w:id="331"/>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9.3.1承包人应按合同约定进行材料、工程设备和工程的试验和检验，并为监理人对上述材料、工程设备和工程的质量检查提供必要的试验资料和原始记录。按合同约定应由监理人与承包人共同进行试验和检验的，由承包人负责提供必要的试验资料和原始记录。</w:t>
      </w:r>
    </w:p>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9.3.2试验属于自检性质的，承包人可以单独进行试验。试验属于监理人抽检性质的，监理人可以单独进行试验，也可由承包人与监理人共同进行。承包人对由监理人单独进行的试验结果有异议的，可以申请重新共同进行试验。约定共同进行试验的，监理人未按照约定参加试验的，承包人可自行试验，并将试验结果报送监理人，监理人应承认该试验结果。</w:t>
      </w:r>
    </w:p>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9.3.3监理人对承包人的试验和检验结果有异议的，或为查清承包人试验和检验成果的可靠性要求承包人重新试验和检验的，可由监理人与承包人共同进行。重新试验和检验的结果证明该项材料、工程设备或工程的质量不符合合同要求的，由此增加的费用和（或）延误的工期由承包人承担；重新试验和检验结果证明该项材料、工程设备和工程符合合同要求的，由此增加的费用和（或）延误的工期由发包人承担。</w:t>
      </w:r>
    </w:p>
    <w:p>
      <w:pPr>
        <w:pStyle w:val="6"/>
        <w:spacing w:before="0" w:beforeAutospacing="0" w:after="0" w:afterAutospacing="0" w:line="360" w:lineRule="auto"/>
        <w:ind w:firstLine="422" w:firstLineChars="200"/>
        <w:rPr>
          <w:color w:val="auto"/>
          <w:sz w:val="21"/>
          <w:szCs w:val="21"/>
          <w:highlight w:val="none"/>
        </w:rPr>
      </w:pPr>
      <w:bookmarkStart w:id="332" w:name="_Toc532377252"/>
      <w:bookmarkStart w:id="333" w:name="_Toc351203566"/>
      <w:r>
        <w:rPr>
          <w:rFonts w:hint="eastAsia"/>
          <w:color w:val="auto"/>
          <w:sz w:val="21"/>
          <w:szCs w:val="21"/>
          <w:highlight w:val="none"/>
        </w:rPr>
        <w:t>9</w:t>
      </w:r>
      <w:bookmarkStart w:id="334" w:name="_Toc337558786"/>
      <w:r>
        <w:rPr>
          <w:rFonts w:hint="eastAsia"/>
          <w:color w:val="auto"/>
          <w:sz w:val="21"/>
          <w:szCs w:val="21"/>
          <w:highlight w:val="none"/>
        </w:rPr>
        <w:t>.4现场工艺试验</w:t>
      </w:r>
      <w:bookmarkEnd w:id="332"/>
      <w:bookmarkEnd w:id="333"/>
    </w:p>
    <w:bookmarkEnd w:id="334"/>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承包人应按合同约定或监理人指示进行现场工艺试验。对大型的现场工艺试验，监理人认为必要时，承包人应根据监理人提出的工艺试验要求，编制工艺试验措施计划，报送监理人审查。</w:t>
      </w:r>
    </w:p>
    <w:p>
      <w:pPr>
        <w:pStyle w:val="5"/>
        <w:keepNext/>
        <w:keepLines/>
        <w:spacing w:before="156" w:beforeLines="50" w:beforeAutospacing="0" w:after="156" w:afterLines="50" w:afterAutospacing="0" w:line="360" w:lineRule="auto"/>
        <w:jc w:val="both"/>
        <w:rPr>
          <w:bCs w:val="0"/>
          <w:color w:val="auto"/>
          <w:kern w:val="2"/>
          <w:sz w:val="21"/>
          <w:szCs w:val="21"/>
          <w:highlight w:val="none"/>
        </w:rPr>
      </w:pPr>
      <w:bookmarkStart w:id="335" w:name="_Toc351203567"/>
      <w:bookmarkStart w:id="336" w:name="_Toc532377253"/>
      <w:bookmarkStart w:id="337" w:name="_Toc532375596"/>
      <w:r>
        <w:rPr>
          <w:rFonts w:hint="eastAsia"/>
          <w:color w:val="auto"/>
          <w:kern w:val="2"/>
          <w:sz w:val="21"/>
          <w:szCs w:val="21"/>
          <w:highlight w:val="none"/>
        </w:rPr>
        <w:t>1</w:t>
      </w:r>
      <w:bookmarkStart w:id="338" w:name="_Toc337558787"/>
      <w:r>
        <w:rPr>
          <w:rFonts w:hint="eastAsia"/>
          <w:color w:val="auto"/>
          <w:kern w:val="2"/>
          <w:sz w:val="21"/>
          <w:szCs w:val="21"/>
          <w:highlight w:val="none"/>
        </w:rPr>
        <w:t>0. 变更</w:t>
      </w:r>
      <w:bookmarkEnd w:id="321"/>
      <w:bookmarkEnd w:id="322"/>
      <w:bookmarkEnd w:id="335"/>
      <w:bookmarkEnd w:id="336"/>
      <w:bookmarkEnd w:id="337"/>
    </w:p>
    <w:bookmarkEnd w:id="338"/>
    <w:p>
      <w:pPr>
        <w:pStyle w:val="6"/>
        <w:spacing w:before="0" w:beforeAutospacing="0" w:after="0" w:afterAutospacing="0" w:line="360" w:lineRule="auto"/>
        <w:ind w:firstLine="422" w:firstLineChars="200"/>
        <w:rPr>
          <w:color w:val="auto"/>
          <w:sz w:val="21"/>
          <w:szCs w:val="21"/>
          <w:highlight w:val="none"/>
        </w:rPr>
      </w:pPr>
      <w:bookmarkStart w:id="339" w:name="_Toc532377254"/>
      <w:bookmarkStart w:id="340" w:name="_Toc351203568"/>
      <w:r>
        <w:rPr>
          <w:rFonts w:hint="eastAsia"/>
          <w:color w:val="auto"/>
          <w:sz w:val="21"/>
          <w:szCs w:val="21"/>
          <w:highlight w:val="none"/>
        </w:rPr>
        <w:t>1</w:t>
      </w:r>
      <w:bookmarkStart w:id="341" w:name="_Toc296346585"/>
      <w:bookmarkStart w:id="342" w:name="_Toc296503084"/>
      <w:bookmarkStart w:id="343" w:name="_Toc337558788"/>
      <w:r>
        <w:rPr>
          <w:rFonts w:hint="eastAsia"/>
          <w:color w:val="auto"/>
          <w:sz w:val="21"/>
          <w:szCs w:val="21"/>
          <w:highlight w:val="none"/>
        </w:rPr>
        <w:t>0.1变更的范围</w:t>
      </w:r>
      <w:bookmarkEnd w:id="339"/>
      <w:bookmarkEnd w:id="340"/>
    </w:p>
    <w:bookmarkEnd w:id="341"/>
    <w:bookmarkEnd w:id="342"/>
    <w:bookmarkEnd w:id="343"/>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除专用合同条款另有约定外，合同履行过程中发生以下情形的，应按照本条约定进行变更：</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（1）增加或减少合同中任何工作，或追加额外的工作；</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（2）取消合同中任何工作，但转由他人实施的工作除外；</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（3）改变合同中任何工作的质量标准或其他特性；</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（4）改变工程的基线、标高、位置和尺寸；</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（5）改变工程的时间安排或实施顺序。</w:t>
      </w:r>
    </w:p>
    <w:p>
      <w:pPr>
        <w:pStyle w:val="6"/>
        <w:spacing w:before="0" w:beforeAutospacing="0" w:after="0" w:afterAutospacing="0" w:line="360" w:lineRule="auto"/>
        <w:ind w:firstLine="422" w:firstLineChars="200"/>
        <w:rPr>
          <w:color w:val="auto"/>
          <w:sz w:val="21"/>
          <w:szCs w:val="21"/>
          <w:highlight w:val="none"/>
        </w:rPr>
      </w:pPr>
      <w:bookmarkStart w:id="344" w:name="_Toc532377255"/>
      <w:r>
        <w:rPr>
          <w:rFonts w:hint="eastAsia"/>
          <w:color w:val="auto"/>
          <w:sz w:val="21"/>
          <w:szCs w:val="21"/>
          <w:highlight w:val="none"/>
        </w:rPr>
        <w:t>10.2变更权</w:t>
      </w:r>
      <w:bookmarkEnd w:id="344"/>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发包人和监理人均可以提出变更。变更指示均通过监理人发出，监理人发出变更指示前应征得发包人同意。承包人收到经发包人签认的变更指示后，方可实施变更。未经许可，承包人不得擅自对工程的任何部分进行变更。</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涉及设计变更的，应由设计人提供变更后的图纸和说明。如变更超过原设计标准或批准的建设规模时，发包人应及时办理规划、设计变更等审批手续。</w:t>
      </w:r>
    </w:p>
    <w:p>
      <w:pPr>
        <w:pStyle w:val="6"/>
        <w:spacing w:before="0" w:beforeAutospacing="0" w:after="0" w:afterAutospacing="0" w:line="360" w:lineRule="auto"/>
        <w:ind w:firstLine="422" w:firstLineChars="200"/>
        <w:rPr>
          <w:color w:val="auto"/>
          <w:sz w:val="21"/>
          <w:szCs w:val="21"/>
          <w:highlight w:val="none"/>
        </w:rPr>
      </w:pPr>
      <w:bookmarkStart w:id="345" w:name="_Toc532377256"/>
      <w:r>
        <w:rPr>
          <w:rFonts w:hint="eastAsia"/>
          <w:color w:val="auto"/>
          <w:sz w:val="21"/>
          <w:szCs w:val="21"/>
          <w:highlight w:val="none"/>
        </w:rPr>
        <w:t>10.3变更程序</w:t>
      </w:r>
      <w:bookmarkEnd w:id="345"/>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10.3.1 发包人提出变更</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发包人提出变更的，应通过监理人向承包人发出变更指示，变更指示应说明计划变更的工程范围和变更的内容。</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10.3.2 监理人提出变更建议</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监理人提出变更建议的，需要向发包人以书面形式提出变更计划，说明计划变更工程范围和变更的内容、理由，以及实施该变更对合同价格和工期的影响。发包人同意变更的，由监理人向承包人发出变更指示。发包人不同意变更的，监理人无权擅自发出变更指示。</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10.3.3 变更执行</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承包人收到监理人下达的变更指示后，认为不能执行，应立即提出不能执行该变更指示的理由。承包人认为可以执行变更的，应当书面说明实施该变更指示对合同价格和工期的影响，且合同当事人应当按照第10.4款〔变更估价〕约定确定变更估价。</w:t>
      </w:r>
    </w:p>
    <w:p>
      <w:pPr>
        <w:pStyle w:val="6"/>
        <w:spacing w:before="0" w:beforeAutospacing="0" w:after="0" w:afterAutospacing="0" w:line="360" w:lineRule="auto"/>
        <w:ind w:firstLine="422" w:firstLineChars="200"/>
        <w:rPr>
          <w:color w:val="auto"/>
          <w:sz w:val="21"/>
          <w:szCs w:val="21"/>
          <w:highlight w:val="none"/>
        </w:rPr>
      </w:pPr>
      <w:bookmarkStart w:id="346" w:name="_Toc532377257"/>
      <w:bookmarkStart w:id="347" w:name="_Toc351203571"/>
      <w:r>
        <w:rPr>
          <w:rFonts w:hint="eastAsia"/>
          <w:color w:val="auto"/>
          <w:sz w:val="21"/>
          <w:szCs w:val="21"/>
          <w:highlight w:val="none"/>
        </w:rPr>
        <w:t>1</w:t>
      </w:r>
      <w:bookmarkStart w:id="348" w:name="_Toc296503087"/>
      <w:bookmarkStart w:id="349" w:name="_Toc296346588"/>
      <w:bookmarkStart w:id="350" w:name="_Toc337558791"/>
      <w:r>
        <w:rPr>
          <w:rFonts w:hint="eastAsia"/>
          <w:color w:val="auto"/>
          <w:sz w:val="21"/>
          <w:szCs w:val="21"/>
          <w:highlight w:val="none"/>
        </w:rPr>
        <w:t>0.4变更估价</w:t>
      </w:r>
      <w:bookmarkEnd w:id="346"/>
      <w:bookmarkEnd w:id="347"/>
    </w:p>
    <w:bookmarkEnd w:id="348"/>
    <w:bookmarkEnd w:id="349"/>
    <w:bookmarkEnd w:id="350"/>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10.4.1 变更估价原则</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除专用合同条款另有约定外，变更估价按照本款约定处理：</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（1）已标价工程量清单或预算书有相同项目的，按照相同项目单价认定；</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（2）已标价工程量清单或预算书中无相同项目，但有类似项目的，参照类似项目的单价认定；</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3）变更导致实际完成的变更工程量与已标价工程量清单或预算书中列明的该项目工程量的变化幅度超过15%的，或已标价工程量清单或预算书中无相同项目及类似项目单价的，按照合理的成本与利润构成的原则，由合同当事人按照第4.4款〔商定或确定〕确定变更工作的单价。</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10.4.2 变更估价程序</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承包人应在收到变更指示后14天内，向监理人提交变更估价申请。监理人应在收到承包人提交的变更估价申请后7天内审查完毕并报送发包人，监理人对变更估价申请有异议，通知承包人修改后重新提交。发包人应在承包人提交变更估价申请后14天内审批完毕。发包人逾期未完成审批或未提出异议的，视为认可承包人提交的变更估价申请。</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因变更引起的价格调整应计入最近一期的进度款中支付。</w:t>
      </w:r>
    </w:p>
    <w:p>
      <w:pPr>
        <w:pStyle w:val="6"/>
        <w:spacing w:before="0" w:beforeAutospacing="0" w:after="0" w:afterAutospacing="0" w:line="360" w:lineRule="auto"/>
        <w:ind w:firstLine="422" w:firstLineChars="200"/>
        <w:rPr>
          <w:color w:val="auto"/>
          <w:sz w:val="21"/>
          <w:szCs w:val="21"/>
          <w:highlight w:val="none"/>
        </w:rPr>
      </w:pPr>
      <w:bookmarkStart w:id="351" w:name="_Toc351203572"/>
      <w:bookmarkStart w:id="352" w:name="_Toc532377258"/>
      <w:r>
        <w:rPr>
          <w:rFonts w:hint="eastAsia"/>
          <w:color w:val="auto"/>
          <w:sz w:val="21"/>
          <w:szCs w:val="21"/>
          <w:highlight w:val="none"/>
        </w:rPr>
        <w:t>1</w:t>
      </w:r>
      <w:bookmarkStart w:id="353" w:name="_Toc296503094"/>
      <w:bookmarkStart w:id="354" w:name="_Toc296346595"/>
      <w:bookmarkStart w:id="355" w:name="_Toc337558792"/>
      <w:r>
        <w:rPr>
          <w:rFonts w:hint="eastAsia"/>
          <w:color w:val="auto"/>
          <w:sz w:val="21"/>
          <w:szCs w:val="21"/>
          <w:highlight w:val="none"/>
        </w:rPr>
        <w:t>0.5承包人的合理化建议</w:t>
      </w:r>
      <w:bookmarkEnd w:id="351"/>
      <w:bookmarkEnd w:id="352"/>
    </w:p>
    <w:bookmarkEnd w:id="353"/>
    <w:bookmarkEnd w:id="354"/>
    <w:bookmarkEnd w:id="355"/>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承包人提出合理化建议的，应向监理人提交合理化建议说明，说明建议的内容和理由，以及实施该建议对合同价格和工期的影响。</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除专用合同条款另有约定外，监理人应在收到承包人提交的合理化建议后7天内审查完毕并报送发包人，发现其中存在技术上的缺陷，应通知承包人修改。发包人应在收到监理人报送的合理化建议后7天内审批完毕。合理化建议经发包人批准的，监理人应及时发出变更指示，由此引起的合同价格调整按照第10.4款〔变更估价〕约定执行。发包人不同意变更的，监理人应书面通知承包人。</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合理化建议降低了合同价格或者提高了工程经济效益的，发包人可对承包人给予奖励，奖励的方法和金额在专用合同条款中约定。</w:t>
      </w:r>
    </w:p>
    <w:p>
      <w:pPr>
        <w:pStyle w:val="6"/>
        <w:spacing w:before="0" w:beforeAutospacing="0" w:after="0" w:afterAutospacing="0" w:line="360" w:lineRule="auto"/>
        <w:ind w:firstLine="422" w:firstLineChars="200"/>
        <w:rPr>
          <w:color w:val="auto"/>
          <w:sz w:val="21"/>
          <w:szCs w:val="21"/>
          <w:highlight w:val="none"/>
        </w:rPr>
      </w:pPr>
      <w:bookmarkStart w:id="356" w:name="_Toc532377259"/>
      <w:bookmarkStart w:id="357" w:name="_Toc351203573"/>
      <w:r>
        <w:rPr>
          <w:rFonts w:hint="eastAsia"/>
          <w:color w:val="auto"/>
          <w:sz w:val="21"/>
          <w:szCs w:val="21"/>
          <w:highlight w:val="none"/>
        </w:rPr>
        <w:t>1</w:t>
      </w:r>
      <w:bookmarkStart w:id="358" w:name="_Toc337558793"/>
      <w:r>
        <w:rPr>
          <w:rFonts w:hint="eastAsia"/>
          <w:color w:val="auto"/>
          <w:sz w:val="21"/>
          <w:szCs w:val="21"/>
          <w:highlight w:val="none"/>
        </w:rPr>
        <w:t>0.6变更引起的工期调整</w:t>
      </w:r>
      <w:bookmarkEnd w:id="356"/>
      <w:bookmarkEnd w:id="357"/>
      <w:bookmarkEnd w:id="358"/>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因变更引起工期变化的，合同当事人均可要求调整合同工期，由合同当事人按照第4.4款〔商定或确定〕并参考工程所在地的工期定额标准确定增减工期天数。</w:t>
      </w:r>
    </w:p>
    <w:p>
      <w:pPr>
        <w:pStyle w:val="6"/>
        <w:spacing w:before="0" w:beforeAutospacing="0" w:after="0" w:afterAutospacing="0" w:line="360" w:lineRule="auto"/>
        <w:ind w:firstLine="422" w:firstLineChars="200"/>
        <w:rPr>
          <w:color w:val="auto"/>
          <w:sz w:val="21"/>
          <w:szCs w:val="21"/>
          <w:highlight w:val="none"/>
        </w:rPr>
      </w:pPr>
      <w:bookmarkStart w:id="359" w:name="_Toc351203574"/>
      <w:bookmarkStart w:id="360" w:name="_Toc532377260"/>
      <w:r>
        <w:rPr>
          <w:rFonts w:hint="eastAsia"/>
          <w:color w:val="auto"/>
          <w:sz w:val="21"/>
          <w:szCs w:val="21"/>
          <w:highlight w:val="none"/>
        </w:rPr>
        <w:t>10.7暂估价</w:t>
      </w:r>
      <w:bookmarkEnd w:id="359"/>
      <w:bookmarkEnd w:id="360"/>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暂估价专业分包工程、服务、材料和工程设备的明细由合同当事人在专用合同条款中约定。</w:t>
      </w:r>
    </w:p>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10.7.1 依法必须招标的暂估价项目</w:t>
      </w:r>
    </w:p>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对于依法必须招标的暂估价项目，采取以下第1种方式确定。合同当事人也可以在专用合同条款中选择其他招标方式。</w:t>
      </w:r>
    </w:p>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第1种方式：对于依法必须招标的暂估价项目，由承包人招标，对该暂估价项目的确认和批准按照以下约定执行：</w:t>
      </w:r>
    </w:p>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1）承包人应当根据施工进度计划，在招标工作启动前14天将招标方案通过监理人报送发包人审查，发包人应当在收到承包人报送的招标方案后7天内批准或提出修改意见。承包人应当按照经过发包人批准的招标方案开展招标工作；</w:t>
      </w:r>
    </w:p>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2）承包人应当根据施工进度计划，提前14天将招标文件通过监理人报送发包人审批，发包人应当在收到承包人报送的相关文件后7天内完成审批或提出修改意见；发包人有权确定最高限价并按照法律规定参加评标；</w:t>
      </w:r>
    </w:p>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3）承包人与供应商、分包人在签订暂估价合同前，应当提前7天将确定的中标候选供应商或中标候选分包人的资料报送发包人，发包人应在收到资料后3天内与承包人共同确定中标人；承包人应当在签订合同后7天内，将暂估价合同副本报送发包人留存。</w:t>
      </w:r>
    </w:p>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第2种方式：对于依法必须招标的暂估价项目，由发包人和承包人共同招标确定暂估价供应商或分包人的，承包人应按照施工进度计划，在招标工作启动前14天通知发包人，并提交暂估价招标方案和工作分工。发包人应在收到后7天内确认。确定中标人后，由发包人、承包人与中标人共同签订暂估价合同。</w:t>
      </w:r>
    </w:p>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10.7.2不属于依法必须招标的暂估价项目</w:t>
      </w:r>
    </w:p>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 xml:space="preserve">除专用合同条款另有约定外，对于不属于依法必须招标的暂估价项目，采取以下第1种方式确定： </w:t>
      </w:r>
    </w:p>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第1种方式：对于不属于依法必须招标的暂估价项目，按本项约定确认和批准：</w:t>
      </w:r>
    </w:p>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1）承包人应根据施工进度计划，在签订暂估价项目的采购合同、分包合同前28天向监理人提出书面申请。监理人应当在收到申请后3天内报送发包人，发包人应当在收到申请后14天内给予批准或提出修改意见，发包人逾期未予批准或提出修改意见的，视为该书面申请已获得同意；</w:t>
      </w:r>
    </w:p>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（2）发包人认为承包人确定的供应商、分包人无法满足工程质量或合同要求的，发包人可以要求承包人重新确定暂估价项目的供应商、分包人;</w:t>
      </w:r>
    </w:p>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（3）承包人应当在签订暂估价合同后7天内，将暂估价合同副本报送发包人留存。</w:t>
      </w:r>
    </w:p>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第2种方式：承包人按照第10.7.1项〔依法必须招标的暂估价项目〕约定的第1种方式确定暂估价项目。</w:t>
      </w:r>
    </w:p>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第3种方式：承包人直接实施的暂估价项目</w:t>
      </w:r>
    </w:p>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承包人具备实施暂估价项目的资格和条件的，经发包人和承包人协商一致后，可由承包人自行实施暂估价项目，合同当事人可以在专用合同条款约定具体事项。</w:t>
      </w:r>
    </w:p>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10.7.3 因发包人原因导致暂估价合同订立和履行迟延的，由此增加的费用和（或）延误的工期由发包人承担，并支付承包人合理的利润。因承包人原因导致暂估价合同订立和履行迟延的，由此增加的费用和（或）延误的工期由承包人承担。</w:t>
      </w:r>
    </w:p>
    <w:p>
      <w:pPr>
        <w:pStyle w:val="6"/>
        <w:spacing w:before="0" w:beforeAutospacing="0" w:after="0" w:afterAutospacing="0" w:line="360" w:lineRule="auto"/>
        <w:ind w:firstLine="422" w:firstLineChars="200"/>
        <w:rPr>
          <w:color w:val="auto"/>
          <w:sz w:val="21"/>
          <w:szCs w:val="21"/>
          <w:highlight w:val="none"/>
        </w:rPr>
      </w:pPr>
      <w:bookmarkStart w:id="361" w:name="_Toc532377261"/>
      <w:bookmarkStart w:id="362" w:name="_Toc351203575"/>
      <w:r>
        <w:rPr>
          <w:rFonts w:hint="eastAsia"/>
          <w:color w:val="auto"/>
          <w:sz w:val="21"/>
          <w:szCs w:val="21"/>
          <w:highlight w:val="none"/>
        </w:rPr>
        <w:t>1</w:t>
      </w:r>
      <w:bookmarkStart w:id="363" w:name="_Toc337558794"/>
      <w:bookmarkStart w:id="364" w:name="_Toc322522561"/>
      <w:bookmarkStart w:id="365" w:name="_Toc296503090"/>
      <w:bookmarkStart w:id="366" w:name="_Toc296346591"/>
      <w:r>
        <w:rPr>
          <w:rFonts w:hint="eastAsia"/>
          <w:color w:val="auto"/>
          <w:sz w:val="21"/>
          <w:szCs w:val="21"/>
          <w:highlight w:val="none"/>
        </w:rPr>
        <w:t>0.8暂列金额</w:t>
      </w:r>
      <w:bookmarkEnd w:id="361"/>
      <w:bookmarkEnd w:id="362"/>
    </w:p>
    <w:bookmarkEnd w:id="363"/>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暂列金额应按照发包人的要求使用，发包人的要求应通过监理人发出。合同当事人可以在专用合同条款中协商确定有关事项。</w:t>
      </w:r>
    </w:p>
    <w:bookmarkEnd w:id="364"/>
    <w:bookmarkEnd w:id="365"/>
    <w:bookmarkEnd w:id="366"/>
    <w:p>
      <w:pPr>
        <w:pStyle w:val="6"/>
        <w:spacing w:before="0" w:beforeAutospacing="0" w:after="0" w:afterAutospacing="0" w:line="360" w:lineRule="auto"/>
        <w:ind w:firstLine="422" w:firstLineChars="200"/>
        <w:rPr>
          <w:color w:val="auto"/>
          <w:sz w:val="21"/>
          <w:szCs w:val="21"/>
          <w:highlight w:val="none"/>
        </w:rPr>
      </w:pPr>
      <w:bookmarkStart w:id="367" w:name="_Toc532377262"/>
      <w:bookmarkStart w:id="368" w:name="_Toc351203576"/>
      <w:r>
        <w:rPr>
          <w:rFonts w:hint="eastAsia"/>
          <w:color w:val="auto"/>
          <w:sz w:val="21"/>
          <w:szCs w:val="21"/>
          <w:highlight w:val="none"/>
        </w:rPr>
        <w:t>1</w:t>
      </w:r>
      <w:bookmarkStart w:id="369" w:name="_Toc337558796"/>
      <w:bookmarkStart w:id="370" w:name="_Toc296346592"/>
      <w:bookmarkStart w:id="371" w:name="_Toc296503091"/>
      <w:r>
        <w:rPr>
          <w:rFonts w:hint="eastAsia"/>
          <w:color w:val="auto"/>
          <w:sz w:val="21"/>
          <w:szCs w:val="21"/>
          <w:highlight w:val="none"/>
        </w:rPr>
        <w:t>0.9计日工</w:t>
      </w:r>
      <w:bookmarkEnd w:id="367"/>
      <w:bookmarkEnd w:id="368"/>
      <w:bookmarkEnd w:id="369"/>
      <w:bookmarkEnd w:id="370"/>
      <w:bookmarkEnd w:id="371"/>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需要采用计日工方式的，经发包人同意后，由监理人通知承包人以计日工计价方式实施相应的工作，其价款按列入已标价工程量清单或预算书中的计日工计价项目及其单价进行计算；已标价工程量清单或预算书中无相应的计日工单价的，按照合理的成本与利润构成的原则，由合同当事人按照第4.4款〔商定或确定〕确定计日工的单价。</w:t>
      </w:r>
    </w:p>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采用计日工计价的任何一项工作，承包人应在该项工作实施过程中，每天提交以下报表和有关凭证报送监理人审查：</w:t>
      </w:r>
    </w:p>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（1）工作名称、内容和数量；</w:t>
      </w:r>
    </w:p>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（2）投入该工作的所有人员的姓名、专业、工种、级别和耗用工时；</w:t>
      </w:r>
    </w:p>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（3）投入该工作的材料类别和数量；</w:t>
      </w:r>
    </w:p>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（4）投入该工作的施工设备型号、台数和耗用台时；</w:t>
      </w:r>
    </w:p>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（5）其他有关资料和凭证。</w:t>
      </w:r>
    </w:p>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 xml:space="preserve"> 计日工由承包人汇总后，列入最近一期进度付款申请单，由监理人审查并经发包人批准后列入进度付款。</w:t>
      </w:r>
    </w:p>
    <w:p>
      <w:pPr>
        <w:pStyle w:val="5"/>
        <w:keepNext/>
        <w:keepLines/>
        <w:spacing w:before="156" w:beforeLines="50" w:beforeAutospacing="0" w:after="156" w:afterLines="50" w:afterAutospacing="0" w:line="360" w:lineRule="auto"/>
        <w:jc w:val="both"/>
        <w:rPr>
          <w:bCs w:val="0"/>
          <w:color w:val="auto"/>
          <w:kern w:val="2"/>
          <w:sz w:val="21"/>
          <w:szCs w:val="21"/>
          <w:highlight w:val="none"/>
        </w:rPr>
      </w:pPr>
      <w:bookmarkStart w:id="372" w:name="_Toc532375597"/>
      <w:bookmarkStart w:id="373" w:name="_Toc532377263"/>
      <w:bookmarkStart w:id="374" w:name="_Toc351203577"/>
      <w:r>
        <w:rPr>
          <w:rFonts w:hint="eastAsia"/>
          <w:color w:val="auto"/>
          <w:kern w:val="2"/>
          <w:sz w:val="21"/>
          <w:szCs w:val="21"/>
          <w:highlight w:val="none"/>
        </w:rPr>
        <w:t>11. 价格调整</w:t>
      </w:r>
      <w:bookmarkEnd w:id="372"/>
      <w:bookmarkEnd w:id="373"/>
      <w:bookmarkEnd w:id="374"/>
    </w:p>
    <w:p>
      <w:pPr>
        <w:pStyle w:val="6"/>
        <w:spacing w:before="0" w:beforeAutospacing="0" w:after="0" w:afterAutospacing="0" w:line="360" w:lineRule="auto"/>
        <w:ind w:firstLine="422" w:firstLineChars="200"/>
        <w:rPr>
          <w:color w:val="auto"/>
          <w:sz w:val="21"/>
          <w:szCs w:val="21"/>
          <w:highlight w:val="none"/>
        </w:rPr>
      </w:pPr>
      <w:bookmarkStart w:id="375" w:name="_Toc532377264"/>
      <w:bookmarkStart w:id="376" w:name="_Toc351203578"/>
      <w:bookmarkStart w:id="377" w:name="_Toc296346593"/>
      <w:bookmarkStart w:id="378" w:name="_Toc296503092"/>
      <w:bookmarkStart w:id="379" w:name="_Toc337558797"/>
      <w:r>
        <w:rPr>
          <w:rFonts w:hint="eastAsia"/>
          <w:color w:val="auto"/>
          <w:sz w:val="21"/>
          <w:szCs w:val="21"/>
          <w:highlight w:val="none"/>
        </w:rPr>
        <w:t>11.1市场价格波动引起的调整</w:t>
      </w:r>
      <w:bookmarkEnd w:id="375"/>
      <w:bookmarkEnd w:id="376"/>
    </w:p>
    <w:bookmarkEnd w:id="377"/>
    <w:bookmarkEnd w:id="378"/>
    <w:bookmarkEnd w:id="379"/>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除专用合同条款另有约定外，市场价格波动超过合同当事人约定的范围，合同价格应当调整。合同当事人可以在专用合同条款中约定选择以下一种方式对合同价格进行调整：</w:t>
      </w:r>
    </w:p>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第1种方式：采用价格指数进行价格调整。</w:t>
      </w:r>
    </w:p>
    <w:p>
      <w:pPr>
        <w:tabs>
          <w:tab w:val="left" w:pos="0"/>
          <w:tab w:val="left" w:pos="360"/>
          <w:tab w:val="left" w:pos="540"/>
        </w:tabs>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（1）价格调整公式</w:t>
      </w:r>
    </w:p>
    <w:p>
      <w:pPr>
        <w:tabs>
          <w:tab w:val="left" w:pos="0"/>
          <w:tab w:val="left" w:pos="360"/>
          <w:tab w:val="left" w:pos="540"/>
        </w:tabs>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因人工、材料和设备等价格波动影响合同价格时，根据专用合同条款中约定的数据，按以下公式计算差额并调整合同价格：</w:t>
      </w:r>
    </w:p>
    <w:p>
      <w:pPr>
        <w:tabs>
          <w:tab w:val="left" w:pos="0"/>
          <w:tab w:val="left" w:pos="360"/>
          <w:tab w:val="left" w:pos="540"/>
        </w:tabs>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object>
          <v:shape id="_x0000_i1025" o:spt="75" type="#_x0000_t75" style="height:42.75pt;width:360pt;" o:ole="t" filled="f" o:preferrelative="t" stroked="f" coordsize="21600,21600">
            <v:path/>
            <v:fill on="f" focussize="0,0"/>
            <v:stroke on="f"/>
            <v:imagedata r:id="rId5" o:title=""/>
            <o:lock v:ext="edit" aspectratio="t"/>
            <w10:wrap type="none"/>
            <w10:anchorlock/>
          </v:shape>
          <o:OLEObject Type="Embed" ProgID="Equation.3" ShapeID="_x0000_i1025" DrawAspect="Content" ObjectID="_1468075725" r:id="rId4">
            <o:LockedField>false</o:LockedField>
          </o:OLEObject>
        </w:object>
      </w:r>
    </w:p>
    <w:p>
      <w:pPr>
        <w:tabs>
          <w:tab w:val="left" w:pos="0"/>
          <w:tab w:val="left" w:pos="360"/>
          <w:tab w:val="left" w:pos="540"/>
        </w:tabs>
        <w:spacing w:line="360" w:lineRule="auto"/>
        <w:ind w:firstLine="200"/>
        <w:jc w:val="left"/>
        <w:rPr>
          <w:rFonts w:ascii="宋体" w:hAnsi="宋体"/>
          <w:color w:val="auto"/>
          <w:kern w:val="0"/>
          <w:szCs w:val="21"/>
          <w:highlight w:val="none"/>
        </w:rPr>
      </w:pPr>
      <w:r>
        <w:rPr>
          <w:rFonts w:hint="eastAsia" w:ascii="宋体" w:hAnsi="宋体"/>
          <w:color w:val="auto"/>
          <w:kern w:val="0"/>
          <w:szCs w:val="21"/>
          <w:highlight w:val="none"/>
        </w:rPr>
        <w:t>公式中：ΔP——需调整的价格差额；</w:t>
      </w:r>
    </w:p>
    <w:p>
      <w:pPr>
        <w:tabs>
          <w:tab w:val="left" w:pos="0"/>
          <w:tab w:val="left" w:pos="360"/>
          <w:tab w:val="left" w:pos="540"/>
        </w:tabs>
        <w:spacing w:line="360" w:lineRule="auto"/>
        <w:ind w:firstLine="1260" w:firstLineChars="600"/>
        <w:jc w:val="left"/>
        <w:rPr>
          <w:rFonts w:ascii="宋体" w:hAnsi="宋体"/>
          <w:color w:val="auto"/>
          <w:kern w:val="0"/>
          <w:szCs w:val="21"/>
          <w:highlight w:val="none"/>
        </w:rPr>
      </w:pPr>
      <w:r>
        <w:rPr>
          <w:rFonts w:hint="eastAsia" w:ascii="宋体" w:hAnsi="宋体"/>
          <w:color w:val="auto"/>
          <w:kern w:val="0"/>
          <w:szCs w:val="21"/>
          <w:highlight w:val="none"/>
        </w:rPr>
        <w:object>
          <v:shape id="_x0000_i1026" o:spt="75" type="#_x0000_t75" style="height:18.7pt;width:18.7pt;" o:ole="t" filled="f" o:preferrelative="t" stroked="f" coordsize="21600,21600">
            <v:path/>
            <v:fill on="f" focussize="0,0"/>
            <v:stroke on="f"/>
            <v:imagedata r:id="rId7" o:title=""/>
            <o:lock v:ext="edit" aspectratio="t"/>
            <w10:wrap type="none"/>
            <w10:anchorlock/>
          </v:shape>
          <o:OLEObject Type="Embed" ProgID="Equation.3" ShapeID="_x0000_i1026" DrawAspect="Content" ObjectID="_1468075726" r:id="rId6">
            <o:LockedField>false</o:LockedField>
          </o:OLEObject>
        </w:object>
      </w:r>
      <w:r>
        <w:rPr>
          <w:rFonts w:hint="eastAsia" w:ascii="宋体" w:hAnsi="宋体"/>
          <w:color w:val="auto"/>
          <w:kern w:val="0"/>
          <w:szCs w:val="21"/>
          <w:highlight w:val="none"/>
        </w:rPr>
        <w:t>——约定的付款证书中承包人应得到的已完成工程量的金额。此项金额应不包括价格调整、不计质量保证金的扣留和支付、预付款的支付和扣回。约定的变更及其他金额已按现行价格计价的，也不计在内；</w:t>
      </w:r>
    </w:p>
    <w:p>
      <w:pPr>
        <w:tabs>
          <w:tab w:val="left" w:pos="0"/>
          <w:tab w:val="left" w:pos="360"/>
          <w:tab w:val="left" w:pos="540"/>
        </w:tabs>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A——定值权重（即不调部分的权重）；</w:t>
      </w:r>
    </w:p>
    <w:p>
      <w:pPr>
        <w:tabs>
          <w:tab w:val="left" w:pos="0"/>
          <w:tab w:val="left" w:pos="360"/>
          <w:tab w:val="left" w:pos="540"/>
        </w:tabs>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object>
          <v:shape id="_x0000_i1027" o:spt="75" type="#_x0000_t75" style="height:21.75pt;width:100.55pt;" o:ole="t" filled="f" o:preferrelative="t" stroked="f" coordsize="21600,21600">
            <v:path/>
            <v:fill on="f" focussize="0,0"/>
            <v:stroke on="f"/>
            <v:imagedata r:id="rId9" o:title=""/>
            <o:lock v:ext="edit" aspectratio="t"/>
            <w10:wrap type="none"/>
            <w10:anchorlock/>
          </v:shape>
          <o:OLEObject Type="Embed" ProgID="Equation.3" ShapeID="_x0000_i1027" DrawAspect="Content" ObjectID="_1468075727" r:id="rId8">
            <o:LockedField>false</o:LockedField>
          </o:OLEObject>
        </w:object>
      </w:r>
      <w:r>
        <w:rPr>
          <w:rFonts w:hint="eastAsia" w:ascii="宋体" w:hAnsi="宋体"/>
          <w:color w:val="auto"/>
          <w:kern w:val="0"/>
          <w:szCs w:val="21"/>
          <w:highlight w:val="none"/>
        </w:rPr>
        <w:t>——各可调因子的变值权重（即可调部分的权重），为各可调因子在签约合同价中所占的比例；</w:t>
      </w:r>
    </w:p>
    <w:p>
      <w:pPr>
        <w:tabs>
          <w:tab w:val="left" w:pos="0"/>
          <w:tab w:val="left" w:pos="360"/>
          <w:tab w:val="left" w:pos="540"/>
        </w:tabs>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object>
          <v:shape id="_x0000_i1028" o:spt="75" type="#_x0000_t75" style="height:21.75pt;width:102.05pt;" o:ole="t" filled="f" o:preferrelative="t" stroked="f" coordsize="21600,21600">
            <v:path/>
            <v:fill on="f" focussize="0,0"/>
            <v:stroke on="f"/>
            <v:imagedata r:id="rId11" o:title=""/>
            <o:lock v:ext="edit" aspectratio="t"/>
            <w10:wrap type="none"/>
            <w10:anchorlock/>
          </v:shape>
          <o:OLEObject Type="Embed" ProgID="Equation.3" ShapeID="_x0000_i1028" DrawAspect="Content" ObjectID="_1468075728" r:id="rId10">
            <o:LockedField>false</o:LockedField>
          </o:OLEObject>
        </w:object>
      </w:r>
      <w:r>
        <w:rPr>
          <w:rFonts w:hint="eastAsia" w:ascii="宋体" w:hAnsi="宋体"/>
          <w:color w:val="auto"/>
          <w:kern w:val="0"/>
          <w:szCs w:val="21"/>
          <w:highlight w:val="none"/>
        </w:rPr>
        <w:t>——各可调因子的现行价格指数，指约定的付款证书相关周期最后一天的前42天的各可调因子的价格指数；</w:t>
      </w:r>
    </w:p>
    <w:p>
      <w:pPr>
        <w:tabs>
          <w:tab w:val="left" w:pos="0"/>
          <w:tab w:val="left" w:pos="360"/>
          <w:tab w:val="left" w:pos="540"/>
        </w:tabs>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object>
          <v:shape id="_x0000_i1029" o:spt="75" type="#_x0000_t75" style="height:21.75pt;width:108.75pt;" o:ole="t" filled="f" o:preferrelative="t" stroked="f" coordsize="21600,21600">
            <v:path/>
            <v:fill on="f" focussize="0,0"/>
            <v:stroke on="f"/>
            <v:imagedata r:id="rId13" o:title=""/>
            <o:lock v:ext="edit" aspectratio="t"/>
            <w10:wrap type="none"/>
            <w10:anchorlock/>
          </v:shape>
          <o:OLEObject Type="Embed" ProgID="Equation.3" ShapeID="_x0000_i1029" DrawAspect="Content" ObjectID="_1468075729" r:id="rId12">
            <o:LockedField>false</o:LockedField>
          </o:OLEObject>
        </w:object>
      </w:r>
      <w:r>
        <w:rPr>
          <w:rFonts w:hint="eastAsia" w:ascii="宋体" w:hAnsi="宋体"/>
          <w:color w:val="auto"/>
          <w:kern w:val="0"/>
          <w:szCs w:val="21"/>
          <w:highlight w:val="none"/>
        </w:rPr>
        <w:t>——各可调因子的基本价格指数，指基准日期的各可调因子的价格指数。</w:t>
      </w:r>
    </w:p>
    <w:p>
      <w:pPr>
        <w:tabs>
          <w:tab w:val="left" w:pos="0"/>
          <w:tab w:val="left" w:pos="360"/>
          <w:tab w:val="left" w:pos="540"/>
        </w:tabs>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以上价格调整公式中的各可调因子、定值和变值权重，以及基本价格指数及其来源在投标函附录价格指数和权重表中约定，非招标订立的合同，由合同当事人在专用合同条款中约定。价格指数应首先采用工程造价管理机构发布的价格指数，无前述价格指数时，可采用工程造价管理机构发布的价格代替。</w:t>
      </w:r>
    </w:p>
    <w:p>
      <w:pPr>
        <w:tabs>
          <w:tab w:val="left" w:pos="0"/>
          <w:tab w:val="left" w:pos="360"/>
          <w:tab w:val="left" w:pos="540"/>
        </w:tabs>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（2）暂时确定调整差额</w:t>
      </w:r>
    </w:p>
    <w:p>
      <w:pPr>
        <w:tabs>
          <w:tab w:val="left" w:pos="0"/>
          <w:tab w:val="left" w:pos="360"/>
          <w:tab w:val="left" w:pos="540"/>
        </w:tabs>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在计算调整差额时无现行价格指数的，合同当事人同意暂用前次价格指数计算。实际价格指数有调整的，合同当事人进行相应调整。</w:t>
      </w:r>
    </w:p>
    <w:p>
      <w:pPr>
        <w:tabs>
          <w:tab w:val="left" w:pos="0"/>
          <w:tab w:val="left" w:pos="360"/>
          <w:tab w:val="left" w:pos="540"/>
        </w:tabs>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（3）权重的调整</w:t>
      </w:r>
    </w:p>
    <w:p>
      <w:pPr>
        <w:tabs>
          <w:tab w:val="left" w:pos="0"/>
          <w:tab w:val="left" w:pos="360"/>
          <w:tab w:val="left" w:pos="540"/>
        </w:tabs>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因变更导致合同约定的权重不合理时，按照第4.4款〔商定或确定〕执行。</w:t>
      </w:r>
    </w:p>
    <w:p>
      <w:pPr>
        <w:tabs>
          <w:tab w:val="left" w:pos="0"/>
          <w:tab w:val="left" w:pos="360"/>
          <w:tab w:val="left" w:pos="540"/>
        </w:tabs>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（4）因承包人原因工期延误后的价格调整</w:t>
      </w:r>
    </w:p>
    <w:p>
      <w:pPr>
        <w:tabs>
          <w:tab w:val="left" w:pos="0"/>
          <w:tab w:val="left" w:pos="360"/>
          <w:tab w:val="left" w:pos="540"/>
        </w:tabs>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因承包人原因未按期竣工的，对合同约定的竣工日期后继续施工的工程，在使用价格调整公式时，应采用计划竣工日期与实际竣工日期的两个价格指数中较低的一个作为现行价格指数。</w:t>
      </w:r>
    </w:p>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第2种方式：采用造价信息进行价格调整。</w:t>
      </w:r>
    </w:p>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合同履行期间，因人工、材料、工程设备和机械台班价格波动影响合同价格时，人工、机械使用费按照国家或省、自治区、直辖市建设行政管理部门、行业建设管理部门或其授权的工程造价管理机构发布的人工、机械使用费系数进行调整；需要进行价格调整的材料，其单价和采购数量应由发包人审批，发包人确认需调整的材料单价及数量，作为调整合同价格的依据。</w:t>
      </w:r>
    </w:p>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1）人工单价发生变化且符合省级或行业建设主管部门发布的人工费调整规定，合同当事人应按省级或行业建设主管部门或其授权的工程造价管理机构发布的人工费等文件调整合同价格，但承包人对人工费或人工单价的报价高于发布价格的除外。</w:t>
      </w:r>
    </w:p>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（2）材料、工程设备价格变化的价款调整按照发包人提供的基准价格，按以下风险范围规定执行:</w:t>
      </w:r>
    </w:p>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①承包人在已标价工程量清单或预算书中载明材料单价低于基准价格的：除专用合同条款另有约定外，合同履行期间材料单价涨幅以基准价格为基础超过5%时，或材料单价跌幅以在已标价工程量清单或预算书中载明材料单价为基础超过5%时，其超过部分据实调整。</w:t>
      </w:r>
    </w:p>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②承包人在已标价工程量清单或预算书中载明材料单价高于基准价格的：除专用合同条款另有约定外，合同履行期间材料单价跌幅以基准价格为基础超过5%时，材料单价涨幅以在已标价工程量清单或预算书中载明材料单价为基础超过5%时，其超过部分据实调整。</w:t>
      </w:r>
    </w:p>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③承包人在已标价工程量清单或预算书中载明材料单价等于基准价格的：除专用合同条款另有约定外，合同履行期间材料单价涨跌幅以基准价格为基础超过±5%时，其超过部分据实调整。</w:t>
      </w:r>
    </w:p>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④承包人应在采购材料前将采购数量和新的材料单价报发包人核对，发包人确认用于工程时，发包人应确认采购材料的数量和单价。发包人在收到承包人报送的确认资料后5天内不予答复的视为认可，作为调整合同价格的依据。未经发包人事先核对，承包人自行采购材料的，发包人有权不予调整合同价格。发包人同意的，可以调整合同价格。</w:t>
      </w:r>
    </w:p>
    <w:p>
      <w:pPr>
        <w:spacing w:line="360" w:lineRule="auto"/>
        <w:ind w:firstLine="420" w:firstLineChars="200"/>
        <w:jc w:val="left"/>
        <w:rPr>
          <w:rFonts w:ascii="宋体" w:hAnsi="宋体"/>
          <w:color w:val="auto"/>
          <w:kern w:val="0"/>
          <w:szCs w:val="21"/>
          <w:highlight w:val="none"/>
        </w:rPr>
      </w:pPr>
      <w:bookmarkStart w:id="380" w:name="OLE_LINK3"/>
      <w:r>
        <w:rPr>
          <w:rFonts w:hint="eastAsia" w:ascii="宋体" w:hAnsi="宋体"/>
          <w:color w:val="auto"/>
          <w:kern w:val="0"/>
          <w:szCs w:val="21"/>
          <w:highlight w:val="none"/>
        </w:rPr>
        <w:t>前述基准价格是指由发包人在招标文件或专用合同条款中给定的材料、工程设备的价格，该价格原则上应当按照省级或行业建设主管部门或其授权的工程造价管理机构发布的信息价编制。</w:t>
      </w:r>
    </w:p>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（3）施工机械台班单价或施工机械使用费发生变化超过省级或行业建设主管部门或其授权的工程造价管理机构规定的范围时，按规定调整合同价格。</w:t>
      </w:r>
    </w:p>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第3种方式：专用合同条款约定的其他方式。</w:t>
      </w:r>
    </w:p>
    <w:p>
      <w:pPr>
        <w:pStyle w:val="6"/>
        <w:spacing w:before="0" w:beforeAutospacing="0" w:after="0" w:afterAutospacing="0" w:line="360" w:lineRule="auto"/>
        <w:ind w:firstLine="422" w:firstLineChars="200"/>
        <w:rPr>
          <w:color w:val="auto"/>
          <w:sz w:val="21"/>
          <w:szCs w:val="21"/>
          <w:highlight w:val="none"/>
        </w:rPr>
      </w:pPr>
      <w:bookmarkStart w:id="381" w:name="_Toc532377265"/>
      <w:bookmarkStart w:id="382" w:name="_Toc351203579"/>
      <w:bookmarkStart w:id="383" w:name="_Toc296346594"/>
      <w:bookmarkStart w:id="384" w:name="_Toc337558798"/>
      <w:bookmarkStart w:id="385" w:name="_Toc296503093"/>
      <w:r>
        <w:rPr>
          <w:rFonts w:hint="eastAsia"/>
          <w:color w:val="auto"/>
          <w:sz w:val="21"/>
          <w:szCs w:val="21"/>
          <w:highlight w:val="none"/>
        </w:rPr>
        <w:t>11.2法律变化引起的调整</w:t>
      </w:r>
      <w:bookmarkEnd w:id="381"/>
      <w:bookmarkEnd w:id="382"/>
    </w:p>
    <w:bookmarkEnd w:id="383"/>
    <w:bookmarkEnd w:id="384"/>
    <w:bookmarkEnd w:id="385"/>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基准日期后，法律变化导致承包人在合同履行过程中所需要的费用发生除第11.1款〔市场价格波动引起的调整〕约定以外的增加时，由发包人承担由此增加的费用；减少时，应从合同价格中予以扣减。基准日期后，因法律变化造成工期延误时，工期应予以顺延。</w:t>
      </w:r>
    </w:p>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因法律变化引起的合同价格和工期调整，合同当事人无法达成一致的，由总监理工程师按第4.4款〔商定或确定〕的约定处理。</w:t>
      </w:r>
    </w:p>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因承包人原因造成工期延误，在工期延误期间出现法律变化的，由此增加的费用和（或）延误的工期由承包人承担。</w:t>
      </w:r>
    </w:p>
    <w:p>
      <w:pPr>
        <w:pStyle w:val="5"/>
        <w:keepNext/>
        <w:keepLines/>
        <w:spacing w:before="156" w:beforeLines="50" w:beforeAutospacing="0" w:after="156" w:afterLines="50" w:afterAutospacing="0" w:line="360" w:lineRule="auto"/>
        <w:jc w:val="both"/>
        <w:rPr>
          <w:bCs w:val="0"/>
          <w:color w:val="auto"/>
          <w:kern w:val="2"/>
          <w:sz w:val="21"/>
          <w:szCs w:val="21"/>
          <w:highlight w:val="none"/>
        </w:rPr>
      </w:pPr>
      <w:bookmarkStart w:id="386" w:name="_Toc532377266"/>
      <w:bookmarkStart w:id="387" w:name="_Toc351203580"/>
      <w:bookmarkStart w:id="388" w:name="_Toc532375598"/>
      <w:bookmarkStart w:id="389" w:name="_Toc337558799"/>
      <w:bookmarkStart w:id="390" w:name="_Toc296503096"/>
      <w:bookmarkStart w:id="391" w:name="_Toc296346597"/>
      <w:r>
        <w:rPr>
          <w:rFonts w:hint="eastAsia"/>
          <w:color w:val="auto"/>
          <w:kern w:val="2"/>
          <w:sz w:val="21"/>
          <w:szCs w:val="21"/>
          <w:highlight w:val="none"/>
        </w:rPr>
        <w:t>12. 合同价格、计量与支付</w:t>
      </w:r>
      <w:bookmarkEnd w:id="386"/>
      <w:bookmarkEnd w:id="387"/>
      <w:bookmarkEnd w:id="388"/>
    </w:p>
    <w:bookmarkEnd w:id="389"/>
    <w:p>
      <w:pPr>
        <w:pStyle w:val="6"/>
        <w:spacing w:before="0" w:beforeAutospacing="0" w:after="0" w:afterAutospacing="0" w:line="360" w:lineRule="auto"/>
        <w:ind w:firstLine="422" w:firstLineChars="200"/>
        <w:rPr>
          <w:color w:val="auto"/>
          <w:sz w:val="21"/>
          <w:szCs w:val="21"/>
          <w:highlight w:val="none"/>
        </w:rPr>
      </w:pPr>
      <w:bookmarkStart w:id="392" w:name="_Toc532377267"/>
      <w:bookmarkStart w:id="393" w:name="_Toc351203581"/>
      <w:bookmarkStart w:id="394" w:name="_Toc337558800"/>
      <w:r>
        <w:rPr>
          <w:rFonts w:hint="eastAsia"/>
          <w:color w:val="auto"/>
          <w:sz w:val="21"/>
          <w:szCs w:val="21"/>
          <w:highlight w:val="none"/>
        </w:rPr>
        <w:t>12.1 合同价</w:t>
      </w:r>
      <w:bookmarkEnd w:id="390"/>
      <w:bookmarkEnd w:id="391"/>
      <w:r>
        <w:rPr>
          <w:rFonts w:hint="eastAsia"/>
          <w:color w:val="auto"/>
          <w:sz w:val="21"/>
          <w:szCs w:val="21"/>
          <w:highlight w:val="none"/>
        </w:rPr>
        <w:t>格形式</w:t>
      </w:r>
      <w:bookmarkEnd w:id="392"/>
      <w:bookmarkEnd w:id="393"/>
    </w:p>
    <w:bookmarkEnd w:id="394"/>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 xml:space="preserve">发包人和承包人应在合同协议书中选择下列一种合同价格形式： </w:t>
      </w:r>
    </w:p>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1.单价合同</w:t>
      </w:r>
    </w:p>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单价合同是指合同当事人约定以工程量清单及其综合单价进行合同价格计算、调整和确认的建设工程施工合同，在约定的范围内合同单价不作调整。合同当事人应在专用合同条款中约定综合单价包含的风险范围和风险费用的计算方法，并约定风险范围以外的合同价格的调整方法，其中因市场价格波动引起的调整按第11.1款〔市场价格波动引起的调整〕约定执行。</w:t>
      </w:r>
    </w:p>
    <w:p>
      <w:pPr>
        <w:pStyle w:val="6"/>
        <w:spacing w:before="0" w:beforeAutospacing="0" w:after="0" w:afterAutospacing="0" w:line="360" w:lineRule="auto"/>
        <w:ind w:firstLine="420" w:firstLineChars="200"/>
        <w:rPr>
          <w:b w:val="0"/>
          <w:color w:val="auto"/>
          <w:sz w:val="21"/>
          <w:szCs w:val="21"/>
          <w:highlight w:val="none"/>
        </w:rPr>
      </w:pPr>
      <w:bookmarkStart w:id="395" w:name="_Toc532377268"/>
      <w:r>
        <w:rPr>
          <w:rFonts w:hint="eastAsia"/>
          <w:b w:val="0"/>
          <w:color w:val="auto"/>
          <w:sz w:val="21"/>
          <w:szCs w:val="21"/>
          <w:highlight w:val="none"/>
        </w:rPr>
        <w:t>2.总价合同</w:t>
      </w:r>
      <w:bookmarkEnd w:id="395"/>
    </w:p>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总价合同是指合同当事人约定以施工图、已标价工程量清单或预算书及有关条件进行合同价格计算、调整和确认的建设工程施工合同，在约定的范围内合同总价不作调整。合同当事人应在专用合同条款中约定总价包含的风险范围和风险费用的计算方法，并约定风险范围以外的合同价格的调整方法，其中因市场价格波动引起的调整按第11.1款〔市场价格波动引起的调整〕、因法律变化引起的调整按第11.2款〔法律变化引起的调整〕约定执行。</w:t>
      </w:r>
    </w:p>
    <w:p>
      <w:pPr>
        <w:pStyle w:val="6"/>
        <w:spacing w:before="0" w:beforeAutospacing="0" w:after="0" w:afterAutospacing="0" w:line="360" w:lineRule="auto"/>
        <w:ind w:firstLine="420" w:firstLineChars="200"/>
        <w:rPr>
          <w:b w:val="0"/>
          <w:color w:val="auto"/>
          <w:sz w:val="21"/>
          <w:szCs w:val="21"/>
          <w:highlight w:val="none"/>
        </w:rPr>
      </w:pPr>
      <w:bookmarkStart w:id="396" w:name="_Toc532377269"/>
      <w:r>
        <w:rPr>
          <w:rFonts w:hint="eastAsia"/>
          <w:b w:val="0"/>
          <w:color w:val="auto"/>
          <w:sz w:val="21"/>
          <w:szCs w:val="21"/>
          <w:highlight w:val="none"/>
        </w:rPr>
        <w:t>3.其它价格形式</w:t>
      </w:r>
      <w:bookmarkEnd w:id="396"/>
    </w:p>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合同当事人可在专用合同条款中约定其他合同价格形式。</w:t>
      </w:r>
    </w:p>
    <w:p>
      <w:pPr>
        <w:pStyle w:val="6"/>
        <w:spacing w:before="0" w:beforeAutospacing="0" w:after="0" w:afterAutospacing="0" w:line="360" w:lineRule="auto"/>
        <w:ind w:firstLine="422" w:firstLineChars="200"/>
        <w:rPr>
          <w:color w:val="auto"/>
          <w:sz w:val="21"/>
          <w:szCs w:val="21"/>
          <w:highlight w:val="none"/>
        </w:rPr>
      </w:pPr>
      <w:bookmarkStart w:id="397" w:name="_Toc296346598"/>
      <w:bookmarkStart w:id="398" w:name="_Toc296503097"/>
      <w:bookmarkStart w:id="399" w:name="_Toc532377270"/>
      <w:bookmarkStart w:id="400" w:name="_Toc351203582"/>
      <w:bookmarkStart w:id="401" w:name="_Toc337558801"/>
      <w:r>
        <w:rPr>
          <w:rFonts w:hint="eastAsia"/>
          <w:color w:val="auto"/>
          <w:sz w:val="21"/>
          <w:szCs w:val="21"/>
          <w:highlight w:val="none"/>
        </w:rPr>
        <w:t>12.2预</w:t>
      </w:r>
      <w:bookmarkEnd w:id="397"/>
      <w:bookmarkEnd w:id="398"/>
      <w:bookmarkStart w:id="402" w:name="_Toc296346601"/>
      <w:bookmarkStart w:id="403" w:name="_Toc296503100"/>
      <w:r>
        <w:rPr>
          <w:rFonts w:hint="eastAsia"/>
          <w:color w:val="auto"/>
          <w:sz w:val="21"/>
          <w:szCs w:val="21"/>
          <w:highlight w:val="none"/>
        </w:rPr>
        <w:t>付款</w:t>
      </w:r>
      <w:bookmarkEnd w:id="399"/>
      <w:bookmarkEnd w:id="400"/>
    </w:p>
    <w:bookmarkEnd w:id="401"/>
    <w:bookmarkEnd w:id="402"/>
    <w:bookmarkEnd w:id="403"/>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12.2.1预付款的支付</w:t>
      </w:r>
    </w:p>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预付款的支付按照专用合同条款约定执行，但至迟应在开工通知载明的开工日期7天前支付。预付款应当用于材料、工程设备、施工设备的采购及修建临时工程、组织施工队伍进场等。</w:t>
      </w:r>
    </w:p>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除专用合同条款另有约定外，预付款在进度付款中同比例扣回。</w:t>
      </w:r>
      <w:bookmarkEnd w:id="380"/>
      <w:r>
        <w:rPr>
          <w:rFonts w:hint="eastAsia" w:ascii="宋体" w:hAnsi="宋体"/>
          <w:color w:val="auto"/>
          <w:kern w:val="0"/>
          <w:szCs w:val="21"/>
          <w:highlight w:val="none"/>
        </w:rPr>
        <w:t>在颁发工程接收证书前，提前解除合同的，尚未扣完的预付款应与合同价款一并结算。</w:t>
      </w:r>
    </w:p>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发包人逾期支付预付款超过7天的，承包人有权向发包人发出要求预付的催告通知，发包人收到通知后7天内仍未支付的，承包人有权暂停施工，并按第16.1.1项〔发包人违约的情形〕执行。</w:t>
      </w:r>
    </w:p>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12.2.2 预付款担保</w:t>
      </w:r>
    </w:p>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发包人要求承包人提供预付款担保的，承包人应在发包人支付预付款7天前提供预付款担保，专用合同条款另有约定除外。预付款担保可采用银行保函、担保公司担保等形式，具体由合同当事人在专用合同条款中约定。在预付款完全扣回之前，承包人应保证预付款担保持续有效。</w:t>
      </w:r>
    </w:p>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发包人在工程款中逐期扣回预付款后，预付款担保额度应相应减少，但剩余的预付款担保金额不得低于未被扣回的预付款金额。</w:t>
      </w:r>
    </w:p>
    <w:p>
      <w:pPr>
        <w:pStyle w:val="6"/>
        <w:spacing w:before="0" w:beforeAutospacing="0" w:after="0" w:afterAutospacing="0" w:line="360" w:lineRule="auto"/>
        <w:ind w:firstLine="422" w:firstLineChars="200"/>
        <w:rPr>
          <w:color w:val="auto"/>
          <w:sz w:val="21"/>
          <w:szCs w:val="21"/>
          <w:highlight w:val="none"/>
        </w:rPr>
      </w:pPr>
      <w:bookmarkStart w:id="404" w:name="_Toc532377271"/>
      <w:bookmarkStart w:id="405" w:name="_Toc351203583"/>
      <w:bookmarkStart w:id="406" w:name="_Toc337558802"/>
      <w:r>
        <w:rPr>
          <w:rFonts w:hint="eastAsia"/>
          <w:color w:val="auto"/>
          <w:sz w:val="21"/>
          <w:szCs w:val="21"/>
          <w:highlight w:val="none"/>
        </w:rPr>
        <w:t>12.3计量</w:t>
      </w:r>
      <w:bookmarkEnd w:id="404"/>
      <w:bookmarkEnd w:id="405"/>
    </w:p>
    <w:bookmarkEnd w:id="406"/>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12.3.1 计量原则</w:t>
      </w:r>
    </w:p>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工程量计量按照合同约定的工程量计算规则、图纸及变更指示等进行计量。工程量计算规则应以相关的国家标准、行业标准等为依据，由合同当事人在专用合同条款中约定。</w:t>
      </w:r>
    </w:p>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12.3.2 计量周期</w:t>
      </w:r>
    </w:p>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除专用合同条款另有约定外，工程量的计量按月进行。</w:t>
      </w:r>
    </w:p>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12.3.3 单价合同的计量</w:t>
      </w:r>
    </w:p>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除专用合同条款另有约定外，单价合同的计量按照本项约定执行：</w:t>
      </w:r>
    </w:p>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（1）承包人应于每月25日向监理人报送上月20日至当月19日已完成的工程量报告，并附具进度付款申请单、已完成工程量报表和有关资料。</w:t>
      </w:r>
    </w:p>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2）监理人应在收到承包人提交的工程量报告后7天内完成对承包人提交的工程量报表的审核并报送发包人，以确定当月实际完成的工程量。监理人对工程量有异议的，有权要求承包人进行共同复核或抽样复测。承包人应协助监理人进行复核或抽样复测，并按监理人要求提供补充计量资料。承包人未按监理人要求参加复核或抽样复测的，监理人复核或修正的工程量视为承包人实际完成的工程量。</w:t>
      </w:r>
    </w:p>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（3）监理人未在收到承包人提交的工程量报表后的7天内完成审核的，承包人报送的工程量报告中的工程量视为承包人实际完成的工程量，据此计算工程价款。</w:t>
      </w:r>
    </w:p>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12.3.4 总价合同的计量</w:t>
      </w:r>
    </w:p>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除专用合同条款另有约定外，按月计量支付的总价合同，按照本项约定执行：</w:t>
      </w:r>
    </w:p>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（1）承包人应于每月25日向监理人报送上月20日至当月19日已完成的工程量报告，并附具进度付款申请单、已完成工程量报表和有关资料。</w:t>
      </w:r>
    </w:p>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2）监理人应在收到承包人提交的工程量报告后7天内完成对承包人提交的工程量报表的审核并报送发包人，以确定当月实际完成的工程量。监理人对工程量有异议的，有权要求承包人进行共同复核或抽样复测。承包人应协助监理人进行复核或抽样复测并按监理人要求提供补充计量资料。承包人未按监理人要求参加复核或抽样复测的，监理人审核或修正的工程量视为承包人实际完成的工程量。</w:t>
      </w:r>
    </w:p>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（3）监理人未在收到承包人提交的工程量报表后的7天内完成复核的，承包人提交的工程量报告中的工程量视为承包人实际完成的工程量。</w:t>
      </w:r>
    </w:p>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12.3.5 总价合同采用支付分解表计量支付的，可以按照第12.3.4项〔总价合同的计量〕约定进行计量，但合同价款按照支付分解表进行支付。</w:t>
      </w:r>
    </w:p>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12.3.6 其他价格形式合同的计量</w:t>
      </w:r>
    </w:p>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合同当事人可在专用合同条款中约定其他价格形式合同的计量方式和程序。</w:t>
      </w:r>
    </w:p>
    <w:p>
      <w:pPr>
        <w:pStyle w:val="6"/>
        <w:spacing w:before="0" w:beforeAutospacing="0" w:after="0" w:afterAutospacing="0" w:line="360" w:lineRule="auto"/>
        <w:ind w:firstLine="422" w:firstLineChars="200"/>
        <w:rPr>
          <w:color w:val="auto"/>
          <w:sz w:val="21"/>
          <w:szCs w:val="21"/>
          <w:highlight w:val="none"/>
        </w:rPr>
      </w:pPr>
      <w:bookmarkStart w:id="407" w:name="_Toc296346602"/>
      <w:bookmarkStart w:id="408" w:name="_Toc296503101"/>
      <w:bookmarkStart w:id="409" w:name="_Toc532377272"/>
      <w:bookmarkStart w:id="410" w:name="_Toc351203584"/>
      <w:bookmarkStart w:id="411" w:name="_Toc337558803"/>
      <w:r>
        <w:rPr>
          <w:rFonts w:hint="eastAsia"/>
          <w:color w:val="auto"/>
          <w:sz w:val="21"/>
          <w:szCs w:val="21"/>
          <w:highlight w:val="none"/>
        </w:rPr>
        <w:t>12.4工程进度款支</w:t>
      </w:r>
      <w:bookmarkEnd w:id="407"/>
      <w:bookmarkEnd w:id="408"/>
      <w:r>
        <w:rPr>
          <w:rFonts w:hint="eastAsia"/>
          <w:color w:val="auto"/>
          <w:sz w:val="21"/>
          <w:szCs w:val="21"/>
          <w:highlight w:val="none"/>
        </w:rPr>
        <w:t>付</w:t>
      </w:r>
      <w:bookmarkEnd w:id="409"/>
      <w:bookmarkEnd w:id="410"/>
    </w:p>
    <w:bookmarkEnd w:id="411"/>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12.4.1 付款周期</w:t>
      </w:r>
    </w:p>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除专用合同条款另有约定外，付款周期应按照第12.3.2项〔计量周期〕的约定与计量周期保持一致。</w:t>
      </w:r>
    </w:p>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12.4.2 进度付款申请单的编制</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除专用合同条款另有约定外，进度付款申请单应包括下列内容：</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（1）截至本次付款周期已完成工作对应的金额；</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（2）根据第10条〔变更〕应增加和扣减的变更金额；</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（3）根据第12.2款〔预付款〕约定应支付的预付款和扣减的返还预付款；</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（4）根据第15.3款〔质量保证金〕约定应扣减的质量保证金；</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（5）根据第19条〔索赔〕应增加和扣减的索赔金额；</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（6）对已签发的进度款支付证书中出现错误的修正，应在本次进度付款中支付或扣除的金额；</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（7）根据合同约定应增加和扣减的其他金额。</w:t>
      </w:r>
    </w:p>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12.4.3 进度付款申请单的提交</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（1）单价合同进度付款申请单的提交</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单价合同的进度付款申请单，按照第12.3.3项〔单价合同的计量〕约定的时间按月向监理人提交，并附上已完成工程量报表和有关资料。单价合同中的总价项目按月进行支付分解，并汇总列入当期进度付款申请单。</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（2）总价合同进度付款申请单的提交</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总价合同按月计量支付的，承包人按照第12.3.4项〔总价合同的计量〕约定的时间按月向监理人提交进度付款申请单，并附上已完成工程量报表和有关资料。</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总价合同按支付分解表支付的，承包人应按照第12.4.6项〔支付分解表〕及第12.4.2项〔进度付款申请单的编制〕的约定向监理人提交进度付款申请单。</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（3）其他价格形式合同的进度付款申请单的提交</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合同当事人可在专用合同条款中约定其他价格形式合同的进度付款申请单的编制和提交程序。</w:t>
      </w:r>
    </w:p>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12.4.4 进度款审核和支付</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1）除专用合同条款另有约定外，监理人应在收到承包人进度付款申请单以及相关资料后7天内完成审查并报送发包人，发包人应在收到后7天内完成审批并签发进度款支付证书。发包人逾期未完成审批且未提出异议的，视为已签发进度款支付证书。</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发包人和监理人对承包人的进度付款申请单有异议的，有权要求承包人修正和提供补充资料，承包人应提交修正后的进度付款申请单。监理人应在收到承包人修正后的进度付款申请单及相关资料后7天内完成审查并报送发包人，发包人应在收到监理人报送的进度付款申请单及相关资料后7天内，向承包人签发无异议部分的临时进度款支付证书。存在争议的部分，按照第20条〔争议解决〕的约定处理。</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（2）除专用合同条款另有约定外，发包人应在进度款支付证书或临时进度款支付证书签发后14天内完成支付，发包人逾期支付进度款的，应按照中国人民银行发布的同期同类贷款基准利率支付违约金。</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（3）发包人签发进度款支付证书或临时进度款支付证书，不表明发包人已同意、批准或接受了承包人完成的相应部分的工作。</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12.4.5 进度付款的修正</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在对已签发的进度款支付证书进行阶段汇总和复核中发现错误、遗漏或重复的，发包人和承包人均有权提出修正申请。经发包人和承包人同意的修正，应在下期进度付款中支付或扣除。</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12.4.6 支付分解表</w:t>
      </w:r>
    </w:p>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1.支付分解表的编制要求</w:t>
      </w:r>
    </w:p>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（1）支付分解表中所列的每期付款金额，应为第12.4.2项〔进度付款申请单的编制〕第（1）目的估算金额；</w:t>
      </w:r>
    </w:p>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（2）实际进度与施工进度计划不一致的，合同当事人可按照第4.4款〔商定或确定〕修改支付分解表；</w:t>
      </w:r>
    </w:p>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（3）不采用支付分解表的，承包人应向发包人和监理人提交按季度编制的支付估算分解表，用于支付参考。</w:t>
      </w:r>
    </w:p>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2.总价合同支付分解表的编制与审批</w:t>
      </w:r>
    </w:p>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1）除专用合同条款另有约定外，承包人应根据第7.2款〔施工进度计划〕约定的施工进度计划、签约合同价和工程量等因素对总价合同按月进行分解，编制支付分解表。承包人应当在收到监理人和发包人批准的施工进度计划后7天内，将支付分解表及编制支付分解表的支持性资料报送监理人。</w:t>
      </w:r>
    </w:p>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（2）监理人应在收到支付分解表后7天内完成审核并报送发包人。发包人应在收到经监理人审核的支付分解表后7天内完成审批，经发包人批准的支付分解表为有约束力的支付分解表。</w:t>
      </w:r>
    </w:p>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（3）发包人逾期未完成支付分解表审批的，也未及时要求承包人进行修正和提供补充资料的，则承包人提交的支付分解表视为已经获得发包人批准。</w:t>
      </w:r>
    </w:p>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3.单价合同的总价项目支付分解表的编制与审批</w:t>
      </w:r>
    </w:p>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除专用合同条款另有约定外，单价合同的总价项目，由承包人根据施工进度计划和总价项目的总价构成、费用性质、计划发生时间和相应工程量等因素按月进行分解，形成支付分解表，其编制与审批参照总价合同支付分解表的编制与审批执行。</w:t>
      </w:r>
    </w:p>
    <w:p>
      <w:pPr>
        <w:pStyle w:val="6"/>
        <w:spacing w:before="0" w:beforeAutospacing="0" w:after="0" w:afterAutospacing="0" w:line="360" w:lineRule="auto"/>
        <w:ind w:firstLine="422" w:firstLineChars="200"/>
        <w:rPr>
          <w:color w:val="auto"/>
          <w:sz w:val="21"/>
          <w:szCs w:val="21"/>
          <w:highlight w:val="none"/>
        </w:rPr>
      </w:pPr>
      <w:bookmarkStart w:id="412" w:name="_Toc532377273"/>
      <w:r>
        <w:rPr>
          <w:rFonts w:hint="eastAsia"/>
          <w:color w:val="auto"/>
          <w:sz w:val="21"/>
          <w:szCs w:val="21"/>
          <w:highlight w:val="none"/>
        </w:rPr>
        <w:t>12.5支付账户</w:t>
      </w:r>
      <w:bookmarkEnd w:id="412"/>
    </w:p>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发包人应将合同价款支付至合同协议书中约定的承包人账户。</w:t>
      </w:r>
    </w:p>
    <w:p>
      <w:pPr>
        <w:pStyle w:val="5"/>
        <w:keepNext/>
        <w:keepLines/>
        <w:spacing w:before="156" w:beforeLines="50" w:beforeAutospacing="0" w:after="156" w:afterLines="50" w:afterAutospacing="0" w:line="360" w:lineRule="auto"/>
        <w:jc w:val="both"/>
        <w:rPr>
          <w:bCs w:val="0"/>
          <w:color w:val="auto"/>
          <w:kern w:val="2"/>
          <w:sz w:val="21"/>
          <w:szCs w:val="21"/>
          <w:highlight w:val="none"/>
        </w:rPr>
      </w:pPr>
      <w:bookmarkStart w:id="413" w:name="_Toc532375599"/>
      <w:bookmarkStart w:id="414" w:name="_Toc532377274"/>
      <w:bookmarkStart w:id="415" w:name="_Toc351203586"/>
      <w:bookmarkStart w:id="416" w:name="_Toc296346607"/>
      <w:bookmarkStart w:id="417" w:name="_Toc296503106"/>
      <w:bookmarkStart w:id="418" w:name="_Toc322522574"/>
      <w:bookmarkStart w:id="419" w:name="_Toc337558804"/>
      <w:r>
        <w:rPr>
          <w:rFonts w:hint="eastAsia"/>
          <w:color w:val="auto"/>
          <w:kern w:val="2"/>
          <w:sz w:val="21"/>
          <w:szCs w:val="21"/>
          <w:highlight w:val="none"/>
        </w:rPr>
        <w:t>13. 验收和工程试车</w:t>
      </w:r>
      <w:bookmarkEnd w:id="413"/>
      <w:bookmarkEnd w:id="414"/>
      <w:bookmarkEnd w:id="415"/>
    </w:p>
    <w:bookmarkEnd w:id="416"/>
    <w:bookmarkEnd w:id="417"/>
    <w:bookmarkEnd w:id="418"/>
    <w:bookmarkEnd w:id="419"/>
    <w:p>
      <w:pPr>
        <w:pStyle w:val="6"/>
        <w:spacing w:before="0" w:beforeAutospacing="0" w:after="0" w:afterAutospacing="0" w:line="360" w:lineRule="auto"/>
        <w:ind w:firstLine="422" w:firstLineChars="200"/>
        <w:rPr>
          <w:color w:val="auto"/>
          <w:sz w:val="21"/>
          <w:szCs w:val="21"/>
          <w:highlight w:val="none"/>
        </w:rPr>
      </w:pPr>
      <w:bookmarkStart w:id="420" w:name="_Toc532377275"/>
      <w:bookmarkStart w:id="421" w:name="_Toc351203587"/>
      <w:bookmarkStart w:id="422" w:name="_Toc337558805"/>
      <w:bookmarkStart w:id="423" w:name="_Toc296346611"/>
      <w:bookmarkStart w:id="424" w:name="_Toc296503110"/>
      <w:r>
        <w:rPr>
          <w:rFonts w:hint="eastAsia"/>
          <w:color w:val="auto"/>
          <w:sz w:val="21"/>
          <w:szCs w:val="21"/>
          <w:highlight w:val="none"/>
        </w:rPr>
        <w:t>13.1分部分项工程验收</w:t>
      </w:r>
      <w:bookmarkEnd w:id="420"/>
      <w:bookmarkEnd w:id="421"/>
    </w:p>
    <w:bookmarkEnd w:id="422"/>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13.1.1 分部分项工程质量应符合国家有关工程施工验收规范、标准及合同约定，承包人应按照施工组织设计的要求完成分部分项工程施工。</w:t>
      </w:r>
    </w:p>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13.1.2 除专用合同条款另有约定外，分部分项工程经承包人自检合格并具备验收条件的，承包人应提前48小时通知监理人进行验收。监理人不能按时进行验收的，应在验收前24小时向承包人提交书面延期要求，但延期不能超过48小时。监理人未按时进行验收，也未提出延期要求的，承包人有权自行验收，监理人应认可验收结果。分部分项工程未经验收的，不得进入下一道工序施工。</w:t>
      </w:r>
    </w:p>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分部分项工程的验收资料应当作为竣工资料的组成部分。</w:t>
      </w:r>
    </w:p>
    <w:p>
      <w:pPr>
        <w:pStyle w:val="6"/>
        <w:spacing w:before="0" w:beforeAutospacing="0" w:after="0" w:afterAutospacing="0" w:line="360" w:lineRule="auto"/>
        <w:ind w:firstLine="422" w:firstLineChars="200"/>
        <w:rPr>
          <w:color w:val="auto"/>
          <w:sz w:val="21"/>
          <w:szCs w:val="21"/>
          <w:highlight w:val="none"/>
        </w:rPr>
      </w:pPr>
      <w:bookmarkStart w:id="425" w:name="_Toc351203588"/>
      <w:bookmarkStart w:id="426" w:name="_Toc532377276"/>
      <w:bookmarkStart w:id="427" w:name="_Toc337558806"/>
      <w:r>
        <w:rPr>
          <w:rFonts w:hint="eastAsia"/>
          <w:color w:val="auto"/>
          <w:sz w:val="21"/>
          <w:szCs w:val="21"/>
          <w:highlight w:val="none"/>
        </w:rPr>
        <w:t>13.2竣工验收</w:t>
      </w:r>
      <w:bookmarkEnd w:id="425"/>
      <w:bookmarkEnd w:id="426"/>
    </w:p>
    <w:bookmarkEnd w:id="423"/>
    <w:bookmarkEnd w:id="424"/>
    <w:bookmarkEnd w:id="427"/>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13.2.1竣工验收条件</w:t>
      </w:r>
    </w:p>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工程具备以下条件的，承包人可以申请竣工验收：</w:t>
      </w:r>
    </w:p>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（1）除发包人同意的甩项工作和缺陷修补工作外，合同范围内的全部工程以及有关工作，包括合同要求的试验、试运行以及检验均已完成，并符合合同要求；</w:t>
      </w:r>
    </w:p>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（2）已按合同约定编制了甩项工作和缺陷修补工作清单以及相应的施工计划；</w:t>
      </w:r>
    </w:p>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（3）已按合同约定的内容和份数备齐竣工资料。</w:t>
      </w:r>
    </w:p>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13.2.2竣工验收程序</w:t>
      </w:r>
    </w:p>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除专用合同条款另有约定外，承包人申请竣工验收的，应当按照以下程序进行：</w:t>
      </w:r>
    </w:p>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1）承包人向监理人报送竣工验收申请报告，监理人应在收到竣工验收申请报告后14天内完成审查并报送发包人。监理人审查后认为尚不具备验收条件的，应通知承包人在竣工验收前承包人还需完成的工作内容，承包人应在完成监理人通知的全部工作内容后，再次提交竣工验收申请报告。</w:t>
      </w:r>
    </w:p>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（2）监理人审查后认为已具备竣工验收条件的，应将竣工验收申请报告提交发包人，发包人应在收到经监理人审核的竣工验收申请报告后28天内审批完毕并组织监理人、承包人、设计人等相关单位完成竣工验收。</w:t>
      </w:r>
    </w:p>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（3）竣工验收合格的，发包人应在验收合格后14天内向承包人签发工程接收证书。发包人无正当理由逾期不颁发工程接收证书的，自验收合格后第15天起视为已颁发工程接收证书。</w:t>
      </w:r>
    </w:p>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4）竣工验收不合格的，监理人应按照验收意见发出指示，要求承包人对不合格工程返工、修复或采取其他补救措施，由此增加的费用和（或）延误的工期由承包人承担。承包人在完成不合格工程的返工、修复或采取其他补救措施后，应重新提交竣工验收申请报告，并按本项约定的程序重新进行验收。</w:t>
      </w:r>
    </w:p>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（5）工程未经验收或验收不合格，发包人擅自使用的，应在转移占有工程后7天内向承包人颁发工程接收证书；发包人无正当理由逾期不颁发工程接收证书的，自转移占有后第15天起视为已颁发工程接收证书。</w:t>
      </w:r>
    </w:p>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除专用合同条款另有约定外，发包人不按照本项约定组织竣工验收、颁发工程接收证书的，每逾期一天，应以签约合同价为基数，按照中国人民银行发布的同期同类贷款基准利率支付违约金。</w:t>
      </w:r>
    </w:p>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13.2.3竣工日期</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工程经竣工验收合格的，以承包人提交竣工验收申请报告之日为实际竣工日期，并在工程接收证书中载明；因发包人原因，未在监理人收到承包人提交的竣工验收申请报告42天内完成竣工验收，或完成竣工验收不予签发工程接收证书的，以提交竣工验</w:t>
      </w:r>
      <w:bookmarkStart w:id="428" w:name="#go14"/>
      <w:bookmarkEnd w:id="428"/>
      <w:r>
        <w:rPr>
          <w:rFonts w:hint="eastAsia" w:ascii="宋体" w:hAnsi="宋体"/>
          <w:color w:val="auto"/>
          <w:kern w:val="0"/>
          <w:szCs w:val="21"/>
          <w:highlight w:val="none"/>
        </w:rPr>
        <w:t>收申请报告的日期为实际竣工日期；工程未经竣工验收，发包人擅自使用的，以转移占有工程之日为实际竣工日期。</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13.2.4 拒绝接收全部或部分工程</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对于竣工验收不合格的工程，承包人完成整改后，应当重新进行竣工验收，经重新组织验收仍不合格的且无法采取措施补救的，则发包人可以拒绝接收不合格工程，因不合格工程导致其他工程不能正常使用的，承包人应采取措施确保相关工程的正常使用，由此增加的费用和（或）延误的工期由承包人承担。</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13.2.5 移交、接收全部与部分工程</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除专用合同条款另有约定外，合同当事人应当在颁发工程接收证书后7天内完成工程的移交。</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发包人无正当理由不接收工程的，发包人自应当接收工程之日起，承担工程照管、成品保护、保管等与工程有关的各项费用，合同当事人可以在专用合同条款中另行约定发包人逾期接收工程的违约责任。</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承包人无正当理由不移交工程的，承包人应承担工程照管、成品保护、保管等与工程有关的各项费用，合同当事人可以在专用合同条款中另行约定承包人无正当理由不移交工程的违约责任。</w:t>
      </w:r>
    </w:p>
    <w:p>
      <w:pPr>
        <w:pStyle w:val="6"/>
        <w:spacing w:before="0" w:beforeAutospacing="0" w:after="0" w:afterAutospacing="0" w:line="360" w:lineRule="auto"/>
        <w:ind w:firstLine="422" w:firstLineChars="200"/>
        <w:rPr>
          <w:color w:val="auto"/>
          <w:sz w:val="21"/>
          <w:szCs w:val="21"/>
          <w:highlight w:val="none"/>
        </w:rPr>
      </w:pPr>
      <w:bookmarkStart w:id="429" w:name="_Toc532377277"/>
      <w:bookmarkStart w:id="430" w:name="_Toc351203589"/>
      <w:bookmarkStart w:id="431" w:name="_Toc337558807"/>
      <w:bookmarkStart w:id="432" w:name="_Toc296346612"/>
      <w:bookmarkStart w:id="433" w:name="_Toc296503111"/>
      <w:r>
        <w:rPr>
          <w:rFonts w:hint="eastAsia"/>
          <w:color w:val="auto"/>
          <w:sz w:val="21"/>
          <w:szCs w:val="21"/>
          <w:highlight w:val="none"/>
        </w:rPr>
        <w:t>13.3工程试车</w:t>
      </w:r>
      <w:bookmarkEnd w:id="429"/>
      <w:bookmarkEnd w:id="430"/>
    </w:p>
    <w:bookmarkEnd w:id="431"/>
    <w:bookmarkEnd w:id="432"/>
    <w:bookmarkEnd w:id="433"/>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13.3.1试车程序</w:t>
      </w:r>
    </w:p>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工程需要试车的，除专用合同条款另有约定外，试车内容应与承包人承包范围相一致，试车费用由承包人承担。工程试车应按如下程序进行：</w:t>
      </w:r>
    </w:p>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1）具备单机无负荷试车条件，承包人组织试车，并在试车前48小时书面通知监理人，通知中应载明试车内容、时间、地点。承包人准备试车记录，发包人根据承包人要求为试车提供必要条件。试车合格的，监理人在试车记录上签字。监理人在试车合格后不在试车记录上签字，自试车结束满24小时后视为监理人已经认可试车记录，承包人可继续施工或办理竣工验收手续。</w:t>
      </w:r>
    </w:p>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监理人不能按时参加试车，应在试车前24小时以书面形式向承包人提出延期要求，但延期不能超过48小时，由此导致工期延误的，工期应予以顺延。监理人未能在前述期限内提出延期要求，又不参加试车的，视为认可试车记录。</w:t>
      </w:r>
    </w:p>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2）具备无负荷联动试车条件，发包人组织试车，并在试车前48小时以书面形式通知承包人。通知中应载明试车内容、时间、地点和对承包人的要求，承包人按要求做好准备工作。试车合格，合同当事人在试车记录上签字。承包人无正当理由不参加试车的，视为认可试车记录。</w:t>
      </w:r>
    </w:p>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13.3.2 试车中的责任</w:t>
      </w:r>
    </w:p>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因设计原因导致试车达不到验收要求，发包人应要求设计人修改设计，承包人按修改后的设计重新安装。发包人承担修改设计、拆除及重新安装的全部费用，工期相应顺延。因承包人原因导致试车达不到验收要求，承包人按监理</w:t>
      </w:r>
      <w:bookmarkStart w:id="1481" w:name="_GoBack"/>
      <w:bookmarkEnd w:id="1481"/>
      <w:r>
        <w:rPr>
          <w:rFonts w:hint="eastAsia" w:ascii="宋体" w:hAnsi="宋体"/>
          <w:color w:val="auto"/>
          <w:kern w:val="0"/>
          <w:szCs w:val="21"/>
          <w:highlight w:val="none"/>
        </w:rPr>
        <w:t>人要求重新安装和试车，并承担重新安装和试车的费用，工期不予顺延。</w:t>
      </w:r>
    </w:p>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因工程设备制造原因导致试车达不到验收要求的，由采购该工程设备的合同当事人负责重新购置或修理，承包人负责拆除和重新安装，由此增加的修理、重新购置、拆除及重新安装的费用及延误的工期由采购该工程设备的合同当事人承担。</w:t>
      </w:r>
    </w:p>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13.3.3 投料试车</w:t>
      </w:r>
    </w:p>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如需进行投料试车的，发包人应在工程竣工验收后组织投料试车。发包人要求在工程竣工验收前进行或需要承包人配合时，应征得承包人同意，并在专用合同条款中约定有关事项。</w:t>
      </w:r>
    </w:p>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投料试车合格的，费用由发包人承担；因承包人原因造成投料试车不合格的，承包人应按照发包人要求进行整改，由此产生的整改费用由承包人承担；非因承包人原因导致投料试车不合格的，如发包人要求承包人进行整改的，由此产生的费用由发包人承担。</w:t>
      </w:r>
    </w:p>
    <w:p>
      <w:pPr>
        <w:pStyle w:val="6"/>
        <w:spacing w:before="0" w:beforeAutospacing="0" w:after="0" w:afterAutospacing="0" w:line="360" w:lineRule="auto"/>
        <w:ind w:firstLine="422" w:firstLineChars="200"/>
        <w:rPr>
          <w:color w:val="auto"/>
          <w:sz w:val="21"/>
          <w:szCs w:val="21"/>
          <w:highlight w:val="none"/>
        </w:rPr>
      </w:pPr>
      <w:bookmarkStart w:id="434" w:name="_Toc532377278"/>
      <w:r>
        <w:rPr>
          <w:rFonts w:hint="eastAsia"/>
          <w:color w:val="auto"/>
          <w:sz w:val="21"/>
          <w:szCs w:val="21"/>
          <w:highlight w:val="none"/>
        </w:rPr>
        <w:t>13.4提前交付单位工程的验收</w:t>
      </w:r>
      <w:bookmarkEnd w:id="434"/>
    </w:p>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13.4.1 发包人需要在工程竣工前使用单位工程的，或承包人提出提前交付已经竣工的单位工程且经发包人同意的，可进行单位工程验收，验收的程序按照第13.2款〔竣工验收〕的约定进行。</w:t>
      </w:r>
    </w:p>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验收合格后，由监理人向承包人出具经发包人签认的单位工程接收证书。已签发单位工程接收证书的单位工程由发包人负责照管。单位工程的验收成果和结论作为整体工程竣工验收申请报告的附件。</w:t>
      </w:r>
    </w:p>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13.4.2 发包人要求在工程竣工前交付单位工程，由此导致承包人费用增加和（或）工期延误的，由发包人承担由此增加的费用和（或）延误的工期，并支付承包人合理的利润。</w:t>
      </w:r>
    </w:p>
    <w:p>
      <w:pPr>
        <w:pStyle w:val="6"/>
        <w:spacing w:before="0" w:beforeAutospacing="0" w:after="0" w:afterAutospacing="0" w:line="360" w:lineRule="auto"/>
        <w:ind w:firstLine="422" w:firstLineChars="200"/>
        <w:rPr>
          <w:color w:val="auto"/>
          <w:sz w:val="21"/>
          <w:szCs w:val="21"/>
          <w:highlight w:val="none"/>
        </w:rPr>
      </w:pPr>
      <w:bookmarkStart w:id="435" w:name="_Toc532377279"/>
      <w:bookmarkStart w:id="436" w:name="_Toc351203591"/>
      <w:r>
        <w:rPr>
          <w:rFonts w:hint="eastAsia"/>
          <w:color w:val="auto"/>
          <w:sz w:val="21"/>
          <w:szCs w:val="21"/>
          <w:highlight w:val="none"/>
        </w:rPr>
        <w:t>13.5 施工期运行</w:t>
      </w:r>
      <w:bookmarkEnd w:id="435"/>
      <w:bookmarkEnd w:id="436"/>
    </w:p>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13.5.1 施工期运行是指合同工程尚未全部竣工，其中某项或某几项单位工程或工程设备安装已竣工，根据专用合同条款约定，需要投入施工期运行的，经发包人按第13.4款〔提前交付单位工程的验收〕的约定验收合格，证明能确保安全后，才能在施工期投入运行。</w:t>
      </w:r>
    </w:p>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13.5.2 在施工期运行中发现工程或工程设备损坏或存在缺陷的，由承包人按第15.2款〔缺陷责任期〕约定进行修复。</w:t>
      </w:r>
    </w:p>
    <w:p>
      <w:pPr>
        <w:pStyle w:val="6"/>
        <w:spacing w:before="0" w:beforeAutospacing="0" w:after="0" w:afterAutospacing="0" w:line="360" w:lineRule="auto"/>
        <w:ind w:firstLine="422" w:firstLineChars="200"/>
        <w:rPr>
          <w:color w:val="auto"/>
          <w:sz w:val="21"/>
          <w:szCs w:val="21"/>
          <w:highlight w:val="none"/>
        </w:rPr>
      </w:pPr>
      <w:bookmarkStart w:id="437" w:name="_Toc296346613"/>
      <w:bookmarkStart w:id="438" w:name="_Toc296503112"/>
      <w:bookmarkStart w:id="439" w:name="_Toc351203592"/>
      <w:bookmarkStart w:id="440" w:name="_Toc532377280"/>
      <w:bookmarkStart w:id="441" w:name="_Toc337558809"/>
      <w:r>
        <w:rPr>
          <w:rFonts w:hint="eastAsia"/>
          <w:color w:val="auto"/>
          <w:sz w:val="21"/>
          <w:szCs w:val="21"/>
          <w:highlight w:val="none"/>
        </w:rPr>
        <w:t>13.6 竣工退</w:t>
      </w:r>
      <w:bookmarkEnd w:id="437"/>
      <w:bookmarkEnd w:id="438"/>
      <w:r>
        <w:rPr>
          <w:rFonts w:hint="eastAsia"/>
          <w:color w:val="auto"/>
          <w:sz w:val="21"/>
          <w:szCs w:val="21"/>
          <w:highlight w:val="none"/>
        </w:rPr>
        <w:t>场</w:t>
      </w:r>
      <w:bookmarkEnd w:id="439"/>
      <w:bookmarkEnd w:id="440"/>
    </w:p>
    <w:bookmarkEnd w:id="441"/>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13.6.1 竣工退场</w:t>
      </w:r>
    </w:p>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颁发工程接收证书后，承包人应按以下要求对施工现场进行清理：</w:t>
      </w:r>
    </w:p>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（1）施工现场内残留的垃圾已全部清除出场；</w:t>
      </w:r>
    </w:p>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（2）临时工程已拆除，场地已进行清理、平整或复原；</w:t>
      </w:r>
    </w:p>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（3）按合同约定应撤离的人员、承包人施工设备和剩余的材料，包括废弃的施工设备和材料，已按计划撤离施工现场；</w:t>
      </w:r>
    </w:p>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（4）施工现场周边及其附近道路、河道的施工堆积物，已全部清理；</w:t>
      </w:r>
    </w:p>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（5）施工现场其他场地清理工作已全部完成。</w:t>
      </w:r>
    </w:p>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施工现场的竣工退场费用由承包人承担。承包人应在专用合同条款约定的期限内完成竣工退场，逾期未完成的，发包人有权出售或另行处理承包人遗留的物品，由此支出的费用由承包人承担，发包人出售承包人遗留物品所得款项在扣除必要费用后应返还承包人。</w:t>
      </w:r>
    </w:p>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13.6.2 地表还原</w:t>
      </w:r>
    </w:p>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承包人应按发包人要求恢复临时占地及清理场地，承包人未按发包人的要求恢复临时占地，或者场地清理未达到合同约定要求的，发包人有权委托其他人恢复或清理，所发生的费用由承包人承担。</w:t>
      </w:r>
    </w:p>
    <w:p>
      <w:pPr>
        <w:pStyle w:val="5"/>
        <w:keepNext/>
        <w:keepLines/>
        <w:spacing w:before="156" w:beforeLines="50" w:beforeAutospacing="0" w:after="156" w:afterLines="50" w:afterAutospacing="0" w:line="360" w:lineRule="auto"/>
        <w:jc w:val="both"/>
        <w:rPr>
          <w:bCs w:val="0"/>
          <w:color w:val="auto"/>
          <w:kern w:val="2"/>
          <w:sz w:val="21"/>
          <w:szCs w:val="21"/>
          <w:highlight w:val="none"/>
        </w:rPr>
      </w:pPr>
      <w:bookmarkStart w:id="442" w:name="_Toc351203593"/>
      <w:bookmarkStart w:id="443" w:name="_Toc532377281"/>
      <w:bookmarkStart w:id="444" w:name="_Toc532375600"/>
      <w:bookmarkStart w:id="445" w:name="_Toc337558810"/>
      <w:bookmarkStart w:id="446" w:name="_Toc296346614"/>
      <w:bookmarkStart w:id="447" w:name="_Toc296503113"/>
      <w:r>
        <w:rPr>
          <w:rFonts w:hint="eastAsia"/>
          <w:color w:val="auto"/>
          <w:kern w:val="2"/>
          <w:sz w:val="21"/>
          <w:szCs w:val="21"/>
          <w:highlight w:val="none"/>
        </w:rPr>
        <w:t>14. 竣工结算</w:t>
      </w:r>
      <w:bookmarkEnd w:id="442"/>
      <w:bookmarkEnd w:id="443"/>
      <w:bookmarkEnd w:id="444"/>
    </w:p>
    <w:bookmarkEnd w:id="445"/>
    <w:p>
      <w:pPr>
        <w:pStyle w:val="6"/>
        <w:spacing w:before="0" w:beforeAutospacing="0" w:after="0" w:afterAutospacing="0" w:line="360" w:lineRule="auto"/>
        <w:ind w:firstLine="422" w:firstLineChars="200"/>
        <w:rPr>
          <w:color w:val="auto"/>
          <w:sz w:val="21"/>
          <w:szCs w:val="21"/>
          <w:highlight w:val="none"/>
        </w:rPr>
      </w:pPr>
      <w:bookmarkStart w:id="448" w:name="_Toc532377282"/>
      <w:bookmarkStart w:id="449" w:name="_Toc351203594"/>
      <w:bookmarkStart w:id="450" w:name="_Toc337558811"/>
      <w:r>
        <w:rPr>
          <w:rFonts w:hint="eastAsia"/>
          <w:color w:val="auto"/>
          <w:sz w:val="21"/>
          <w:szCs w:val="21"/>
          <w:highlight w:val="none"/>
        </w:rPr>
        <w:t>14.1 竣工结算申请</w:t>
      </w:r>
      <w:bookmarkEnd w:id="448"/>
      <w:bookmarkEnd w:id="449"/>
    </w:p>
    <w:bookmarkEnd w:id="450"/>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除专用合同条款另有约定外，承包人应在工程竣工验收合格后28天内向发包人和监理人提交竣工结算申请单，并提交完整的结算资料，有关竣工结算申请单的资料清单和份数等要求由合同当事人在专用合同条款中约定。</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除专用合同条款另有约定外，竣工结算申请单应包括以下内容：</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（1）竣工结算合同价格；</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（2）发包人已支付承包人的款项；</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 xml:space="preserve">（3）应扣留的质量保证金。已缴纳履约保证金的或提供其他工程质量担保方式的除外； </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（4）发包人应支付承包人的合同价款。</w:t>
      </w:r>
    </w:p>
    <w:p>
      <w:pPr>
        <w:pStyle w:val="6"/>
        <w:spacing w:before="0" w:beforeAutospacing="0" w:after="0" w:afterAutospacing="0" w:line="360" w:lineRule="auto"/>
        <w:ind w:firstLine="422" w:firstLineChars="200"/>
        <w:rPr>
          <w:color w:val="auto"/>
          <w:sz w:val="21"/>
          <w:szCs w:val="21"/>
          <w:highlight w:val="none"/>
        </w:rPr>
      </w:pPr>
      <w:bookmarkStart w:id="451" w:name="_Toc351203595"/>
      <w:bookmarkStart w:id="452" w:name="_Toc532377283"/>
      <w:bookmarkStart w:id="453" w:name="_Toc337558812"/>
      <w:r>
        <w:rPr>
          <w:rFonts w:hint="eastAsia"/>
          <w:color w:val="auto"/>
          <w:sz w:val="21"/>
          <w:szCs w:val="21"/>
          <w:highlight w:val="none"/>
        </w:rPr>
        <w:t>14.2 竣工结算审核</w:t>
      </w:r>
      <w:bookmarkEnd w:id="451"/>
      <w:bookmarkEnd w:id="452"/>
    </w:p>
    <w:bookmarkEnd w:id="453"/>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1）除专用合同条款另有约定外，监理人应在收到竣工结算申请单后14天内完成核查并报送发包人。发包人应在收到监理人提交的经审核的竣工结算申请单后14天内完成审批，并由监理人向承包人签发经发包人签认的竣工付款证书。监理人或发包人对竣工结算申请单有异议的，有权要求承包人进行修正和提供补充资料，承包人应提交修正后的竣工结算申请单。</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发包人在收到承包人提交竣工结算申请书后28天内未完成审批且未提出异议的，视为发包人认可承包人提交的竣工结算申请单，并自发包人收到承包人提交的竣工结算申请单后第29天起视为已签发竣工付款证书。</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（2）除专用合同条款另有约定外，发包人应在签发竣工付款证书后的14 天内，完成对承包人的竣工付款。发包人逾期支付的，按照中国人民银行发布的同期同类贷款基准利率支付违约金；逾期支付超过56天的，按照中国人民银行发布的同期同类贷款基准利率的两倍支付违约金。</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3）承包人对发包人签认的竣工付款证书有异议的，对于有异议部分应在收到发包人签认的竣工付款证书后7天内提出异议，并由合同当事人按照专用合同条款约定的方式和程序进行复核，或按照第20条〔争议解决〕约定处理。对于无异议部分，发包人应签发临时竣工付款证书，并按本款第（2）项完成付款。承包人逾期未提出异议的，视为认可发包人的审批结果。</w:t>
      </w:r>
    </w:p>
    <w:p>
      <w:pPr>
        <w:pStyle w:val="6"/>
        <w:spacing w:before="0" w:beforeAutospacing="0" w:after="0" w:afterAutospacing="0" w:line="360" w:lineRule="auto"/>
        <w:ind w:firstLine="422" w:firstLineChars="200"/>
        <w:rPr>
          <w:color w:val="auto"/>
          <w:sz w:val="21"/>
          <w:szCs w:val="21"/>
          <w:highlight w:val="none"/>
        </w:rPr>
      </w:pPr>
      <w:bookmarkStart w:id="454" w:name="_Toc351203596"/>
      <w:bookmarkStart w:id="455" w:name="_Toc532377284"/>
      <w:bookmarkStart w:id="456" w:name="_Toc337558813"/>
      <w:r>
        <w:rPr>
          <w:rFonts w:hint="eastAsia"/>
          <w:color w:val="auto"/>
          <w:sz w:val="21"/>
          <w:szCs w:val="21"/>
          <w:highlight w:val="none"/>
        </w:rPr>
        <w:t>14.3 甩项竣工协议</w:t>
      </w:r>
      <w:bookmarkEnd w:id="454"/>
      <w:bookmarkEnd w:id="455"/>
    </w:p>
    <w:bookmarkEnd w:id="456"/>
    <w:p>
      <w:pPr>
        <w:autoSpaceDE w:val="0"/>
        <w:autoSpaceDN w:val="0"/>
        <w:spacing w:line="360" w:lineRule="auto"/>
        <w:ind w:firstLine="411" w:firstLineChars="196"/>
        <w:jc w:val="left"/>
        <w:rPr>
          <w:rFonts w:ascii="宋体" w:hAnsi="宋体"/>
          <w:color w:val="auto"/>
          <w:kern w:val="0"/>
          <w:szCs w:val="21"/>
          <w:highlight w:val="none"/>
        </w:rPr>
      </w:pPr>
      <w:r>
        <w:rPr>
          <w:rFonts w:hint="eastAsia" w:ascii="宋体" w:hAnsi="宋体"/>
          <w:color w:val="auto"/>
          <w:kern w:val="0"/>
          <w:szCs w:val="21"/>
          <w:highlight w:val="none"/>
        </w:rPr>
        <w:t>发包人要求甩项竣工的，合同当事人应签订甩项竣工协议。在甩项竣工协议中应明确，合同当事人按照第14.1款〔竣工结算申请〕及14.2款〔竣工结算审核〕的约定，对已完合格工程进行结算，并支付相应合同价款。</w:t>
      </w:r>
    </w:p>
    <w:p>
      <w:pPr>
        <w:pStyle w:val="6"/>
        <w:spacing w:before="0" w:beforeAutospacing="0" w:after="0" w:afterAutospacing="0" w:line="360" w:lineRule="auto"/>
        <w:ind w:firstLine="422" w:firstLineChars="200"/>
        <w:rPr>
          <w:color w:val="auto"/>
          <w:sz w:val="21"/>
          <w:szCs w:val="21"/>
          <w:highlight w:val="none"/>
        </w:rPr>
      </w:pPr>
      <w:bookmarkStart w:id="457" w:name="_Toc532377285"/>
      <w:bookmarkStart w:id="458" w:name="_Toc351203597"/>
      <w:bookmarkStart w:id="459" w:name="_Toc337558814"/>
      <w:r>
        <w:rPr>
          <w:rFonts w:hint="eastAsia"/>
          <w:color w:val="auto"/>
          <w:sz w:val="21"/>
          <w:szCs w:val="21"/>
          <w:highlight w:val="none"/>
        </w:rPr>
        <w:t>14.4 最终结清</w:t>
      </w:r>
      <w:bookmarkEnd w:id="457"/>
      <w:bookmarkEnd w:id="458"/>
    </w:p>
    <w:bookmarkEnd w:id="459"/>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14.4.1 最终结清申请单</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（1）除专用合同条款另有约定外，承包人应在缺陷责任期终止证书颁发后7天内，按专用合同条款约定的份数向发包人提交最终结清申请单，并提供相关证明材料。</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除专用合同条款另有约定外，最终结清申请单应列明质量保证金、应扣除的质量保证金、缺陷责任期内发生的增减费用。</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（2）发包人对最终结清申请单内容有异议的，有权要求承包人进行修正和提供补充资料，承包人应向发包人提交修正后的最终结清申请单。</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14.4.2 最终结清证书和支付</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1）除专用合同条款另有约定外，发包人应在收到承包人提交的最终结清申请单后14天内完成审批并向承包人颁发最终结清证书。发包人逾期未完成审批，又未提出修改意见的，视为发包人同意承包人提交的最终结清申请单，且自发包人收到承包人提交的最终结清申请单后15天起视为已颁发最终结清证书。</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2）除专用合同条款另有约定外，发包人应在颁发最终结清证书后7天内完成支付。发包人逾期支付的，按照中国人民银行发布的同期同类贷款基准利率支付违约金；逾期支付超过56天的，按照中国人民银行发布的同期同类贷款基准利率的两倍支付违约金。</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（3）承包人对发包人颁发的最终结清证书有异议的，按第20条〔争议解决〕的约定办理。</w:t>
      </w:r>
    </w:p>
    <w:p>
      <w:pPr>
        <w:pStyle w:val="5"/>
        <w:keepNext/>
        <w:keepLines/>
        <w:spacing w:before="156" w:beforeLines="50" w:beforeAutospacing="0" w:after="156" w:afterLines="50" w:afterAutospacing="0" w:line="360" w:lineRule="auto"/>
        <w:jc w:val="both"/>
        <w:rPr>
          <w:bCs w:val="0"/>
          <w:color w:val="auto"/>
          <w:kern w:val="2"/>
          <w:sz w:val="21"/>
          <w:szCs w:val="21"/>
          <w:highlight w:val="none"/>
        </w:rPr>
      </w:pPr>
      <w:bookmarkStart w:id="460" w:name="_Toc532375601"/>
      <w:bookmarkStart w:id="461" w:name="_Toc532377286"/>
      <w:bookmarkStart w:id="462" w:name="_Toc351203598"/>
      <w:bookmarkStart w:id="463" w:name="_Toc337558815"/>
      <w:r>
        <w:rPr>
          <w:rFonts w:hint="eastAsia"/>
          <w:color w:val="auto"/>
          <w:kern w:val="2"/>
          <w:sz w:val="21"/>
          <w:szCs w:val="21"/>
          <w:highlight w:val="none"/>
        </w:rPr>
        <w:t>15. 缺陷责任与保修</w:t>
      </w:r>
      <w:bookmarkEnd w:id="460"/>
      <w:bookmarkEnd w:id="461"/>
      <w:bookmarkEnd w:id="462"/>
    </w:p>
    <w:bookmarkEnd w:id="446"/>
    <w:bookmarkEnd w:id="447"/>
    <w:bookmarkEnd w:id="463"/>
    <w:p>
      <w:pPr>
        <w:pStyle w:val="6"/>
        <w:spacing w:before="0" w:beforeAutospacing="0" w:after="0" w:afterAutospacing="0" w:line="360" w:lineRule="auto"/>
        <w:ind w:firstLine="422" w:firstLineChars="200"/>
        <w:rPr>
          <w:color w:val="auto"/>
          <w:sz w:val="21"/>
          <w:szCs w:val="21"/>
          <w:highlight w:val="none"/>
        </w:rPr>
      </w:pPr>
      <w:bookmarkStart w:id="464" w:name="_Toc351203599"/>
      <w:bookmarkStart w:id="465" w:name="_Toc532377287"/>
      <w:bookmarkStart w:id="466" w:name="_Toc337558816"/>
      <w:bookmarkStart w:id="467" w:name="_Toc296346615"/>
      <w:bookmarkStart w:id="468" w:name="_Toc296503114"/>
      <w:r>
        <w:rPr>
          <w:rFonts w:hint="eastAsia"/>
          <w:color w:val="auto"/>
          <w:sz w:val="21"/>
          <w:szCs w:val="21"/>
          <w:highlight w:val="none"/>
        </w:rPr>
        <w:t>15.1 工程保修的原则</w:t>
      </w:r>
      <w:bookmarkEnd w:id="464"/>
      <w:bookmarkEnd w:id="465"/>
    </w:p>
    <w:bookmarkEnd w:id="466"/>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在工程移交发包人后，因承包人原因产生的质量缺陷，承包人应承担质量缺陷责任和保修义务。缺陷责任期届满，承包人仍应按合同约定的工程各部位保修年限承担保修义务。</w:t>
      </w:r>
    </w:p>
    <w:p>
      <w:pPr>
        <w:pStyle w:val="6"/>
        <w:spacing w:before="0" w:beforeAutospacing="0" w:after="0" w:afterAutospacing="0" w:line="360" w:lineRule="auto"/>
        <w:ind w:firstLine="422" w:firstLineChars="200"/>
        <w:rPr>
          <w:color w:val="auto"/>
          <w:sz w:val="21"/>
          <w:szCs w:val="21"/>
          <w:highlight w:val="none"/>
        </w:rPr>
      </w:pPr>
      <w:bookmarkStart w:id="469" w:name="_Toc532377288"/>
      <w:bookmarkStart w:id="470" w:name="_Toc351203600"/>
      <w:bookmarkStart w:id="471" w:name="_Toc337558817"/>
      <w:r>
        <w:rPr>
          <w:rFonts w:hint="eastAsia"/>
          <w:color w:val="auto"/>
          <w:sz w:val="21"/>
          <w:szCs w:val="21"/>
          <w:highlight w:val="none"/>
        </w:rPr>
        <w:t>15.2 缺陷责任期</w:t>
      </w:r>
      <w:bookmarkEnd w:id="467"/>
      <w:bookmarkEnd w:id="468"/>
      <w:bookmarkEnd w:id="469"/>
      <w:bookmarkEnd w:id="470"/>
    </w:p>
    <w:bookmarkEnd w:id="471"/>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15.2.1 缺陷责任期从工程通过竣工验收之日起计算，合同当事人应在专用合同条款约定缺陷责任期的具体期限，但该期限最长不超过24个月。</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单位工程先于全部工程进行验收，经验收合格并交付使用的，该单位工程缺陷责任期自单位工程验收合格之日起算。因承包人原因导致工程无法按合同约定期限进行竣工验收的，缺陷责任期从实际通过竣工验收之日起计算。因发包人原因导致工程无法按合同约定期限进行竣工验收的，在承包人提交竣工验收报告90天后，工程自动进入缺陷责任期；发包人未经竣工验收擅自使用工程的，缺陷责任期自工程转移占有之日起开始计算。</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15.2.2缺陷责任期内，由承包人原因造成的缺陷，承包人应负责维修，并承担鉴定及维修费用。如承包人不维修也不承担费用，发包人可按合同约定从保证金或银行保函中扣除，费用超出保证金额的，发包人可按合同约定向承包人进行索赔。承包人维修并承担相应费用后，不免除对工程的损失赔偿责任。发包人有权要求承包人延长缺陷责任期，并应在原缺陷责任期届满前发出延长通知。但缺陷责任期（含延长部分）最长不能超过24个月。</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由他人原因造成的缺陷，发包人负责组织维修，承包人不承担费用，且发包人不得从保证金中扣除费用。</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15.2.3 任何一项缺陷或损坏修复后，经检查证明其影响了工程或工程设备的使用性能，承包人应重新进行合同约定的试验和试运行，试验和试运行的全部费用应由责任方承担。</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15.2.4 除专用合同条款另有约定外，承包人应于缺陷责任期届满后7天内向发包人发出缺陷责任期届满通知，发包人应在收到缺陷责任期满通知后14天内核实承包人是否履行缺陷修复义务，承包人未能履行缺陷修复义务的，发包人有权扣除相应金额的维修费用。发包人应在收到缺陷责任期届满通知后14天内，向承包人颁发缺陷责任期终止证书。</w:t>
      </w:r>
    </w:p>
    <w:p>
      <w:pPr>
        <w:pStyle w:val="6"/>
        <w:spacing w:before="0" w:beforeAutospacing="0" w:after="0" w:afterAutospacing="0" w:line="360" w:lineRule="auto"/>
        <w:ind w:firstLine="422" w:firstLineChars="200"/>
        <w:rPr>
          <w:color w:val="auto"/>
          <w:sz w:val="21"/>
          <w:szCs w:val="21"/>
          <w:highlight w:val="none"/>
        </w:rPr>
      </w:pPr>
      <w:bookmarkStart w:id="472" w:name="_Toc351203601"/>
      <w:bookmarkStart w:id="473" w:name="_Toc532377289"/>
      <w:bookmarkStart w:id="474" w:name="_Toc337558818"/>
      <w:bookmarkStart w:id="475" w:name="_Toc296503115"/>
      <w:bookmarkStart w:id="476" w:name="_Toc296346616"/>
      <w:r>
        <w:rPr>
          <w:rFonts w:hint="eastAsia"/>
          <w:color w:val="auto"/>
          <w:sz w:val="21"/>
          <w:szCs w:val="21"/>
          <w:highlight w:val="none"/>
        </w:rPr>
        <w:t>15.3 质量保证金</w:t>
      </w:r>
      <w:bookmarkEnd w:id="472"/>
      <w:bookmarkEnd w:id="473"/>
    </w:p>
    <w:bookmarkEnd w:id="474"/>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经合同当事人协商一致扣留质量保证金的，应在专用合同条款中予以明确。</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在工程项目竣工前，承包人已经提供履约担保的，发包人不得同时预留工程质量保证金。</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15.3.1 承包人提供质量保证金的方式</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承包人提供质量保证金有以下三种方式：</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（1）质量保证金保函；</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（2）相应比例的工程款；</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（3）双方约定的其他方式。</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除专用合同条款另有约定外，质量保证金原则上采用上述第（1）种方式。</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15.3.2 质量保证金的扣留</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质量保证金的扣留有以下三种方式：</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（1）在支付工程进度款时逐次扣留，在此情形下，质量保证金的计算基数不包括预付款的支付、扣回以及价格调整的金额；</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（2）工</w:t>
      </w:r>
      <w:bookmarkStart w:id="477" w:name="#go6"/>
      <w:bookmarkEnd w:id="477"/>
      <w:r>
        <w:rPr>
          <w:rFonts w:hint="eastAsia" w:ascii="宋体" w:hAnsi="宋体"/>
          <w:color w:val="auto"/>
          <w:kern w:val="0"/>
          <w:szCs w:val="21"/>
          <w:highlight w:val="none"/>
        </w:rPr>
        <w:t>程竣工结算时一次性扣留质量保证金；</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（3）双方约定的其他扣留方式。</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除专用合同条款另有约定外，质量保证金的扣留原则上采用上述第（1）种方式。</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发</w:t>
      </w:r>
      <w:bookmarkStart w:id="478" w:name="#go4"/>
      <w:bookmarkEnd w:id="478"/>
      <w:r>
        <w:rPr>
          <w:rFonts w:hint="eastAsia" w:ascii="宋体" w:hAnsi="宋体"/>
          <w:color w:val="auto"/>
          <w:kern w:val="0"/>
          <w:szCs w:val="21"/>
          <w:highlight w:val="none"/>
        </w:rPr>
        <w:t>包人累计扣留的质量保证金不得超过工程价款结算总额的3%。如承包人在发包人签发竣工付款证书后28天内提交质量保证金保函，发包人应同时退还扣留的作为质量保证金的工程价款；保函金额不得超过工程价款结算总额的3%。</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发包人在退还质量保证金的同时按照中国人民银行发布的同期同类贷款基准利率支付利息。</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15.3.3 质量保证金的退还</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缺陷责任期内，承包人认真履行合同约定的责任，到期后，承包人可向发包人申请返还保证金。</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发包人在接到承包人返还保证金申请后，应于14天内会同承包人按照合同约定的内容进行核实。如无异议，发包人应当按照约定将保证金返还给承包人。对返还期限没有约定或者约定不明确的，发包人应当在核实后14天内将保证金返还承包人，逾期未返还的，依法承担违约责任。发包人在接到承包人返还保证金申请后14天内不予答复，经催告后14天内仍不予答复，视同认可承包人的返还保证金申请。</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发包人和承包人对保证金预留、返还以及工程维修质量、费用有争议的，按合同第20条约定的争议和纠纷解决程序处理。</w:t>
      </w:r>
    </w:p>
    <w:p>
      <w:pPr>
        <w:pStyle w:val="6"/>
        <w:spacing w:before="0" w:beforeAutospacing="0" w:after="0" w:afterAutospacing="0" w:line="360" w:lineRule="auto"/>
        <w:ind w:firstLine="422" w:firstLineChars="200"/>
        <w:rPr>
          <w:color w:val="auto"/>
          <w:sz w:val="21"/>
          <w:szCs w:val="21"/>
          <w:highlight w:val="none"/>
        </w:rPr>
      </w:pPr>
      <w:bookmarkStart w:id="479" w:name="_Toc532377290"/>
      <w:bookmarkStart w:id="480" w:name="_Toc351203602"/>
      <w:bookmarkStart w:id="481" w:name="_Toc337558819"/>
      <w:r>
        <w:rPr>
          <w:rFonts w:hint="eastAsia"/>
          <w:color w:val="auto"/>
          <w:sz w:val="21"/>
          <w:szCs w:val="21"/>
          <w:highlight w:val="none"/>
        </w:rPr>
        <w:t>15.4 保修</w:t>
      </w:r>
      <w:bookmarkEnd w:id="479"/>
      <w:bookmarkEnd w:id="480"/>
    </w:p>
    <w:bookmarkEnd w:id="475"/>
    <w:bookmarkEnd w:id="476"/>
    <w:bookmarkEnd w:id="481"/>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15.4.1保修责任</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工程保修期从工程竣工验收合格之日起算，具体分部分项工程的保修期由合同当事人在专用合同条款中约定，但不得低于法定最低保修年限。在工程保修期内，承包人应当根据有关法律规定以及合同约定承担保修责任。</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发包人未经竣工验收擅自使用工程的，保修期自转移占有之日起算。</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15.4.2 修复费用</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保修期内，修复的费用按照以下约定处理：</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（1）保修期内，因承包人原因造成工程的缺陷、损坏，承包人应负责修复，并承担修复的费用以及因工程的缺陷、损坏造成的人身伤害和财产损失；</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（2）保修期内，因发包人使用不当造成工程的缺陷、损坏，可以委托承包人修复，但发包人应承担修复的费用，并支付承包人合理利润；</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（3）因其他原因造成工程的缺陷、损坏，可以委托承包人修复，发包人应承担修复的费用，并支付承包人合理的利润，因工程的缺陷、损坏造成的人身伤害和财产损失由责任方承担。</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15.4.3 修复通知</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在保修期内，发包人在使用过程中，发现已接收的工程存在缺陷或损坏的，应书面通知承包人予以修复，但情况紧急必须立即修复缺陷或损坏的，发包人可以口头通知承包人并在口头通知后48小时内书面确认，承包人应在专用合同条款约定的合理期限内到达工程现场并修复缺陷或损坏。</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15.4.4 未能修复</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因承包人原因造成工程的缺陷或损坏，承包人拒绝维修或未能在合理期限内修复缺陷或损坏，且经发包人书面催告后仍未修复的，发包人有权自行修复或委托第三方修复，所需费用由承包人承担。但修复范围超出缺陷或损坏范围的，超出范围部分的修复费用由发包人承担。</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15.4.5 承包人出入权</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在保修期内，为了修复缺陷或损坏，承包人有权出入工程现场，除情况紧急必须立即修复缺陷或损坏外，承包人应提前24小时通知发包人进场修复的时间。承包人进入工程现场前应获得发包人同意，且不应影响发包人正常的生产经营，并应遵守发包人有关保安和保密等规定。</w:t>
      </w:r>
    </w:p>
    <w:p>
      <w:pPr>
        <w:pStyle w:val="5"/>
        <w:keepNext/>
        <w:keepLines/>
        <w:spacing w:before="156" w:beforeLines="50" w:beforeAutospacing="0" w:after="156" w:afterLines="50" w:afterAutospacing="0" w:line="360" w:lineRule="auto"/>
        <w:jc w:val="both"/>
        <w:rPr>
          <w:bCs w:val="0"/>
          <w:color w:val="auto"/>
          <w:kern w:val="2"/>
          <w:sz w:val="21"/>
          <w:szCs w:val="21"/>
          <w:highlight w:val="none"/>
        </w:rPr>
      </w:pPr>
      <w:bookmarkStart w:id="482" w:name="_Toc532377291"/>
      <w:bookmarkStart w:id="483" w:name="_Toc532375602"/>
      <w:bookmarkStart w:id="484" w:name="_Toc351203603"/>
      <w:bookmarkStart w:id="485" w:name="_Toc337558820"/>
      <w:r>
        <w:rPr>
          <w:rFonts w:hint="eastAsia"/>
          <w:color w:val="auto"/>
          <w:kern w:val="2"/>
          <w:sz w:val="21"/>
          <w:szCs w:val="21"/>
          <w:highlight w:val="none"/>
        </w:rPr>
        <w:t>16. 违约</w:t>
      </w:r>
      <w:bookmarkEnd w:id="482"/>
      <w:bookmarkEnd w:id="483"/>
      <w:bookmarkEnd w:id="484"/>
    </w:p>
    <w:bookmarkEnd w:id="485"/>
    <w:p>
      <w:pPr>
        <w:pStyle w:val="6"/>
        <w:spacing w:before="0" w:beforeAutospacing="0" w:after="0" w:afterAutospacing="0" w:line="360" w:lineRule="auto"/>
        <w:ind w:firstLine="422" w:firstLineChars="200"/>
        <w:rPr>
          <w:color w:val="auto"/>
          <w:sz w:val="21"/>
          <w:szCs w:val="21"/>
          <w:highlight w:val="none"/>
        </w:rPr>
      </w:pPr>
      <w:bookmarkStart w:id="486" w:name="_Toc296346630"/>
      <w:bookmarkStart w:id="487" w:name="_Toc296503129"/>
      <w:bookmarkStart w:id="488" w:name="_Toc351203604"/>
      <w:bookmarkStart w:id="489" w:name="_Toc532377292"/>
      <w:bookmarkStart w:id="490" w:name="_Toc337558821"/>
      <w:r>
        <w:rPr>
          <w:rFonts w:hint="eastAsia"/>
          <w:color w:val="auto"/>
          <w:sz w:val="21"/>
          <w:szCs w:val="21"/>
          <w:highlight w:val="none"/>
        </w:rPr>
        <w:t>16.1 发</w:t>
      </w:r>
      <w:bookmarkEnd w:id="486"/>
      <w:bookmarkEnd w:id="487"/>
      <w:r>
        <w:rPr>
          <w:rFonts w:hint="eastAsia"/>
          <w:color w:val="auto"/>
          <w:sz w:val="21"/>
          <w:szCs w:val="21"/>
          <w:highlight w:val="none"/>
        </w:rPr>
        <w:t>包人违约</w:t>
      </w:r>
      <w:bookmarkEnd w:id="488"/>
      <w:bookmarkEnd w:id="489"/>
    </w:p>
    <w:bookmarkEnd w:id="490"/>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16.1.1 发包人违约的情形</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在合同履行过程中发生的下列情形，属于发包人违约：</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（1）因发包人原因未能在计划开工日期前7天内下达开工通知的；</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（2）因发包人原因未能按合同约定支付合同价款的；</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（3）发包人违反第10.1款〔变更的范围〕第（2）项约定，自行实施被取消的工作或转由他人实施的；</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（4）发包人提供的材料、工程设备的规格、数量或质量不符合合同约定，或因发包人原因导致交货日期延误或交货地点变更等情况的；</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（5）因发包人违反合同约定造成暂停施工的；</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（6）发包人无正当理由没有在约定期限内发出复工指示，导致承包人无法复工的；</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（7）发包人明确表示或者以其行为表明不履行合同主要义务的；</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（8）发包人未能按照合同约定履行其他义务的。</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发包人发生除本项第（7）目以外的违约情况时，承包人可向发包人发出通知，要求发包人采取有效措施纠正违约行为。发包人收到承包人通知后28天内仍不纠正违约行为的，承包人有权暂停相应部位工程施工，并通知监理人。</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16.1.2 发包人违约的责任</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发包人应承担因其违约给承包人增加的费用和（或）延误的工期，并支付承包人合理的利润。此外，合同当事人可在专用合同条款中另行约定发包人违约责任的承担方式和计算方法。</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16.1.3 因发包人违约解除合同</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除专用合同条款另有约定外，承包人按第16.1.1项〔发包人违约的情形〕约定暂停施工满28天后，发包人仍不纠正其违约行为并致使合同目的不能实现的，或出现第16.1.1项〔发包人违约的情形〕第（7）目约定的违约情况，承包人有权解除合同，发包人应承担由此增加的费用，并支付承包人合理的利润。</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16.1.4 因发包人违约解除合同后的付款</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承包人按照本款约定解除合同的，发包人应在解除合同后28天内支付下列款项，并解除履约担保：</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（1）合同解除前所完成工作的价款；</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（2）承包人为工程施工订购并已付款的材料、工程设备和其他物品的价款；</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（3）承包人撤离施工现场以及遣散承包人人员的款项；</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（4）按照合同约定在合同解除前应支付的违约金；</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（5）按照合同约定应当支付给承包人的其他款项；</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（6）按照合同约定应退还的质量保证金；</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（7）因解除合同给承包人造成的损失。</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合同当事人未能就解除合同后的结清达成一致的，按照第20条〔争议解决〕的约定处理。</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承包人应妥善做好已完工程和与工程有关的已购材料、工程设备的保护和移交工作，并将施工设备和人员撤出施工现场，发包人应为承包人撤出提供必要条件。</w:t>
      </w:r>
    </w:p>
    <w:p>
      <w:pPr>
        <w:pStyle w:val="6"/>
        <w:spacing w:before="0" w:beforeAutospacing="0" w:after="0" w:afterAutospacing="0" w:line="360" w:lineRule="auto"/>
        <w:ind w:firstLine="422" w:firstLineChars="200"/>
        <w:rPr>
          <w:color w:val="auto"/>
          <w:sz w:val="21"/>
          <w:szCs w:val="21"/>
          <w:highlight w:val="none"/>
        </w:rPr>
      </w:pPr>
      <w:bookmarkStart w:id="491" w:name="_Toc351203605"/>
      <w:bookmarkStart w:id="492" w:name="_Toc532377293"/>
      <w:bookmarkStart w:id="493" w:name="_Toc337558822"/>
      <w:bookmarkStart w:id="494" w:name="_Toc296503131"/>
      <w:bookmarkStart w:id="495" w:name="_Toc296346632"/>
      <w:r>
        <w:rPr>
          <w:rFonts w:hint="eastAsia"/>
          <w:color w:val="auto"/>
          <w:sz w:val="21"/>
          <w:szCs w:val="21"/>
          <w:highlight w:val="none"/>
        </w:rPr>
        <w:t>16.2 承包人违约</w:t>
      </w:r>
      <w:bookmarkEnd w:id="491"/>
      <w:bookmarkEnd w:id="492"/>
    </w:p>
    <w:bookmarkEnd w:id="493"/>
    <w:bookmarkEnd w:id="494"/>
    <w:bookmarkEnd w:id="495"/>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16.2.1 承包人违约的情形</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在合同履行过程中发生的下列情形，属于承包人违约：</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（1）承包人违反合同约定进行转包或违法分包的；</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（2）承包人违反合同约定采购和使用不合格的材料和工程设备的；</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 xml:space="preserve">（3）因承包人原因导致工程质量不符合合同要求的； </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（4）承包人违反第8.9款〔材料与设备专用要求〕的约定，未经批准，私自将已按照合同约定进入施工现场的材料或设备撤离施工现场的；</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（5）承包人未能按施工进度计划及时完成合同约定的工作，造成工期延误的；</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（6）承包人在缺陷责任期及保修期内，未能在合理期限对工程缺陷进行修复，或拒绝按发包人要求进行修复的；</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（7）承包人明确表示或者以其行为表明不履行合同主要义务的；</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（8）承包人未能按照合同约定履行其他义务的。</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承包人发生除本项第（7）目约定以外的其他违约情况时，监理人可向承包人发出整改通知，要求其在指定的期限内改正。</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16.2.2 承包人违约的责任</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承包人应承担因其违约行为而增加的费用和（或）延误的工期。此外，合同当事人可在专用合同条款中另行约定承包人违约责任的承担方式和计算方法。</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16.2.3 因承包人违约解除合同</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除专用合同条款另有约定外，出现第16.2.1项〔承包人违约的情形〕第（7）目约定的违约情况时，或监理人发出整改通知后，承包人在指定的合理期限内仍不纠正违约行为并致使合同目的不能实现的，发包人有权解除合同。合同解除后，因继续完成工程的需要，发包人有权使用承包人在施工现场的材料、设备、临时工程、承包人文件和由承包人或以其名义编制的其他文件，合同当事人应在专用合同条款约定相应费用的承担方式。发包人继续使用的行为不免除或减轻承包人应承担的违约责任。</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16.2.4因承包人违约解除合同后的处理</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因承包人原因导致合同解除的，则合同当事人应在合同解除后28天内完成估价、付款和清算，并按以下约定执行：</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（1）合同解除后，按第4.4款〔商定或确定〕商定或确定承包人实际完成工作对应的合同价款，以及承包人已提供的材料、工程设备、施工设备和临时工程等的价值；</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（2）合同解除后，承包人应支付的违约金；</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（3）合同解除后，因解除合同给发包人造成的损失；</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（4）合同解除后，承包人应按照发包人要求和监理人的指示完成现场的清理和撤离；</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（5）发包人和承包人应在合同解除后进行清算，出具最终结清付款证书，结清全部款项。</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因承包人违约解除合同的，发包人有权暂停对承包人的付款，查清各项付款和已扣款项。发包人和承包人未能就合同解除后的清算和款项支付达成一致的，按照第20条〔争议解决〕的约定处理。</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16.2.5采购合同权益转让</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因承包人违约解除合同的，发包人有权要求承包人将其为实施合同而签订的材料和设备的采购合同的权益转让给发包人，承包人应在收到解除合同通知后14天内，协助发包人与采购合同的供应商达成相关的转让协议。</w:t>
      </w:r>
    </w:p>
    <w:p>
      <w:pPr>
        <w:pStyle w:val="6"/>
        <w:spacing w:before="0" w:beforeAutospacing="0" w:after="0" w:afterAutospacing="0" w:line="360" w:lineRule="auto"/>
        <w:ind w:firstLine="422" w:firstLineChars="200"/>
        <w:rPr>
          <w:color w:val="auto"/>
          <w:sz w:val="21"/>
          <w:szCs w:val="21"/>
          <w:highlight w:val="none"/>
        </w:rPr>
      </w:pPr>
      <w:bookmarkStart w:id="496" w:name="_Toc532377294"/>
      <w:bookmarkStart w:id="497" w:name="_Toc351203606"/>
      <w:r>
        <w:rPr>
          <w:rFonts w:hint="eastAsia"/>
          <w:color w:val="auto"/>
          <w:sz w:val="21"/>
          <w:szCs w:val="21"/>
          <w:highlight w:val="none"/>
        </w:rPr>
        <w:t>16.3 第三人造成的违约</w:t>
      </w:r>
      <w:bookmarkEnd w:id="496"/>
      <w:bookmarkEnd w:id="497"/>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在履行合同过程中，一方当事人因第三人的原因造成违约的，应当向对方当事人承担违约责任。一方当事人和第三人之间的纠纷，依照法律规定或者按照约定解决。</w:t>
      </w:r>
    </w:p>
    <w:p>
      <w:pPr>
        <w:pStyle w:val="5"/>
        <w:keepNext/>
        <w:keepLines/>
        <w:spacing w:before="156" w:beforeLines="50" w:beforeAutospacing="0" w:after="156" w:afterLines="50" w:afterAutospacing="0" w:line="360" w:lineRule="auto"/>
        <w:jc w:val="both"/>
        <w:rPr>
          <w:bCs w:val="0"/>
          <w:color w:val="auto"/>
          <w:kern w:val="2"/>
          <w:sz w:val="21"/>
          <w:szCs w:val="21"/>
          <w:highlight w:val="none"/>
        </w:rPr>
      </w:pPr>
      <w:bookmarkStart w:id="498" w:name="_Toc337558823"/>
      <w:bookmarkStart w:id="499" w:name="_Toc296503116"/>
      <w:bookmarkStart w:id="500" w:name="_Toc532377295"/>
      <w:bookmarkStart w:id="501" w:name="_Toc351203607"/>
      <w:bookmarkStart w:id="502" w:name="_Toc532375603"/>
      <w:bookmarkStart w:id="503" w:name="_Toc296346617"/>
      <w:r>
        <w:rPr>
          <w:rFonts w:hint="eastAsia"/>
          <w:color w:val="auto"/>
          <w:kern w:val="2"/>
          <w:sz w:val="21"/>
          <w:szCs w:val="21"/>
          <w:highlight w:val="none"/>
        </w:rPr>
        <w:t>17. 不可抗力</w:t>
      </w:r>
      <w:bookmarkEnd w:id="498"/>
      <w:bookmarkEnd w:id="499"/>
      <w:bookmarkEnd w:id="500"/>
      <w:bookmarkEnd w:id="501"/>
      <w:bookmarkEnd w:id="502"/>
      <w:bookmarkEnd w:id="503"/>
    </w:p>
    <w:p>
      <w:pPr>
        <w:pStyle w:val="6"/>
        <w:spacing w:before="0" w:beforeAutospacing="0" w:after="0" w:afterAutospacing="0" w:line="360" w:lineRule="auto"/>
        <w:ind w:firstLine="422" w:firstLineChars="200"/>
        <w:rPr>
          <w:color w:val="auto"/>
          <w:sz w:val="21"/>
          <w:szCs w:val="21"/>
          <w:highlight w:val="none"/>
        </w:rPr>
      </w:pPr>
      <w:bookmarkStart w:id="504" w:name="_Toc532377296"/>
      <w:bookmarkStart w:id="505" w:name="_Toc351203608"/>
      <w:bookmarkStart w:id="506" w:name="_Toc296346618"/>
      <w:bookmarkStart w:id="507" w:name="_Toc296503117"/>
      <w:bookmarkStart w:id="508" w:name="_Toc337558824"/>
      <w:r>
        <w:rPr>
          <w:rFonts w:hint="eastAsia"/>
          <w:color w:val="auto"/>
          <w:sz w:val="21"/>
          <w:szCs w:val="21"/>
          <w:highlight w:val="none"/>
        </w:rPr>
        <w:t>17.1 不可抗力的确认</w:t>
      </w:r>
      <w:bookmarkEnd w:id="504"/>
      <w:bookmarkEnd w:id="505"/>
    </w:p>
    <w:bookmarkEnd w:id="506"/>
    <w:bookmarkEnd w:id="507"/>
    <w:bookmarkEnd w:id="508"/>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不可抗力是指合同当事人在签订合同时不可预见，在合同履行过程中不可避免且不能克服的自然灾害和社会性突发事件，如地震、海啸、瘟疫、骚乱、戒严、暴动、战争和专用合同条款中约定的其他情形。</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不可抗力发生后，发包人和承包人应收集证明不可抗力发生及不可抗力造成损失的证据，并及时认真统计所造成的损失。合同当事人对是否属于不可抗力或其损失的意见不一致的，由监理人按第4.4款〔商定或确定〕的约定处理。发生争议时，按第20条〔争议解决〕的约定处理。</w:t>
      </w:r>
    </w:p>
    <w:p>
      <w:pPr>
        <w:pStyle w:val="6"/>
        <w:spacing w:before="0" w:beforeAutospacing="0" w:after="0" w:afterAutospacing="0" w:line="360" w:lineRule="auto"/>
        <w:ind w:firstLine="422" w:firstLineChars="200"/>
        <w:rPr>
          <w:color w:val="auto"/>
          <w:sz w:val="21"/>
          <w:szCs w:val="21"/>
          <w:highlight w:val="none"/>
        </w:rPr>
      </w:pPr>
      <w:bookmarkStart w:id="509" w:name="_Toc351203609"/>
      <w:bookmarkStart w:id="510" w:name="_Toc532377297"/>
      <w:bookmarkStart w:id="511" w:name="_Toc296346619"/>
      <w:bookmarkStart w:id="512" w:name="_Toc296503118"/>
      <w:bookmarkStart w:id="513" w:name="_Toc337558825"/>
      <w:r>
        <w:rPr>
          <w:rFonts w:hint="eastAsia"/>
          <w:color w:val="auto"/>
          <w:sz w:val="21"/>
          <w:szCs w:val="21"/>
          <w:highlight w:val="none"/>
        </w:rPr>
        <w:t>17.2 不可抗力的通知</w:t>
      </w:r>
      <w:bookmarkEnd w:id="509"/>
      <w:bookmarkEnd w:id="510"/>
    </w:p>
    <w:bookmarkEnd w:id="511"/>
    <w:bookmarkEnd w:id="512"/>
    <w:bookmarkEnd w:id="513"/>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合同一方当事人遇到不可抗力事件，使其履行合同义务受到阻碍时，应立即通知合同另一方当事人和监理人，书面说明不可抗力和受阻碍的详细情况，并提供必要的证明。</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不可抗力持续发生的，合同一方当事人应及时向合同另一方当事人和监理人提交中间报告，说明不可抗力和履行合同受阻的情况，并于不可抗力事件结束后28天内提交最终报告及有关资料。</w:t>
      </w:r>
    </w:p>
    <w:p>
      <w:pPr>
        <w:pStyle w:val="6"/>
        <w:spacing w:before="0" w:beforeAutospacing="0" w:after="0" w:afterAutospacing="0" w:line="360" w:lineRule="auto"/>
        <w:ind w:firstLine="422" w:firstLineChars="200"/>
        <w:rPr>
          <w:color w:val="auto"/>
          <w:sz w:val="21"/>
          <w:szCs w:val="21"/>
          <w:highlight w:val="none"/>
        </w:rPr>
      </w:pPr>
      <w:bookmarkStart w:id="514" w:name="_Toc532377298"/>
      <w:r>
        <w:rPr>
          <w:rFonts w:hint="eastAsia"/>
          <w:color w:val="auto"/>
          <w:sz w:val="21"/>
          <w:szCs w:val="21"/>
          <w:highlight w:val="none"/>
        </w:rPr>
        <w:t>17.3 不可抗力后果的承担</w:t>
      </w:r>
      <w:bookmarkEnd w:id="514"/>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17.3.1 不可抗力引起的后果及造成的损失由合同当事人按照法律规定及合同约定各自承担。不可抗力发生前已完成的工程应当按照合同约定进行计量支付。</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17.3.2 不可抗力导致的人员伤亡、财产损失、费用增加和（或）工期延误等后果，由合同当事人按以下原则承担：</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（1）永久工程、已运至施工现场的材料和工程设备的损坏，以及因工程损坏造成的第三人人员伤亡和财产损失由发包人承担；</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（2）承包人施工设备的损坏由承包人承担；</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（3）发包人和承包人承担各自人员伤亡和财产的损失；</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（4）因不可抗力影响承包人履行合同约定的义务，已经引起或将引起工期延误的，应当顺延工期，由此导致承包人停工的费用损失由发包人和承包人合理分担，停工期间必须支付的工人工资由发包人承担；</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（5）因不可抗力引起或将引起工期延误，发包人要求赶工的，由此增加的赶工费用由发包人承担；</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（6）承包人在停工期间按照发包人要求照管、清理和修复工程的费用由发包人承担。</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不可抗力发生后，合同当事人均应采取措施尽量避免和减少损失的扩大，任何一方当事人没有采取有效措施导致损失扩大的，应对扩大的损失承担责任。</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因合同一方迟延履行合同义务，在迟延履行期间遭遇不可抗力的，不免除其违约责任。</w:t>
      </w:r>
    </w:p>
    <w:p>
      <w:pPr>
        <w:pStyle w:val="6"/>
        <w:spacing w:before="0" w:beforeAutospacing="0" w:after="0" w:afterAutospacing="0" w:line="360" w:lineRule="auto"/>
        <w:ind w:firstLine="422" w:firstLineChars="200"/>
        <w:rPr>
          <w:color w:val="auto"/>
          <w:sz w:val="21"/>
          <w:szCs w:val="21"/>
          <w:highlight w:val="none"/>
        </w:rPr>
      </w:pPr>
      <w:bookmarkStart w:id="515" w:name="_Toc532377299"/>
      <w:bookmarkStart w:id="516" w:name="_Toc351203611"/>
      <w:bookmarkStart w:id="517" w:name="_Toc337558827"/>
      <w:r>
        <w:rPr>
          <w:rFonts w:hint="eastAsia"/>
          <w:color w:val="auto"/>
          <w:sz w:val="21"/>
          <w:szCs w:val="21"/>
          <w:highlight w:val="none"/>
        </w:rPr>
        <w:t>17.4 因不可抗力解除合同</w:t>
      </w:r>
      <w:bookmarkEnd w:id="515"/>
      <w:bookmarkEnd w:id="516"/>
    </w:p>
    <w:bookmarkEnd w:id="517"/>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因不可抗力导致合同无法履行连续超过84天或累计超过140天的，发包人和承包人均有权解除合同。合同解除后，由双方当事人按照第4.4款〔商定或确定〕商定或确定发包人应支付的款项，该款项包括：</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（1）合同解除前承包人已完成工作的价款；</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（2）承包人为工程订购的并已交付给承包人，或承包人有责任接受交付的材料、工程设备和其他物品的价款；</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（3）发包人要求承包人退货或解除订货合同而产生的费用，或因不能退货或解除合同而产生的损失；</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（4）承包人撤离施工现场以及遣散承包人人员的费用；</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（5）按照合同约定在合同解除前应支付给承包人的其他款项；</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（6）扣减承包人按照合同约定应向发包人支付的款项；</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（7）双方商定或确定的其他款项。</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除专用合同条款另有约定外，合同解除后，发包人应在商定或确定上述款项后28天内完成上述款项的支付。</w:t>
      </w:r>
    </w:p>
    <w:p>
      <w:pPr>
        <w:pStyle w:val="5"/>
        <w:keepNext/>
        <w:keepLines/>
        <w:spacing w:before="156" w:beforeLines="50" w:beforeAutospacing="0" w:after="156" w:afterLines="50" w:afterAutospacing="0" w:line="360" w:lineRule="auto"/>
        <w:jc w:val="both"/>
        <w:rPr>
          <w:bCs w:val="0"/>
          <w:color w:val="auto"/>
          <w:kern w:val="2"/>
          <w:sz w:val="21"/>
          <w:szCs w:val="21"/>
          <w:highlight w:val="none"/>
        </w:rPr>
      </w:pPr>
      <w:bookmarkStart w:id="518" w:name="_Toc532375604"/>
      <w:bookmarkStart w:id="519" w:name="_Toc532377300"/>
      <w:bookmarkStart w:id="520" w:name="_Toc351203612"/>
      <w:bookmarkStart w:id="521" w:name="_Toc296503120"/>
      <w:bookmarkStart w:id="522" w:name="_Toc296346621"/>
      <w:bookmarkStart w:id="523" w:name="_Toc337558828"/>
      <w:r>
        <w:rPr>
          <w:rFonts w:hint="eastAsia"/>
          <w:color w:val="auto"/>
          <w:kern w:val="2"/>
          <w:sz w:val="21"/>
          <w:szCs w:val="21"/>
          <w:highlight w:val="none"/>
        </w:rPr>
        <w:t>18. 保险</w:t>
      </w:r>
      <w:bookmarkEnd w:id="518"/>
      <w:bookmarkEnd w:id="519"/>
      <w:bookmarkEnd w:id="520"/>
    </w:p>
    <w:bookmarkEnd w:id="521"/>
    <w:bookmarkEnd w:id="522"/>
    <w:bookmarkEnd w:id="523"/>
    <w:p>
      <w:pPr>
        <w:pStyle w:val="6"/>
        <w:spacing w:before="0" w:beforeAutospacing="0" w:after="0" w:afterAutospacing="0" w:line="360" w:lineRule="auto"/>
        <w:ind w:firstLine="422" w:firstLineChars="200"/>
        <w:rPr>
          <w:color w:val="auto"/>
          <w:sz w:val="21"/>
          <w:szCs w:val="21"/>
          <w:highlight w:val="none"/>
        </w:rPr>
      </w:pPr>
      <w:bookmarkStart w:id="524" w:name="_Toc351203613"/>
      <w:bookmarkStart w:id="525" w:name="_Toc532377301"/>
      <w:bookmarkStart w:id="526" w:name="_Toc296503121"/>
      <w:bookmarkStart w:id="527" w:name="_Toc296346622"/>
      <w:bookmarkStart w:id="528" w:name="_Toc337558829"/>
      <w:r>
        <w:rPr>
          <w:rFonts w:hint="eastAsia"/>
          <w:color w:val="auto"/>
          <w:sz w:val="21"/>
          <w:szCs w:val="21"/>
          <w:highlight w:val="none"/>
        </w:rPr>
        <w:t>18.1 工程保险</w:t>
      </w:r>
      <w:bookmarkEnd w:id="524"/>
      <w:bookmarkEnd w:id="525"/>
    </w:p>
    <w:bookmarkEnd w:id="526"/>
    <w:bookmarkEnd w:id="527"/>
    <w:bookmarkEnd w:id="528"/>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除专用合同条款另有约定外，发包人应投保建筑工程一切险或安装工程一切险；发包人委托承包人投保的，因投保产生的保险费和其他相关费用由发包人承担。</w:t>
      </w:r>
    </w:p>
    <w:p>
      <w:pPr>
        <w:pStyle w:val="6"/>
        <w:spacing w:before="0" w:beforeAutospacing="0" w:after="0" w:afterAutospacing="0" w:line="360" w:lineRule="auto"/>
        <w:ind w:firstLine="422" w:firstLineChars="200"/>
        <w:rPr>
          <w:color w:val="auto"/>
          <w:sz w:val="21"/>
          <w:szCs w:val="21"/>
          <w:highlight w:val="none"/>
        </w:rPr>
      </w:pPr>
      <w:bookmarkStart w:id="529" w:name="_Toc351203614"/>
      <w:bookmarkStart w:id="530" w:name="_Toc532377302"/>
      <w:bookmarkStart w:id="531" w:name="_Toc296346623"/>
      <w:bookmarkStart w:id="532" w:name="_Toc337558830"/>
      <w:bookmarkStart w:id="533" w:name="_Toc296503122"/>
      <w:r>
        <w:rPr>
          <w:rFonts w:hint="eastAsia"/>
          <w:color w:val="auto"/>
          <w:sz w:val="21"/>
          <w:szCs w:val="21"/>
          <w:highlight w:val="none"/>
        </w:rPr>
        <w:t>18.2 工伤保险</w:t>
      </w:r>
      <w:bookmarkEnd w:id="529"/>
      <w:bookmarkEnd w:id="530"/>
    </w:p>
    <w:bookmarkEnd w:id="531"/>
    <w:bookmarkEnd w:id="532"/>
    <w:bookmarkEnd w:id="533"/>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18.2.1 发包人应依照法律规定参加工伤保险，并为在施工现场的全部员工办理工伤保险，缴纳工伤保险费，并要求监理人及由发包人为履行合同聘请的第三方依法参加工伤保险。</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18.2.2 承包人应依照法律规定参加工伤保险，并为其履行合同的全部员工办理工伤保险，缴纳工伤保险费，并要求分包人及由承包人为履行合同聘请的第三方依法参加工伤保险。</w:t>
      </w:r>
    </w:p>
    <w:p>
      <w:pPr>
        <w:pStyle w:val="6"/>
        <w:spacing w:before="0" w:beforeAutospacing="0" w:after="0" w:afterAutospacing="0" w:line="360" w:lineRule="auto"/>
        <w:ind w:firstLine="422" w:firstLineChars="200"/>
        <w:rPr>
          <w:color w:val="auto"/>
          <w:sz w:val="21"/>
          <w:szCs w:val="21"/>
          <w:highlight w:val="none"/>
        </w:rPr>
      </w:pPr>
      <w:bookmarkStart w:id="534" w:name="_Toc532377303"/>
      <w:bookmarkStart w:id="535" w:name="_Toc351203615"/>
      <w:bookmarkStart w:id="536" w:name="_Toc296503125"/>
      <w:bookmarkStart w:id="537" w:name="_Toc337558831"/>
      <w:bookmarkStart w:id="538" w:name="_Toc296346626"/>
      <w:r>
        <w:rPr>
          <w:rFonts w:hint="eastAsia"/>
          <w:color w:val="auto"/>
          <w:sz w:val="21"/>
          <w:szCs w:val="21"/>
          <w:highlight w:val="none"/>
        </w:rPr>
        <w:t>18.3其他保险</w:t>
      </w:r>
      <w:bookmarkEnd w:id="534"/>
      <w:bookmarkEnd w:id="535"/>
    </w:p>
    <w:bookmarkEnd w:id="536"/>
    <w:bookmarkEnd w:id="537"/>
    <w:bookmarkEnd w:id="538"/>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发包人和承包人可以为其施工现场的全部人员办理意外伤害保险并支付保险费，包括其员工及为履行合同聘请的第三方的人员，具体事项由合同当事人在专用合同条款约定。</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除专用合同条款另有约定外，承包人应为其施工设备等办理财产保险。</w:t>
      </w:r>
    </w:p>
    <w:p>
      <w:pPr>
        <w:pStyle w:val="6"/>
        <w:spacing w:before="0" w:beforeAutospacing="0" w:after="0" w:afterAutospacing="0" w:line="360" w:lineRule="auto"/>
        <w:ind w:firstLine="422" w:firstLineChars="200"/>
        <w:rPr>
          <w:color w:val="auto"/>
          <w:sz w:val="21"/>
          <w:szCs w:val="21"/>
          <w:highlight w:val="none"/>
        </w:rPr>
      </w:pPr>
      <w:bookmarkStart w:id="539" w:name="_Toc532377304"/>
      <w:bookmarkStart w:id="540" w:name="_Toc351203616"/>
      <w:r>
        <w:rPr>
          <w:rFonts w:hint="eastAsia"/>
          <w:color w:val="auto"/>
          <w:sz w:val="21"/>
          <w:szCs w:val="21"/>
          <w:highlight w:val="none"/>
        </w:rPr>
        <w:t>18.4持续保险</w:t>
      </w:r>
      <w:bookmarkEnd w:id="539"/>
      <w:bookmarkEnd w:id="540"/>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合同当事人应与保险人保持联系，使保险人能够随时了解工程实施中的变动，并确保按保险合同条款要求持续保险。</w:t>
      </w:r>
    </w:p>
    <w:p>
      <w:pPr>
        <w:pStyle w:val="6"/>
        <w:spacing w:before="0" w:beforeAutospacing="0" w:after="0" w:afterAutospacing="0" w:line="360" w:lineRule="auto"/>
        <w:ind w:firstLine="422" w:firstLineChars="200"/>
        <w:rPr>
          <w:color w:val="auto"/>
          <w:sz w:val="21"/>
          <w:szCs w:val="21"/>
          <w:highlight w:val="none"/>
        </w:rPr>
      </w:pPr>
      <w:bookmarkStart w:id="541" w:name="_Toc351203617"/>
      <w:bookmarkStart w:id="542" w:name="_Toc532377305"/>
      <w:bookmarkStart w:id="543" w:name="_Toc296346627"/>
      <w:bookmarkStart w:id="544" w:name="_Toc337558832"/>
      <w:bookmarkStart w:id="545" w:name="_Toc296503126"/>
      <w:r>
        <w:rPr>
          <w:rFonts w:hint="eastAsia"/>
          <w:color w:val="auto"/>
          <w:sz w:val="21"/>
          <w:szCs w:val="21"/>
          <w:highlight w:val="none"/>
        </w:rPr>
        <w:t>18.5 保险凭证</w:t>
      </w:r>
      <w:bookmarkEnd w:id="541"/>
      <w:bookmarkEnd w:id="542"/>
    </w:p>
    <w:bookmarkEnd w:id="543"/>
    <w:bookmarkEnd w:id="544"/>
    <w:bookmarkEnd w:id="545"/>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合同当事人应及时向另一方当事人提交其已投保的各项保险的凭证和保险单复印件。</w:t>
      </w:r>
    </w:p>
    <w:p>
      <w:pPr>
        <w:pStyle w:val="6"/>
        <w:spacing w:before="0" w:beforeAutospacing="0" w:after="0" w:afterAutospacing="0" w:line="360" w:lineRule="auto"/>
        <w:ind w:firstLine="422" w:firstLineChars="200"/>
        <w:rPr>
          <w:color w:val="auto"/>
          <w:sz w:val="21"/>
          <w:szCs w:val="21"/>
          <w:highlight w:val="none"/>
        </w:rPr>
      </w:pPr>
      <w:bookmarkStart w:id="546" w:name="_Toc532377306"/>
      <w:bookmarkStart w:id="547" w:name="_Toc351203618"/>
      <w:bookmarkStart w:id="548" w:name="_Toc296503127"/>
      <w:bookmarkStart w:id="549" w:name="_Toc337558833"/>
      <w:bookmarkStart w:id="550" w:name="_Toc296346628"/>
      <w:r>
        <w:rPr>
          <w:rFonts w:hint="eastAsia"/>
          <w:color w:val="auto"/>
          <w:sz w:val="21"/>
          <w:szCs w:val="21"/>
          <w:highlight w:val="none"/>
        </w:rPr>
        <w:t>18.6 未按约定投保的补救</w:t>
      </w:r>
      <w:bookmarkEnd w:id="546"/>
      <w:bookmarkEnd w:id="547"/>
    </w:p>
    <w:bookmarkEnd w:id="548"/>
    <w:bookmarkEnd w:id="549"/>
    <w:bookmarkEnd w:id="550"/>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18.6.1发包人未按合同约定办理保险，或未能使保险持续有效的，则承包人可代为办理，所需费用由发包人承担。发包人未按合同约定办理保险，导致未能得到足额赔偿的，由发包人负责补足。</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18.6.2承包人未按合同约定办理保险，或未能使保险持续有效的，则发包人可代为办理，所需费用由承包人承担。承包人未按合同约定办理保险，导致未能得到足额赔偿的，由承包人负责补足。</w:t>
      </w:r>
    </w:p>
    <w:p>
      <w:pPr>
        <w:pStyle w:val="6"/>
        <w:spacing w:before="0" w:beforeAutospacing="0" w:after="0" w:afterAutospacing="0" w:line="360" w:lineRule="auto"/>
        <w:ind w:firstLine="422" w:firstLineChars="200"/>
        <w:rPr>
          <w:color w:val="auto"/>
          <w:sz w:val="21"/>
          <w:szCs w:val="21"/>
          <w:highlight w:val="none"/>
        </w:rPr>
      </w:pPr>
      <w:bookmarkStart w:id="551" w:name="_Toc351203619"/>
      <w:bookmarkStart w:id="552" w:name="_Toc532377307"/>
      <w:bookmarkStart w:id="553" w:name="_Toc337558834"/>
      <w:r>
        <w:rPr>
          <w:rFonts w:hint="eastAsia"/>
          <w:color w:val="auto"/>
          <w:sz w:val="21"/>
          <w:szCs w:val="21"/>
          <w:highlight w:val="none"/>
        </w:rPr>
        <w:t>18.7 通知义务</w:t>
      </w:r>
      <w:bookmarkEnd w:id="551"/>
      <w:bookmarkEnd w:id="552"/>
    </w:p>
    <w:bookmarkEnd w:id="553"/>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除专用合同条款另有约定外，发包人变更除工伤保险之外的保险合同时，应事先征得承包人同意，并通知监理人；承包人变更除工伤保险之外的保险合同时，应事先征得发包人同意，并通知监理人。</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保险事故发生时，投保人应按照保险合同规定的条件和期限及时向保险人报告。发包人和承包人应当在知道保险事故发生后及时通知对方。</w:t>
      </w:r>
    </w:p>
    <w:p>
      <w:pPr>
        <w:pStyle w:val="5"/>
        <w:keepNext/>
        <w:keepLines/>
        <w:spacing w:before="156" w:beforeLines="50" w:beforeAutospacing="0" w:after="156" w:afterLines="50" w:afterAutospacing="0" w:line="360" w:lineRule="auto"/>
        <w:jc w:val="both"/>
        <w:rPr>
          <w:bCs w:val="0"/>
          <w:color w:val="auto"/>
          <w:kern w:val="2"/>
          <w:sz w:val="21"/>
          <w:szCs w:val="21"/>
          <w:highlight w:val="none"/>
        </w:rPr>
      </w:pPr>
      <w:bookmarkStart w:id="554" w:name="_Toc532377308"/>
      <w:bookmarkStart w:id="555" w:name="_Toc532375605"/>
      <w:r>
        <w:rPr>
          <w:rFonts w:hint="eastAsia"/>
          <w:color w:val="auto"/>
          <w:kern w:val="2"/>
          <w:sz w:val="21"/>
          <w:szCs w:val="21"/>
          <w:highlight w:val="none"/>
        </w:rPr>
        <w:t>19. 索赔</w:t>
      </w:r>
      <w:bookmarkEnd w:id="554"/>
      <w:bookmarkEnd w:id="555"/>
    </w:p>
    <w:p>
      <w:pPr>
        <w:pStyle w:val="6"/>
        <w:spacing w:before="0" w:beforeAutospacing="0" w:after="0" w:afterAutospacing="0" w:line="360" w:lineRule="auto"/>
        <w:ind w:firstLine="422" w:firstLineChars="200"/>
        <w:rPr>
          <w:color w:val="auto"/>
          <w:sz w:val="21"/>
          <w:szCs w:val="21"/>
          <w:highlight w:val="none"/>
        </w:rPr>
      </w:pPr>
      <w:bookmarkStart w:id="556" w:name="_Toc532377309"/>
      <w:r>
        <w:rPr>
          <w:rFonts w:hint="eastAsia"/>
          <w:color w:val="auto"/>
          <w:sz w:val="21"/>
          <w:szCs w:val="21"/>
          <w:highlight w:val="none"/>
        </w:rPr>
        <w:t>19.1承包人的索赔</w:t>
      </w:r>
      <w:bookmarkEnd w:id="556"/>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根据合同约定，承包人认为有权得到追加付款和（或）延长工期的，应按以下程序向发包人提出索赔：</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（1）承包人应在知道或应当知道索赔事件发生后28天内，向监理人递交索赔意向通知书，并说明发生索赔事件的事由；承包人未在前述28天内发出索赔意向通知书的，丧失要求追加付款和（或）延长工期的权利；</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（2）承包人应在发出索赔意向通知书后28天内，向监理人正式递交索赔报告；索赔报告应详细说明索赔理由以及要求追加的付款金额和（或）延长的工期，并附必要的记录和证明材料；</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（3）索赔事件具有持续影响的，承包人应按合理时间间隔继续递交延续索赔通知，说明持续影响的实际情况和记录，列出累计的追加付款金额和（或）工期延长天数；</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（4）在索赔事件影响结束后28天内，承包人应向监理人递交最终索赔报告，说明最终要求索赔的追加付款金额和（或）延长的工期，并附必要的记录和证明材料。</w:t>
      </w:r>
    </w:p>
    <w:p>
      <w:pPr>
        <w:pStyle w:val="6"/>
        <w:spacing w:before="0" w:beforeAutospacing="0" w:after="0" w:afterAutospacing="0" w:line="360" w:lineRule="auto"/>
        <w:ind w:firstLine="422" w:firstLineChars="200"/>
        <w:rPr>
          <w:color w:val="auto"/>
          <w:sz w:val="21"/>
          <w:szCs w:val="21"/>
          <w:highlight w:val="none"/>
        </w:rPr>
      </w:pPr>
      <w:bookmarkStart w:id="557" w:name="_Toc351203622"/>
      <w:bookmarkStart w:id="558" w:name="_Toc532377310"/>
      <w:bookmarkStart w:id="559" w:name="_Toc296503142"/>
      <w:bookmarkStart w:id="560" w:name="_Toc337558837"/>
      <w:bookmarkStart w:id="561" w:name="_Toc296346643"/>
      <w:r>
        <w:rPr>
          <w:rFonts w:hint="eastAsia"/>
          <w:color w:val="auto"/>
          <w:sz w:val="21"/>
          <w:szCs w:val="21"/>
          <w:highlight w:val="none"/>
        </w:rPr>
        <w:t>19.2 对承包人索赔的处理</w:t>
      </w:r>
      <w:bookmarkEnd w:id="557"/>
      <w:bookmarkEnd w:id="558"/>
    </w:p>
    <w:bookmarkEnd w:id="559"/>
    <w:bookmarkEnd w:id="560"/>
    <w:bookmarkEnd w:id="561"/>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对承包人索赔的处理如下：</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（1）监理人应在收到索赔报告后14天内完成审查并报送发包人。监理人对索赔报告存在异议的，有权要求承包人提交全部原始记录副本；</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（2）发包人应在监理人收到索赔报告或有关索赔的进一步证明材料后的28天内，由监理人向承包人出具经发包人签认的索赔处理结果。发包人逾期答复的，则视为认可承包人的索赔要求；</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（3）承包人接受索赔处理结果的，索赔款项在当期进度款中进行支付；承包人不接受索赔处理结果的，按照第20条〔争议解决〕约定处理。</w:t>
      </w:r>
    </w:p>
    <w:p>
      <w:pPr>
        <w:pStyle w:val="6"/>
        <w:spacing w:before="0" w:beforeAutospacing="0" w:after="0" w:afterAutospacing="0" w:line="360" w:lineRule="auto"/>
        <w:ind w:firstLine="422" w:firstLineChars="200"/>
        <w:rPr>
          <w:color w:val="auto"/>
          <w:sz w:val="21"/>
          <w:szCs w:val="21"/>
          <w:highlight w:val="none"/>
        </w:rPr>
      </w:pPr>
      <w:bookmarkStart w:id="562" w:name="_Toc351203623"/>
      <w:bookmarkStart w:id="563" w:name="_Toc532377311"/>
      <w:bookmarkStart w:id="564" w:name="_Toc296346644"/>
      <w:bookmarkStart w:id="565" w:name="_Toc337558838"/>
      <w:bookmarkStart w:id="566" w:name="_Toc296503143"/>
      <w:r>
        <w:rPr>
          <w:rFonts w:hint="eastAsia"/>
          <w:color w:val="auto"/>
          <w:sz w:val="21"/>
          <w:szCs w:val="21"/>
          <w:highlight w:val="none"/>
        </w:rPr>
        <w:t>19.3发包人的索赔</w:t>
      </w:r>
      <w:bookmarkEnd w:id="562"/>
      <w:bookmarkEnd w:id="563"/>
    </w:p>
    <w:bookmarkEnd w:id="564"/>
    <w:bookmarkEnd w:id="565"/>
    <w:bookmarkEnd w:id="566"/>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根据合同约定，发包人认为有权得到赔付金额和（或）延长缺陷责任期的，监理人应向承包人发出通知并附有详细的证明。</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发包人应在知道或应当知道索赔事件发生后28天内通过监理人向承包人提出索赔意向通知书，发包人未在前述28天内发出索赔意向通知书的，丧失要求赔付金额和（或）延长缺陷责任期的权利。发包人应在发出索赔意向通知书后28天内，通过监理人向承包人正式递交索赔报告。</w:t>
      </w:r>
    </w:p>
    <w:p>
      <w:pPr>
        <w:pStyle w:val="6"/>
        <w:spacing w:before="0" w:beforeAutospacing="0" w:after="0" w:afterAutospacing="0" w:line="360" w:lineRule="auto"/>
        <w:ind w:firstLine="422" w:firstLineChars="200"/>
        <w:rPr>
          <w:color w:val="auto"/>
          <w:sz w:val="21"/>
          <w:szCs w:val="21"/>
          <w:highlight w:val="none"/>
        </w:rPr>
      </w:pPr>
      <w:bookmarkStart w:id="567" w:name="_Toc532377312"/>
      <w:bookmarkStart w:id="568" w:name="_Toc351203624"/>
      <w:bookmarkStart w:id="569" w:name="_Toc296346645"/>
      <w:bookmarkStart w:id="570" w:name="_Toc337558839"/>
      <w:bookmarkStart w:id="571" w:name="_Toc296503144"/>
      <w:r>
        <w:rPr>
          <w:rFonts w:hint="eastAsia"/>
          <w:color w:val="auto"/>
          <w:sz w:val="21"/>
          <w:szCs w:val="21"/>
          <w:highlight w:val="none"/>
        </w:rPr>
        <w:t>19.4 对发包人索赔的处理</w:t>
      </w:r>
      <w:bookmarkEnd w:id="567"/>
      <w:bookmarkEnd w:id="568"/>
    </w:p>
    <w:bookmarkEnd w:id="569"/>
    <w:bookmarkEnd w:id="570"/>
    <w:bookmarkEnd w:id="571"/>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对发包人索赔的处理如下：</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（1）承包人收到发包人提交的索赔报告后，应及时审查索赔报告的内容、查验发包人证明材料；</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（2）承包人应在收到索赔报告或有关索赔的进一步证明材料后28天内，将索赔处理结果答复发包人。如果承包人未在上述期限内作出答复的，则视为对发包人索赔要求的认可；</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（3）承包人接受索赔处理结果的，发包人可从应支付给承包人的合同价款中扣除赔付的金额或延长缺陷责任期；发包人不接受索赔处理结果的，按第20条〔争议解决〕约定处理。</w:t>
      </w:r>
    </w:p>
    <w:p>
      <w:pPr>
        <w:pStyle w:val="6"/>
        <w:spacing w:before="0" w:beforeAutospacing="0" w:after="0" w:afterAutospacing="0" w:line="360" w:lineRule="auto"/>
        <w:ind w:firstLine="420" w:firstLineChars="200"/>
        <w:rPr>
          <w:b w:val="0"/>
          <w:color w:val="auto"/>
          <w:sz w:val="21"/>
          <w:szCs w:val="21"/>
          <w:highlight w:val="none"/>
        </w:rPr>
      </w:pPr>
      <w:bookmarkStart w:id="572" w:name="_Toc532377313"/>
      <w:bookmarkStart w:id="573" w:name="_Toc351203625"/>
      <w:r>
        <w:rPr>
          <w:rFonts w:hint="eastAsia"/>
          <w:b w:val="0"/>
          <w:color w:val="auto"/>
          <w:sz w:val="21"/>
          <w:szCs w:val="21"/>
          <w:highlight w:val="none"/>
        </w:rPr>
        <w:t>19.5 提出索赔的期限</w:t>
      </w:r>
      <w:bookmarkEnd w:id="572"/>
      <w:bookmarkEnd w:id="573"/>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（1）承包人按第14.2款〔竣工结算审核〕约定接收竣工付款证书后，应被视为已无权再提出在工程接收证书颁发前所发生的任何索赔。</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（2）承包人按第14.4款〔最终结清〕提交的最终结清申请单中，只限于提出工程接收证书颁发后发生的索赔。提出索赔的期限自接受最终结清证书时终止。</w:t>
      </w:r>
    </w:p>
    <w:p>
      <w:pPr>
        <w:pStyle w:val="5"/>
        <w:keepNext/>
        <w:keepLines/>
        <w:spacing w:before="156" w:beforeLines="50" w:beforeAutospacing="0" w:after="156" w:afterLines="50" w:afterAutospacing="0" w:line="360" w:lineRule="auto"/>
        <w:jc w:val="both"/>
        <w:rPr>
          <w:bCs w:val="0"/>
          <w:color w:val="auto"/>
          <w:kern w:val="2"/>
          <w:sz w:val="21"/>
          <w:szCs w:val="21"/>
          <w:highlight w:val="none"/>
        </w:rPr>
      </w:pPr>
      <w:bookmarkStart w:id="574" w:name="_Toc351203626"/>
      <w:bookmarkStart w:id="575" w:name="_Toc532375606"/>
      <w:bookmarkStart w:id="576" w:name="_Toc532377314"/>
      <w:r>
        <w:rPr>
          <w:rFonts w:hint="eastAsia"/>
          <w:color w:val="auto"/>
          <w:kern w:val="2"/>
          <w:sz w:val="21"/>
          <w:szCs w:val="21"/>
          <w:highlight w:val="none"/>
        </w:rPr>
        <w:t>20</w:t>
      </w:r>
      <w:bookmarkStart w:id="577" w:name="_Toc296503146"/>
      <w:bookmarkStart w:id="578" w:name="_Toc296346647"/>
      <w:bookmarkStart w:id="579" w:name="_Toc337558840"/>
      <w:r>
        <w:rPr>
          <w:rFonts w:hint="eastAsia"/>
          <w:color w:val="auto"/>
          <w:kern w:val="2"/>
          <w:sz w:val="21"/>
          <w:szCs w:val="21"/>
          <w:highlight w:val="none"/>
        </w:rPr>
        <w:t>. 争议解决</w:t>
      </w:r>
      <w:bookmarkEnd w:id="574"/>
      <w:bookmarkEnd w:id="575"/>
      <w:bookmarkEnd w:id="576"/>
    </w:p>
    <w:bookmarkEnd w:id="577"/>
    <w:bookmarkEnd w:id="578"/>
    <w:bookmarkEnd w:id="579"/>
    <w:p>
      <w:pPr>
        <w:pStyle w:val="6"/>
        <w:spacing w:before="0" w:beforeAutospacing="0" w:after="0" w:afterAutospacing="0" w:line="360" w:lineRule="auto"/>
        <w:ind w:firstLine="422" w:firstLineChars="200"/>
        <w:rPr>
          <w:color w:val="auto"/>
          <w:sz w:val="21"/>
          <w:szCs w:val="21"/>
          <w:highlight w:val="none"/>
        </w:rPr>
      </w:pPr>
      <w:bookmarkStart w:id="580" w:name="_Toc351203627"/>
      <w:bookmarkStart w:id="581" w:name="_Toc532377315"/>
      <w:bookmarkStart w:id="582" w:name="_Toc296503147"/>
      <w:bookmarkStart w:id="583" w:name="_Toc296346648"/>
      <w:bookmarkStart w:id="584" w:name="_Toc337558841"/>
      <w:r>
        <w:rPr>
          <w:rFonts w:hint="eastAsia"/>
          <w:color w:val="auto"/>
          <w:sz w:val="21"/>
          <w:szCs w:val="21"/>
          <w:highlight w:val="none"/>
        </w:rPr>
        <w:t>20.1和解</w:t>
      </w:r>
      <w:bookmarkEnd w:id="580"/>
      <w:bookmarkEnd w:id="581"/>
    </w:p>
    <w:bookmarkEnd w:id="582"/>
    <w:bookmarkEnd w:id="583"/>
    <w:bookmarkEnd w:id="584"/>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合同当事人可以就争议自行和解，自行和解达成协议的经双方签字并盖章后作为合同补充文件，双方均应遵照执行。</w:t>
      </w:r>
    </w:p>
    <w:p>
      <w:pPr>
        <w:pStyle w:val="6"/>
        <w:spacing w:before="0" w:beforeAutospacing="0" w:after="0" w:afterAutospacing="0" w:line="360" w:lineRule="auto"/>
        <w:ind w:firstLine="422" w:firstLineChars="200"/>
        <w:rPr>
          <w:color w:val="auto"/>
          <w:sz w:val="21"/>
          <w:szCs w:val="21"/>
          <w:highlight w:val="none"/>
        </w:rPr>
      </w:pPr>
      <w:bookmarkStart w:id="585" w:name="_Toc351203628"/>
      <w:bookmarkStart w:id="586" w:name="_Toc532377316"/>
      <w:r>
        <w:rPr>
          <w:rFonts w:hint="eastAsia"/>
          <w:color w:val="auto"/>
          <w:sz w:val="21"/>
          <w:szCs w:val="21"/>
          <w:highlight w:val="none"/>
        </w:rPr>
        <w:t>20</w:t>
      </w:r>
      <w:bookmarkStart w:id="587" w:name="_Toc337558842"/>
      <w:bookmarkStart w:id="588" w:name="_Toc296503148"/>
      <w:bookmarkStart w:id="589" w:name="_Toc296346649"/>
      <w:r>
        <w:rPr>
          <w:rFonts w:hint="eastAsia"/>
          <w:color w:val="auto"/>
          <w:sz w:val="21"/>
          <w:szCs w:val="21"/>
          <w:highlight w:val="none"/>
        </w:rPr>
        <w:t>.2调解</w:t>
      </w:r>
      <w:bookmarkEnd w:id="585"/>
      <w:bookmarkEnd w:id="586"/>
    </w:p>
    <w:bookmarkEnd w:id="587"/>
    <w:bookmarkEnd w:id="588"/>
    <w:bookmarkEnd w:id="589"/>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合同当事人可以就争议请求建设行政主管部门、行业协会或其他第三方进行调解，调解达成协议的，经双方签字并盖章后作为合同补充文件，双方均应遵照执行。</w:t>
      </w:r>
    </w:p>
    <w:p>
      <w:pPr>
        <w:pStyle w:val="6"/>
        <w:spacing w:before="0" w:beforeAutospacing="0" w:after="0" w:afterAutospacing="0" w:line="360" w:lineRule="auto"/>
        <w:ind w:firstLine="422" w:firstLineChars="200"/>
        <w:rPr>
          <w:color w:val="auto"/>
          <w:sz w:val="21"/>
          <w:szCs w:val="21"/>
          <w:highlight w:val="none"/>
        </w:rPr>
      </w:pPr>
      <w:bookmarkStart w:id="590" w:name="_Toc351203629"/>
      <w:bookmarkStart w:id="591" w:name="_Toc532377317"/>
      <w:bookmarkStart w:id="592" w:name="_Toc296503149"/>
      <w:bookmarkStart w:id="593" w:name="_Toc296346650"/>
      <w:bookmarkStart w:id="594" w:name="_Toc337558843"/>
      <w:r>
        <w:rPr>
          <w:rFonts w:hint="eastAsia"/>
          <w:color w:val="auto"/>
          <w:sz w:val="21"/>
          <w:szCs w:val="21"/>
          <w:highlight w:val="none"/>
        </w:rPr>
        <w:t>20.3争议评审</w:t>
      </w:r>
      <w:bookmarkEnd w:id="590"/>
      <w:bookmarkEnd w:id="591"/>
    </w:p>
    <w:bookmarkEnd w:id="592"/>
    <w:bookmarkEnd w:id="593"/>
    <w:bookmarkEnd w:id="594"/>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 xml:space="preserve">合同当事人在专用合同条款中约定采取争议评审方式解决争议以及评审规则，并按下列约定执行： </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20.3.1 争议评审小组的确定</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合同当事人可以共同选择一名或三名争议评审员，组成争议评审小组。除专用合同条款另有约定外，合同当事人应当自合同签订后28天内，或者争议发生后14天内，选定争议评审员。</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 xml:space="preserve">选择一名争议评审员的，由合同当事人共同确定；选择三名争议评审员的，各自选定一名，第三名成员为首席争议评审员，由合同当事人共同确定或由合同当事人委托已选定的争议评审员共同确定，或由专用合同条款约定的评审机构指定第三名首席争议评审员。 </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除专用合同条款另有约定外，评审员报酬由发包人和承包人各承担一半。</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20.3.2 争议评审小组的决定</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合同当事人可在任何时间将与合同有关的任何争议共同提请争议评审小组进行评审。争议评审小组应秉持客观、公正原则，充分听取合同当事人的意见，依据相关法律、规范、标准、案例经验及商业惯例等，自收到争议评审申请报告后14天内作出书面决定，并说明理由。合同当事人可以在专用合同条款中对本项事项另行约定。</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20.3.3 争议评审小组决定的效力</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争议评审小组作出的书面决定经合同当事人签字确认后，对双方具有约束力，双方应遵照执行。</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任何一方当事人不接受争议评审小组决定或不履行争议评审小组决定的，双方可选择采用其他争议解决方式。</w:t>
      </w:r>
    </w:p>
    <w:p>
      <w:pPr>
        <w:pStyle w:val="6"/>
        <w:spacing w:before="0" w:beforeAutospacing="0" w:after="0" w:afterAutospacing="0" w:line="360" w:lineRule="auto"/>
        <w:ind w:firstLine="422" w:firstLineChars="200"/>
        <w:rPr>
          <w:color w:val="auto"/>
          <w:sz w:val="21"/>
          <w:szCs w:val="21"/>
          <w:highlight w:val="none"/>
        </w:rPr>
      </w:pPr>
      <w:bookmarkStart w:id="595" w:name="_Toc351203630"/>
      <w:bookmarkStart w:id="596" w:name="_Toc532377318"/>
      <w:bookmarkStart w:id="597" w:name="_Toc296346651"/>
      <w:bookmarkStart w:id="598" w:name="_Toc296503150"/>
      <w:bookmarkStart w:id="599" w:name="_Toc337558844"/>
      <w:r>
        <w:rPr>
          <w:rFonts w:hint="eastAsia"/>
          <w:color w:val="auto"/>
          <w:sz w:val="21"/>
          <w:szCs w:val="21"/>
          <w:highlight w:val="none"/>
        </w:rPr>
        <w:t>20.4仲裁或诉讼</w:t>
      </w:r>
      <w:bookmarkEnd w:id="595"/>
      <w:bookmarkEnd w:id="596"/>
    </w:p>
    <w:bookmarkEnd w:id="597"/>
    <w:bookmarkEnd w:id="598"/>
    <w:bookmarkEnd w:id="599"/>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因合同及合同有关事项产生的争议，合同当事人可以在专用合同条款中约定以下一种方式解决争议：</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（1）向约定的仲裁委员会申请仲裁；</w:t>
      </w:r>
    </w:p>
    <w:p>
      <w:pPr>
        <w:autoSpaceDE w:val="0"/>
        <w:autoSpaceDN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（2）向有管辖权的人民法院起诉。</w:t>
      </w:r>
    </w:p>
    <w:p>
      <w:pPr>
        <w:pStyle w:val="6"/>
        <w:spacing w:before="0" w:beforeAutospacing="0" w:after="0" w:afterAutospacing="0" w:line="360" w:lineRule="auto"/>
        <w:ind w:firstLine="420" w:firstLineChars="200"/>
        <w:rPr>
          <w:b w:val="0"/>
          <w:color w:val="auto"/>
          <w:sz w:val="21"/>
          <w:szCs w:val="21"/>
          <w:highlight w:val="none"/>
        </w:rPr>
      </w:pPr>
      <w:bookmarkStart w:id="600" w:name="_Toc351203631"/>
      <w:bookmarkStart w:id="601" w:name="_Toc532377319"/>
      <w:bookmarkStart w:id="602" w:name="_Toc296346653"/>
      <w:bookmarkStart w:id="603" w:name="_Toc296503152"/>
      <w:bookmarkStart w:id="604" w:name="_Toc337558845"/>
      <w:r>
        <w:rPr>
          <w:rFonts w:hint="eastAsia"/>
          <w:b w:val="0"/>
          <w:color w:val="auto"/>
          <w:sz w:val="21"/>
          <w:szCs w:val="21"/>
          <w:highlight w:val="none"/>
        </w:rPr>
        <w:t>20.5争议解决条款效力</w:t>
      </w:r>
      <w:bookmarkEnd w:id="600"/>
      <w:bookmarkEnd w:id="601"/>
    </w:p>
    <w:bookmarkEnd w:id="602"/>
    <w:bookmarkEnd w:id="603"/>
    <w:bookmarkEnd w:id="604"/>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合同有关争议解决的条款独立存在，合同的变更、解除、终止、无效或者被撤销均不影响其效力。</w:t>
      </w:r>
    </w:p>
    <w:p>
      <w:pPr>
        <w:keepNext/>
        <w:keepLines/>
        <w:snapToGrid w:val="0"/>
        <w:spacing w:before="260" w:after="260" w:line="360" w:lineRule="auto"/>
        <w:outlineLvl w:val="2"/>
        <w:rPr>
          <w:rFonts w:ascii="宋体" w:hAnsi="宋体"/>
          <w:b/>
          <w:bCs/>
          <w:color w:val="auto"/>
          <w:szCs w:val="21"/>
          <w:highlight w:val="none"/>
          <w:lang w:val="zh-CN"/>
        </w:rPr>
      </w:pPr>
      <w:r>
        <w:rPr>
          <w:rFonts w:hint="eastAsia" w:ascii="宋体" w:hAnsi="宋体"/>
          <w:b/>
          <w:bCs/>
          <w:color w:val="auto"/>
          <w:szCs w:val="21"/>
          <w:highlight w:val="none"/>
          <w:lang w:val="zh-CN"/>
        </w:rPr>
        <w:br w:type="page"/>
      </w:r>
    </w:p>
    <w:p>
      <w:pPr>
        <w:pStyle w:val="4"/>
        <w:jc w:val="center"/>
        <w:rPr>
          <w:rFonts w:ascii="宋体" w:hAnsi="宋体"/>
          <w:color w:val="auto"/>
          <w:sz w:val="44"/>
          <w:szCs w:val="44"/>
          <w:highlight w:val="none"/>
        </w:rPr>
      </w:pPr>
      <w:bookmarkStart w:id="605" w:name="_Toc529388290"/>
      <w:bookmarkStart w:id="606" w:name="_Toc532375607"/>
      <w:bookmarkStart w:id="607" w:name="_Toc17694"/>
      <w:bookmarkStart w:id="608" w:name="_Toc57905909"/>
      <w:bookmarkStart w:id="609" w:name="_Toc532377320"/>
      <w:r>
        <w:rPr>
          <w:rFonts w:hint="eastAsia" w:ascii="宋体" w:hAnsi="宋体"/>
          <w:color w:val="auto"/>
          <w:sz w:val="44"/>
          <w:szCs w:val="44"/>
          <w:highlight w:val="none"/>
        </w:rPr>
        <w:t>第三部分 专用合同条款</w:t>
      </w:r>
      <w:bookmarkEnd w:id="605"/>
      <w:bookmarkEnd w:id="606"/>
      <w:bookmarkEnd w:id="607"/>
      <w:bookmarkEnd w:id="608"/>
      <w:bookmarkEnd w:id="609"/>
    </w:p>
    <w:p>
      <w:pPr>
        <w:pStyle w:val="5"/>
        <w:keepNext/>
        <w:keepLines/>
        <w:spacing w:before="156" w:beforeLines="50" w:beforeAutospacing="0" w:after="156" w:afterLines="50" w:afterAutospacing="0" w:line="360" w:lineRule="auto"/>
        <w:jc w:val="both"/>
        <w:rPr>
          <w:bCs w:val="0"/>
          <w:color w:val="auto"/>
          <w:kern w:val="2"/>
          <w:sz w:val="21"/>
          <w:szCs w:val="21"/>
          <w:highlight w:val="none"/>
        </w:rPr>
      </w:pPr>
      <w:bookmarkStart w:id="610" w:name="_Toc532375608"/>
      <w:bookmarkStart w:id="611" w:name="_Toc351203633"/>
      <w:bookmarkStart w:id="612" w:name="_Toc532377321"/>
      <w:bookmarkStart w:id="613" w:name="_Hlk528927191"/>
      <w:r>
        <w:rPr>
          <w:rFonts w:hint="eastAsia"/>
          <w:color w:val="auto"/>
          <w:kern w:val="2"/>
          <w:sz w:val="21"/>
          <w:szCs w:val="21"/>
          <w:highlight w:val="none"/>
        </w:rPr>
        <w:t>1</w:t>
      </w:r>
      <w:bookmarkStart w:id="614" w:name="_Toc296891196"/>
      <w:bookmarkStart w:id="615" w:name="_Toc292559361"/>
      <w:bookmarkStart w:id="616" w:name="_Toc292559866"/>
      <w:bookmarkStart w:id="617" w:name="_Toc296944495"/>
      <w:bookmarkStart w:id="618" w:name="_Toc296890984"/>
      <w:bookmarkStart w:id="619" w:name="_Toc297120456"/>
      <w:bookmarkStart w:id="620" w:name="_Toc296503156"/>
      <w:bookmarkStart w:id="621" w:name="_Toc296346657"/>
      <w:bookmarkStart w:id="622" w:name="_Toc297048342"/>
      <w:bookmarkStart w:id="623" w:name="_Toc296347155"/>
      <w:r>
        <w:rPr>
          <w:rFonts w:hint="eastAsia"/>
          <w:color w:val="auto"/>
          <w:kern w:val="2"/>
          <w:sz w:val="21"/>
          <w:szCs w:val="21"/>
          <w:highlight w:val="none"/>
        </w:rPr>
        <w:t>. 一般约定</w:t>
      </w:r>
      <w:bookmarkEnd w:id="610"/>
      <w:bookmarkEnd w:id="611"/>
      <w:bookmarkEnd w:id="612"/>
    </w:p>
    <w:bookmarkEnd w:id="614"/>
    <w:bookmarkEnd w:id="615"/>
    <w:bookmarkEnd w:id="616"/>
    <w:bookmarkEnd w:id="617"/>
    <w:bookmarkEnd w:id="618"/>
    <w:bookmarkEnd w:id="619"/>
    <w:bookmarkEnd w:id="620"/>
    <w:bookmarkEnd w:id="621"/>
    <w:bookmarkEnd w:id="622"/>
    <w:bookmarkEnd w:id="623"/>
    <w:p>
      <w:pPr>
        <w:pStyle w:val="6"/>
        <w:spacing w:before="0" w:beforeAutospacing="0" w:after="0" w:afterAutospacing="0" w:line="360" w:lineRule="auto"/>
        <w:ind w:firstLine="422" w:firstLineChars="200"/>
        <w:rPr>
          <w:color w:val="auto"/>
          <w:sz w:val="21"/>
          <w:szCs w:val="21"/>
          <w:highlight w:val="none"/>
        </w:rPr>
      </w:pPr>
      <w:bookmarkStart w:id="624" w:name="_Toc532377322"/>
      <w:r>
        <w:rPr>
          <w:rFonts w:hint="eastAsia"/>
          <w:color w:val="auto"/>
          <w:sz w:val="21"/>
          <w:szCs w:val="21"/>
          <w:highlight w:val="none"/>
        </w:rPr>
        <w:t>1.1词语定义与解释</w:t>
      </w:r>
      <w:bookmarkEnd w:id="624"/>
    </w:p>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1.1.1 合同</w:t>
      </w:r>
    </w:p>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1.1.1.6技术标准和要求：</w:t>
      </w:r>
      <w:r>
        <w:rPr>
          <w:rFonts w:hint="eastAsia" w:ascii="宋体" w:hAnsi="宋体"/>
          <w:color w:val="auto"/>
          <w:kern w:val="0"/>
          <w:szCs w:val="21"/>
          <w:highlight w:val="none"/>
          <w:u w:val="single"/>
        </w:rPr>
        <w:t>本目中的技术标准和要求是指技术规范，即合同所约定的技术标准和要求，是合同文件的组成部分。与通用合同条款中“技术标准和要求”一词具有相同含义，包括合同双方当事人约定对其所作的修改或补充</w:t>
      </w:r>
      <w:r>
        <w:rPr>
          <w:rFonts w:hint="eastAsia" w:ascii="宋体" w:hAnsi="宋体"/>
          <w:color w:val="auto"/>
          <w:kern w:val="0"/>
          <w:szCs w:val="21"/>
          <w:highlight w:val="none"/>
        </w:rPr>
        <w:t>。</w:t>
      </w:r>
    </w:p>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1.1.1.8 已标价工程量清单：</w:t>
      </w:r>
      <w:r>
        <w:rPr>
          <w:rFonts w:hint="eastAsia" w:ascii="宋体" w:hAnsi="宋体"/>
          <w:color w:val="auto"/>
          <w:kern w:val="0"/>
          <w:szCs w:val="21"/>
          <w:highlight w:val="none"/>
          <w:u w:val="single"/>
        </w:rPr>
        <w:t>指构成合同的由承包人按照发包人规定的格式和要求填写并标明价格、经算术性错误修订及其他错误修订（如有）且承包人已确认的工程量清单</w:t>
      </w:r>
      <w:r>
        <w:rPr>
          <w:rFonts w:hint="eastAsia" w:ascii="宋体" w:hAnsi="宋体"/>
          <w:color w:val="auto"/>
          <w:kern w:val="0"/>
          <w:szCs w:val="21"/>
          <w:highlight w:val="none"/>
        </w:rPr>
        <w:t>。</w:t>
      </w:r>
    </w:p>
    <w:p>
      <w:pPr>
        <w:spacing w:line="360" w:lineRule="auto"/>
        <w:ind w:firstLine="420" w:firstLineChars="200"/>
        <w:jc w:val="left"/>
        <w:rPr>
          <w:rFonts w:ascii="宋体" w:hAnsi="宋体"/>
          <w:color w:val="auto"/>
          <w:szCs w:val="21"/>
          <w:highlight w:val="none"/>
        </w:rPr>
      </w:pPr>
      <w:r>
        <w:rPr>
          <w:rFonts w:hint="eastAsia" w:ascii="宋体" w:hAnsi="宋体"/>
          <w:color w:val="auto"/>
          <w:kern w:val="0"/>
          <w:szCs w:val="21"/>
          <w:highlight w:val="none"/>
        </w:rPr>
        <w:t>1.1.1.10 其他合同文件包括：</w:t>
      </w:r>
      <w:r>
        <w:rPr>
          <w:rFonts w:hint="eastAsia" w:ascii="宋体" w:hAnsi="宋体"/>
          <w:color w:val="auto"/>
          <w:szCs w:val="21"/>
          <w:highlight w:val="none"/>
          <w:u w:val="single"/>
        </w:rPr>
        <w:t>按照合同协议书</w:t>
      </w:r>
      <w:r>
        <w:rPr>
          <w:rFonts w:hint="eastAsia" w:ascii="宋体" w:hAnsi="宋体"/>
          <w:bCs/>
          <w:color w:val="auto"/>
          <w:szCs w:val="21"/>
          <w:highlight w:val="none"/>
          <w:u w:val="single"/>
        </w:rPr>
        <w:t>〔</w:t>
      </w:r>
      <w:r>
        <w:rPr>
          <w:rFonts w:hint="eastAsia" w:ascii="宋体" w:hAnsi="宋体"/>
          <w:color w:val="auto"/>
          <w:szCs w:val="21"/>
          <w:highlight w:val="none"/>
          <w:u w:val="single"/>
        </w:rPr>
        <w:t>第六条</w:t>
      </w:r>
      <w:r>
        <w:rPr>
          <w:rFonts w:hint="eastAsia" w:ascii="宋体" w:hAnsi="宋体"/>
          <w:bCs/>
          <w:color w:val="auto"/>
          <w:szCs w:val="21"/>
          <w:highlight w:val="none"/>
          <w:u w:val="single"/>
        </w:rPr>
        <w:t>〕</w:t>
      </w:r>
      <w:r>
        <w:rPr>
          <w:rFonts w:hint="eastAsia" w:ascii="宋体" w:hAnsi="宋体"/>
          <w:color w:val="auto"/>
          <w:szCs w:val="21"/>
          <w:highlight w:val="none"/>
          <w:u w:val="single"/>
        </w:rPr>
        <w:t>约定执行</w:t>
      </w:r>
      <w:r>
        <w:rPr>
          <w:rFonts w:hint="eastAsia" w:ascii="宋体" w:hAnsi="宋体"/>
          <w:color w:val="auto"/>
          <w:szCs w:val="21"/>
          <w:highlight w:val="none"/>
        </w:rPr>
        <w:t>。</w:t>
      </w:r>
    </w:p>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本项补充1.1.1.11～1.1.1.16目：</w:t>
      </w:r>
    </w:p>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1.1.1.11 招标文件：</w:t>
      </w:r>
      <w:r>
        <w:rPr>
          <w:rFonts w:hint="eastAsia" w:ascii="宋体" w:hAnsi="宋体"/>
          <w:color w:val="auto"/>
          <w:kern w:val="0"/>
          <w:szCs w:val="21"/>
          <w:highlight w:val="none"/>
          <w:u w:val="single"/>
        </w:rPr>
        <w:t>指本工程的招标文件、图纸、其他技术资料及招标人发出的对招标文件所作的澄清、修改等资料</w:t>
      </w:r>
      <w:r>
        <w:rPr>
          <w:rFonts w:hint="eastAsia" w:ascii="宋体" w:hAnsi="宋体"/>
          <w:color w:val="auto"/>
          <w:kern w:val="0"/>
          <w:szCs w:val="21"/>
          <w:highlight w:val="none"/>
        </w:rPr>
        <w:t>。</w:t>
      </w:r>
    </w:p>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1.1.1.12 工作：</w:t>
      </w:r>
      <w:r>
        <w:rPr>
          <w:rFonts w:hint="eastAsia" w:ascii="宋体" w:hAnsi="宋体"/>
          <w:color w:val="auto"/>
          <w:kern w:val="0"/>
          <w:szCs w:val="21"/>
          <w:highlight w:val="none"/>
          <w:u w:val="single"/>
        </w:rPr>
        <w:t>指根据合同条款规定，或根据合同合理推及的，为本工程（包括永久工程和临时工程）施工与维护所需要的管理、劳务、材料、施工设备和其他物品的提供</w:t>
      </w:r>
      <w:r>
        <w:rPr>
          <w:rFonts w:hint="eastAsia" w:ascii="宋体" w:hAnsi="宋体"/>
          <w:color w:val="auto"/>
          <w:kern w:val="0"/>
          <w:szCs w:val="21"/>
          <w:highlight w:val="none"/>
        </w:rPr>
        <w:t>。</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1.1.1.13 重大设计变更：按照规定需要重新报建设行政主管部门批准的设计变更。</w:t>
      </w:r>
    </w:p>
    <w:p>
      <w:pPr>
        <w:spacing w:line="360" w:lineRule="auto"/>
        <w:ind w:firstLine="420" w:firstLineChars="200"/>
        <w:jc w:val="left"/>
        <w:rPr>
          <w:rFonts w:ascii="宋体" w:hAnsi="宋体"/>
          <w:color w:val="auto"/>
          <w:szCs w:val="21"/>
          <w:highlight w:val="none"/>
        </w:rPr>
      </w:pPr>
      <w:r>
        <w:rPr>
          <w:rFonts w:ascii="宋体" w:hAnsi="宋体"/>
          <w:color w:val="auto"/>
          <w:szCs w:val="21"/>
          <w:highlight w:val="none"/>
        </w:rPr>
        <w:t>1.1.1.</w:t>
      </w:r>
      <w:r>
        <w:rPr>
          <w:rFonts w:hint="eastAsia" w:ascii="宋体" w:hAnsi="宋体"/>
          <w:color w:val="auto"/>
          <w:szCs w:val="21"/>
          <w:highlight w:val="none"/>
        </w:rPr>
        <w:t>14 公章：专指法定单位名称章</w:t>
      </w:r>
      <w:r>
        <w:rPr>
          <w:rFonts w:ascii="宋体" w:hAnsi="宋体"/>
          <w:color w:val="auto"/>
          <w:szCs w:val="21"/>
          <w:highlight w:val="none"/>
        </w:rPr>
        <w:t>。</w:t>
      </w:r>
    </w:p>
    <w:bookmarkEnd w:id="613"/>
    <w:p>
      <w:pPr>
        <w:spacing w:line="360" w:lineRule="auto"/>
        <w:ind w:firstLine="420" w:firstLineChars="200"/>
        <w:jc w:val="left"/>
        <w:rPr>
          <w:rFonts w:hint="eastAsia" w:ascii="宋体" w:hAnsi="宋体"/>
          <w:color w:val="auto"/>
          <w:szCs w:val="21"/>
          <w:highlight w:val="none"/>
        </w:rPr>
      </w:pPr>
      <w:r>
        <w:rPr>
          <w:rFonts w:hint="eastAsia" w:ascii="宋体" w:hAnsi="宋体"/>
          <w:color w:val="auto"/>
          <w:szCs w:val="21"/>
          <w:highlight w:val="none"/>
        </w:rPr>
        <w:t>1.1.1.15 到岗：指承包人按照到岗履职承诺安排满足办理施工许可手续相关要求的项目主要管理人员实际到施工现场就职履约的行为。</w:t>
      </w:r>
    </w:p>
    <w:p>
      <w:pPr>
        <w:spacing w:line="360" w:lineRule="auto"/>
        <w:ind w:firstLine="420" w:firstLineChars="200"/>
        <w:jc w:val="left"/>
        <w:rPr>
          <w:rFonts w:hint="eastAsia" w:ascii="宋体" w:hAnsi="宋体"/>
          <w:color w:val="auto"/>
          <w:szCs w:val="21"/>
          <w:highlight w:val="none"/>
        </w:rPr>
      </w:pPr>
      <w:r>
        <w:rPr>
          <w:rFonts w:hint="eastAsia" w:ascii="宋体" w:hAnsi="宋体"/>
          <w:color w:val="auto"/>
          <w:szCs w:val="21"/>
          <w:highlight w:val="none"/>
        </w:rPr>
        <w:t>1.1.1.16 项目法人：指具有民事权利能力和民事行为能力，依法独立享有民事权利和承担民事义务，以建设项目为目的，从事项目管理的机构、单位或组织。</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1.1.2 合同当事人及其他相关方</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1.1.2.4 监理人：</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名    称：</w:t>
      </w:r>
      <w:r>
        <w:rPr>
          <w:rFonts w:ascii="宋体" w:hAnsi="宋体"/>
          <w:color w:val="auto"/>
          <w:szCs w:val="21"/>
          <w:highlight w:val="none"/>
          <w:u w:val="single"/>
        </w:rPr>
        <w:t xml:space="preserve">    </w:t>
      </w:r>
      <w:r>
        <w:rPr>
          <w:rFonts w:hint="eastAsia" w:ascii="宋体" w:hAnsi="宋体"/>
          <w:color w:val="auto"/>
          <w:szCs w:val="21"/>
          <w:highlight w:val="none"/>
        </w:rPr>
        <w:t>；</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资质类别和等级：</w:t>
      </w:r>
      <w:r>
        <w:rPr>
          <w:rFonts w:ascii="宋体" w:hAnsi="宋体"/>
          <w:color w:val="auto"/>
          <w:szCs w:val="21"/>
          <w:highlight w:val="none"/>
          <w:u w:val="single"/>
        </w:rPr>
        <w:t></w:t>
      </w:r>
      <w:r>
        <w:rPr>
          <w:rFonts w:hint="eastAsia" w:ascii="宋体" w:hAnsi="宋体"/>
          <w:color w:val="auto"/>
          <w:szCs w:val="21"/>
          <w:highlight w:val="none"/>
        </w:rPr>
        <w:t>；</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联系方式：</w:t>
      </w:r>
      <w:r>
        <w:rPr>
          <w:rFonts w:ascii="宋体" w:hAnsi="宋体"/>
          <w:color w:val="auto"/>
          <w:szCs w:val="21"/>
          <w:highlight w:val="none"/>
          <w:u w:val="single"/>
        </w:rPr>
        <w:t xml:space="preserve">    </w:t>
      </w:r>
      <w:r>
        <w:rPr>
          <w:rFonts w:hint="eastAsia" w:ascii="宋体" w:hAnsi="宋体"/>
          <w:color w:val="auto"/>
          <w:szCs w:val="21"/>
          <w:highlight w:val="none"/>
        </w:rPr>
        <w:t>。</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1.1.2.5 设计人：</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名    称：</w:t>
      </w:r>
      <w:r>
        <w:rPr>
          <w:rFonts w:ascii="宋体" w:hAnsi="宋体"/>
          <w:color w:val="auto"/>
          <w:szCs w:val="21"/>
          <w:highlight w:val="none"/>
          <w:u w:val="single"/>
        </w:rPr>
        <w:t xml:space="preserve">    </w:t>
      </w:r>
      <w:r>
        <w:rPr>
          <w:rFonts w:hint="eastAsia" w:ascii="宋体" w:hAnsi="宋体"/>
          <w:color w:val="auto"/>
          <w:szCs w:val="21"/>
          <w:highlight w:val="none"/>
        </w:rPr>
        <w:t>；</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资质类别和等级：</w:t>
      </w:r>
      <w:r>
        <w:rPr>
          <w:rFonts w:ascii="宋体" w:hAnsi="宋体"/>
          <w:color w:val="auto"/>
          <w:szCs w:val="21"/>
          <w:highlight w:val="none"/>
          <w:u w:val="single"/>
        </w:rPr>
        <w:t></w:t>
      </w:r>
      <w:r>
        <w:rPr>
          <w:rFonts w:hint="eastAsia" w:ascii="宋体" w:hAnsi="宋体"/>
          <w:color w:val="auto"/>
          <w:szCs w:val="21"/>
          <w:highlight w:val="none"/>
        </w:rPr>
        <w:t>；</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联系方式：</w:t>
      </w:r>
      <w:r>
        <w:rPr>
          <w:rFonts w:ascii="宋体" w:hAnsi="宋体"/>
          <w:color w:val="auto"/>
          <w:szCs w:val="21"/>
          <w:highlight w:val="none"/>
          <w:u w:val="single"/>
        </w:rPr>
        <w:t xml:space="preserve">    </w:t>
      </w:r>
      <w:r>
        <w:rPr>
          <w:rFonts w:hint="eastAsia" w:ascii="宋体" w:hAnsi="宋体"/>
          <w:color w:val="auto"/>
          <w:szCs w:val="21"/>
          <w:highlight w:val="none"/>
        </w:rPr>
        <w:t>。</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1.1.3 工程和设备</w:t>
      </w:r>
    </w:p>
    <w:p>
      <w:pPr>
        <w:spacing w:line="360" w:lineRule="auto"/>
        <w:ind w:firstLine="420" w:firstLineChars="200"/>
        <w:jc w:val="left"/>
        <w:rPr>
          <w:rFonts w:ascii="宋体" w:hAnsi="宋体"/>
          <w:color w:val="auto"/>
          <w:szCs w:val="21"/>
          <w:highlight w:val="none"/>
        </w:rPr>
      </w:pPr>
      <w:r>
        <w:rPr>
          <w:rFonts w:hint="eastAsia" w:ascii="宋体" w:hAnsi="宋体"/>
          <w:color w:val="auto"/>
          <w:kern w:val="0"/>
          <w:szCs w:val="21"/>
          <w:highlight w:val="none"/>
        </w:rPr>
        <w:t>1.1.3.7 作为施工现场组成部分的其他场所包括：</w:t>
      </w:r>
      <w:r>
        <w:rPr>
          <w:rFonts w:hint="eastAsia" w:ascii="宋体" w:hAnsi="宋体"/>
          <w:color w:val="auto"/>
          <w:kern w:val="0"/>
          <w:szCs w:val="21"/>
          <w:highlight w:val="none"/>
          <w:u w:val="single"/>
        </w:rPr>
        <w:t>永久占地、临时占地以及为修建临时工程而租用、占用的土地</w:t>
      </w:r>
      <w:r>
        <w:rPr>
          <w:rFonts w:hint="eastAsia" w:ascii="宋体" w:hAnsi="宋体"/>
          <w:color w:val="auto"/>
          <w:szCs w:val="21"/>
          <w:highlight w:val="none"/>
        </w:rPr>
        <w:t>。</w:t>
      </w:r>
    </w:p>
    <w:p>
      <w:pPr>
        <w:spacing w:line="360" w:lineRule="auto"/>
        <w:ind w:firstLine="420" w:firstLineChars="200"/>
        <w:jc w:val="left"/>
        <w:rPr>
          <w:rFonts w:ascii="宋体" w:hAnsi="宋体"/>
          <w:color w:val="auto"/>
          <w:szCs w:val="21"/>
          <w:highlight w:val="none"/>
        </w:rPr>
      </w:pPr>
      <w:r>
        <w:rPr>
          <w:rFonts w:hint="eastAsia" w:ascii="宋体" w:hAnsi="宋体"/>
          <w:color w:val="auto"/>
          <w:kern w:val="0"/>
          <w:szCs w:val="21"/>
          <w:highlight w:val="none"/>
        </w:rPr>
        <w:t>1.1.3.9 永久占地包括：</w:t>
      </w:r>
      <w:r>
        <w:rPr>
          <w:rFonts w:hint="eastAsia" w:ascii="宋体" w:hAnsi="宋体"/>
          <w:color w:val="auto"/>
          <w:kern w:val="0"/>
          <w:szCs w:val="21"/>
          <w:highlight w:val="none"/>
          <w:u w:val="single"/>
        </w:rPr>
        <w:t>为实施合同工程而需要的一切永久占用的土地，即合同工程</w:t>
      </w:r>
      <w:r>
        <w:rPr>
          <w:rFonts w:hint="eastAsia" w:ascii="宋体" w:hAnsi="宋体"/>
          <w:color w:val="auto"/>
          <w:szCs w:val="21"/>
          <w:highlight w:val="none"/>
          <w:u w:val="single"/>
        </w:rPr>
        <w:t>用地红线范围内的土地</w:t>
      </w:r>
      <w:r>
        <w:rPr>
          <w:rFonts w:hint="eastAsia" w:ascii="宋体" w:hAnsi="宋体"/>
          <w:color w:val="auto"/>
          <w:szCs w:val="21"/>
          <w:highlight w:val="none"/>
        </w:rPr>
        <w:t>。</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1.1.3.10 临时占地包括：</w:t>
      </w:r>
      <w:r>
        <w:rPr>
          <w:rFonts w:hint="eastAsia" w:ascii="宋体" w:hAnsi="宋体"/>
          <w:color w:val="auto"/>
          <w:szCs w:val="21"/>
          <w:highlight w:val="none"/>
          <w:u w:val="single"/>
        </w:rPr>
        <w:t>为实施合同工程而需要</w:t>
      </w:r>
      <w:r>
        <w:rPr>
          <w:rFonts w:hint="eastAsia" w:ascii="宋体" w:hAnsi="宋体"/>
          <w:color w:val="auto"/>
          <w:kern w:val="0"/>
          <w:szCs w:val="21"/>
          <w:highlight w:val="none"/>
          <w:u w:val="single"/>
        </w:rPr>
        <w:t>的一切</w:t>
      </w:r>
      <w:r>
        <w:rPr>
          <w:rFonts w:hint="eastAsia" w:ascii="宋体" w:hAnsi="宋体"/>
          <w:color w:val="auto"/>
          <w:szCs w:val="21"/>
          <w:highlight w:val="none"/>
          <w:u w:val="single"/>
        </w:rPr>
        <w:t>临时占用的土地，包括施工所用的临时便道等的临时出入道，以及生产（办公）、生活等临时设施用地</w:t>
      </w:r>
      <w:r>
        <w:rPr>
          <w:rFonts w:hint="eastAsia" w:ascii="宋体" w:hAnsi="宋体"/>
          <w:color w:val="auto"/>
          <w:szCs w:val="21"/>
          <w:highlight w:val="none"/>
        </w:rPr>
        <w:t>。</w:t>
      </w:r>
    </w:p>
    <w:p>
      <w:pPr>
        <w:pStyle w:val="6"/>
        <w:spacing w:before="0" w:beforeAutospacing="0" w:after="0" w:afterAutospacing="0" w:line="360" w:lineRule="auto"/>
        <w:ind w:firstLine="422" w:firstLineChars="200"/>
        <w:rPr>
          <w:color w:val="auto"/>
          <w:sz w:val="21"/>
          <w:szCs w:val="21"/>
          <w:highlight w:val="none"/>
        </w:rPr>
      </w:pPr>
      <w:bookmarkStart w:id="625" w:name="_Toc532377323"/>
      <w:r>
        <w:rPr>
          <w:rFonts w:hint="eastAsia"/>
          <w:color w:val="auto"/>
          <w:sz w:val="21"/>
          <w:szCs w:val="21"/>
          <w:highlight w:val="none"/>
        </w:rPr>
        <w:t>1.4 标准和规范</w:t>
      </w:r>
      <w:bookmarkEnd w:id="625"/>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1.4.1 适用于工程的标准规范包括：</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（1）施工图所涉及的技术标准、规范、规程、图集等；</w:t>
      </w:r>
    </w:p>
    <w:p>
      <w:pPr>
        <w:spacing w:line="360" w:lineRule="auto"/>
        <w:ind w:firstLine="420" w:firstLineChars="200"/>
        <w:jc w:val="left"/>
        <w:rPr>
          <w:rFonts w:ascii="宋体" w:hAnsi="宋体"/>
          <w:color w:val="auto"/>
          <w:szCs w:val="21"/>
          <w:highlight w:val="none"/>
          <w:u w:val="single"/>
        </w:rPr>
      </w:pPr>
      <w:r>
        <w:rPr>
          <w:rFonts w:hint="eastAsia" w:ascii="宋体" w:hAnsi="宋体"/>
          <w:color w:val="auto"/>
          <w:szCs w:val="21"/>
          <w:highlight w:val="none"/>
        </w:rPr>
        <w:t>（2）国家、行业或重庆市与本工程有关的标准，以及相应的规范、规程等，当这些标准、规范、规程不一致时，以标准、规范、规程要求最高的为准。</w:t>
      </w:r>
    </w:p>
    <w:p>
      <w:pPr>
        <w:spacing w:line="360" w:lineRule="auto"/>
        <w:ind w:firstLine="420" w:firstLineChars="200"/>
        <w:jc w:val="left"/>
        <w:rPr>
          <w:rFonts w:ascii="宋体" w:hAnsi="宋体"/>
          <w:color w:val="auto"/>
          <w:szCs w:val="21"/>
          <w:highlight w:val="none"/>
          <w:u w:val="single"/>
        </w:rPr>
      </w:pPr>
      <w:r>
        <w:rPr>
          <w:rFonts w:ascii="宋体" w:hAnsi="宋体"/>
          <w:color w:val="auto"/>
          <w:szCs w:val="21"/>
          <w:highlight w:val="none"/>
        </w:rPr>
        <w:t>（</w:t>
      </w:r>
      <w:r>
        <w:rPr>
          <w:rFonts w:hint="eastAsia" w:ascii="宋体" w:hAnsi="宋体"/>
          <w:color w:val="auto"/>
          <w:szCs w:val="21"/>
          <w:highlight w:val="none"/>
        </w:rPr>
        <w:t>3</w:t>
      </w:r>
      <w:r>
        <w:rPr>
          <w:rFonts w:ascii="宋体" w:hAnsi="宋体"/>
          <w:color w:val="auto"/>
          <w:szCs w:val="21"/>
          <w:highlight w:val="none"/>
        </w:rPr>
        <w:t>）</w:t>
      </w:r>
      <w:r>
        <w:rPr>
          <w:rFonts w:hint="eastAsia" w:ascii="宋体" w:hAnsi="宋体"/>
          <w:color w:val="auto"/>
          <w:szCs w:val="21"/>
          <w:highlight w:val="none"/>
          <w:u w:val="single"/>
        </w:rPr>
        <w:t xml:space="preserve">        </w:t>
      </w:r>
      <w:r>
        <w:rPr>
          <w:rFonts w:hint="eastAsia" w:ascii="宋体" w:hAnsi="宋体"/>
          <w:color w:val="auto"/>
          <w:szCs w:val="21"/>
          <w:highlight w:val="none"/>
        </w:rPr>
        <w:t>。</w:t>
      </w:r>
    </w:p>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1.4.2 发包人提供国外标准、规范的名称：</w:t>
      </w:r>
      <w:r>
        <w:rPr>
          <w:rFonts w:hint="eastAsia" w:ascii="宋体" w:hAnsi="宋体"/>
          <w:color w:val="auto"/>
          <w:kern w:val="0"/>
          <w:szCs w:val="21"/>
          <w:highlight w:val="none"/>
          <w:u w:val="single"/>
        </w:rPr>
        <w:t xml:space="preserve"> / </w:t>
      </w:r>
      <w:r>
        <w:rPr>
          <w:rFonts w:hint="eastAsia" w:ascii="宋体" w:hAnsi="宋体"/>
          <w:color w:val="auto"/>
          <w:kern w:val="0"/>
          <w:szCs w:val="21"/>
          <w:highlight w:val="none"/>
        </w:rPr>
        <w:t>；</w:t>
      </w:r>
    </w:p>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发包人提供国外标准、规范的份数：</w:t>
      </w:r>
      <w:r>
        <w:rPr>
          <w:rFonts w:hint="eastAsia" w:ascii="宋体" w:hAnsi="宋体"/>
          <w:color w:val="auto"/>
          <w:kern w:val="0"/>
          <w:szCs w:val="21"/>
          <w:highlight w:val="none"/>
          <w:u w:val="single"/>
        </w:rPr>
        <w:t xml:space="preserve"> / </w:t>
      </w:r>
      <w:r>
        <w:rPr>
          <w:rFonts w:hint="eastAsia" w:ascii="宋体" w:hAnsi="宋体"/>
          <w:color w:val="auto"/>
          <w:kern w:val="0"/>
          <w:szCs w:val="21"/>
          <w:highlight w:val="none"/>
        </w:rPr>
        <w:t>；</w:t>
      </w:r>
    </w:p>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发包人提供国外标准、规范的名称：</w:t>
      </w:r>
      <w:r>
        <w:rPr>
          <w:rFonts w:hint="eastAsia" w:ascii="宋体" w:hAnsi="宋体"/>
          <w:color w:val="auto"/>
          <w:kern w:val="0"/>
          <w:szCs w:val="21"/>
          <w:highlight w:val="none"/>
          <w:u w:val="single"/>
        </w:rPr>
        <w:t xml:space="preserve"> / </w:t>
      </w:r>
      <w:r>
        <w:rPr>
          <w:rFonts w:hint="eastAsia" w:ascii="宋体" w:hAnsi="宋体"/>
          <w:color w:val="auto"/>
          <w:kern w:val="0"/>
          <w:szCs w:val="21"/>
          <w:highlight w:val="none"/>
        </w:rPr>
        <w:t>。</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1.4.3 发包人对工程的技术标准和功能要求的特殊要求：</w:t>
      </w:r>
      <w:r>
        <w:rPr>
          <w:rFonts w:hint="eastAsia" w:ascii="宋体" w:hAnsi="宋体"/>
          <w:color w:val="auto"/>
          <w:kern w:val="0"/>
          <w:szCs w:val="21"/>
          <w:highlight w:val="none"/>
          <w:u w:val="single"/>
        </w:rPr>
        <w:t xml:space="preserve">/ </w:t>
      </w:r>
      <w:r>
        <w:rPr>
          <w:rFonts w:hint="eastAsia" w:ascii="宋体" w:hAnsi="宋体"/>
          <w:color w:val="auto"/>
          <w:szCs w:val="21"/>
          <w:highlight w:val="none"/>
        </w:rPr>
        <w:t>。</w:t>
      </w:r>
    </w:p>
    <w:p>
      <w:pPr>
        <w:pStyle w:val="6"/>
        <w:spacing w:before="0" w:beforeAutospacing="0" w:after="0" w:afterAutospacing="0" w:line="360" w:lineRule="auto"/>
        <w:ind w:firstLine="422" w:firstLineChars="200"/>
        <w:rPr>
          <w:color w:val="auto"/>
          <w:sz w:val="21"/>
          <w:szCs w:val="21"/>
          <w:highlight w:val="none"/>
        </w:rPr>
      </w:pPr>
      <w:bookmarkStart w:id="626" w:name="_Toc532377324"/>
      <w:r>
        <w:rPr>
          <w:rFonts w:hint="eastAsia"/>
          <w:color w:val="auto"/>
          <w:sz w:val="21"/>
          <w:szCs w:val="21"/>
          <w:highlight w:val="none"/>
        </w:rPr>
        <w:t>1.5 合同文件的优先顺序</w:t>
      </w:r>
      <w:bookmarkEnd w:id="626"/>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合同文件组成及优先顺序为：</w:t>
      </w:r>
      <w:r>
        <w:rPr>
          <w:rFonts w:hint="eastAsia" w:ascii="宋体" w:hAnsi="宋体"/>
          <w:color w:val="auto"/>
          <w:szCs w:val="21"/>
          <w:highlight w:val="none"/>
          <w:u w:val="single"/>
        </w:rPr>
        <w:t>按照合同协议书</w:t>
      </w:r>
      <w:r>
        <w:rPr>
          <w:rFonts w:hint="eastAsia" w:ascii="宋体" w:hAnsi="宋体"/>
          <w:bCs/>
          <w:color w:val="auto"/>
          <w:szCs w:val="21"/>
          <w:highlight w:val="none"/>
          <w:u w:val="single"/>
        </w:rPr>
        <w:t>〔</w:t>
      </w:r>
      <w:r>
        <w:rPr>
          <w:rFonts w:hint="eastAsia" w:ascii="宋体" w:hAnsi="宋体"/>
          <w:color w:val="auto"/>
          <w:szCs w:val="21"/>
          <w:highlight w:val="none"/>
          <w:u w:val="single"/>
        </w:rPr>
        <w:t>第六条</w:t>
      </w:r>
      <w:r>
        <w:rPr>
          <w:rFonts w:hint="eastAsia" w:ascii="宋体" w:hAnsi="宋体"/>
          <w:bCs/>
          <w:color w:val="auto"/>
          <w:szCs w:val="21"/>
          <w:highlight w:val="none"/>
          <w:u w:val="single"/>
        </w:rPr>
        <w:t>〕</w:t>
      </w:r>
      <w:r>
        <w:rPr>
          <w:rFonts w:hint="eastAsia" w:ascii="宋体" w:hAnsi="宋体"/>
          <w:color w:val="auto"/>
          <w:szCs w:val="21"/>
          <w:highlight w:val="none"/>
          <w:u w:val="single"/>
        </w:rPr>
        <w:t>约定执行</w:t>
      </w:r>
      <w:r>
        <w:rPr>
          <w:rFonts w:hint="eastAsia" w:ascii="宋体" w:hAnsi="宋体"/>
          <w:color w:val="auto"/>
          <w:szCs w:val="21"/>
          <w:highlight w:val="none"/>
        </w:rPr>
        <w:t>。</w:t>
      </w:r>
    </w:p>
    <w:p>
      <w:pPr>
        <w:pStyle w:val="6"/>
        <w:spacing w:before="0" w:beforeAutospacing="0" w:after="0" w:afterAutospacing="0" w:line="360" w:lineRule="auto"/>
        <w:ind w:firstLine="422" w:firstLineChars="200"/>
        <w:rPr>
          <w:color w:val="auto"/>
          <w:sz w:val="21"/>
          <w:szCs w:val="21"/>
          <w:highlight w:val="none"/>
        </w:rPr>
      </w:pPr>
      <w:bookmarkStart w:id="627" w:name="_Toc532377325"/>
      <w:r>
        <w:rPr>
          <w:rFonts w:hint="eastAsia"/>
          <w:color w:val="auto"/>
          <w:sz w:val="21"/>
          <w:szCs w:val="21"/>
          <w:highlight w:val="none"/>
        </w:rPr>
        <w:t>1.6 图纸和承包人文件</w:t>
      </w:r>
      <w:bookmarkEnd w:id="627"/>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1.6.1 图纸的提供和交底</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发包人向承包人提供图纸的期限：</w:t>
      </w:r>
      <w:r>
        <w:rPr>
          <w:rFonts w:hint="eastAsia" w:ascii="宋体" w:hAnsi="宋体"/>
          <w:color w:val="auto"/>
          <w:szCs w:val="21"/>
          <w:highlight w:val="none"/>
          <w:u w:val="single"/>
        </w:rPr>
        <w:t>通用合同条款第7.3.2款</w:t>
      </w:r>
      <w:r>
        <w:rPr>
          <w:rFonts w:hint="eastAsia" w:ascii="宋体" w:hAnsi="宋体"/>
          <w:bCs/>
          <w:color w:val="auto"/>
          <w:szCs w:val="21"/>
          <w:highlight w:val="none"/>
          <w:u w:val="single"/>
        </w:rPr>
        <w:t>〔</w:t>
      </w:r>
      <w:r>
        <w:rPr>
          <w:rFonts w:hint="eastAsia" w:ascii="宋体" w:hAnsi="宋体"/>
          <w:color w:val="auto"/>
          <w:szCs w:val="21"/>
          <w:highlight w:val="none"/>
          <w:u w:val="single"/>
        </w:rPr>
        <w:t>开工通知</w:t>
      </w:r>
      <w:r>
        <w:rPr>
          <w:rFonts w:hint="eastAsia" w:ascii="宋体" w:hAnsi="宋体"/>
          <w:bCs/>
          <w:color w:val="auto"/>
          <w:szCs w:val="21"/>
          <w:highlight w:val="none"/>
          <w:u w:val="single"/>
        </w:rPr>
        <w:t>〕</w:t>
      </w:r>
      <w:r>
        <w:rPr>
          <w:rFonts w:hint="eastAsia" w:ascii="宋体" w:hAnsi="宋体"/>
          <w:color w:val="auto"/>
          <w:szCs w:val="21"/>
          <w:highlight w:val="none"/>
          <w:u w:val="single"/>
        </w:rPr>
        <w:t>载明的开工日期前14天</w:t>
      </w:r>
      <w:r>
        <w:rPr>
          <w:rFonts w:hint="eastAsia" w:ascii="宋体" w:hAnsi="宋体"/>
          <w:color w:val="auto"/>
          <w:szCs w:val="21"/>
          <w:highlight w:val="none"/>
        </w:rPr>
        <w:t>；</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发包人向承包人提供图纸的数量：</w:t>
      </w:r>
      <w:r>
        <w:rPr>
          <w:rFonts w:hint="eastAsia" w:ascii="宋体" w:hAnsi="宋体"/>
          <w:color w:val="auto"/>
          <w:szCs w:val="21"/>
          <w:highlight w:val="none"/>
          <w:u w:val="single"/>
        </w:rPr>
        <w:t xml:space="preserve">  </w:t>
      </w:r>
      <w:r>
        <w:rPr>
          <w:rFonts w:hint="eastAsia" w:ascii="宋体" w:hAnsi="宋体"/>
          <w:color w:val="auto"/>
          <w:szCs w:val="21"/>
          <w:highlight w:val="none"/>
          <w:u w:val="single"/>
          <w:lang w:val="en-US" w:eastAsia="zh-CN"/>
        </w:rPr>
        <w:t>1</w:t>
      </w:r>
      <w:r>
        <w:rPr>
          <w:rFonts w:hint="eastAsia" w:ascii="宋体" w:hAnsi="宋体"/>
          <w:color w:val="auto"/>
          <w:szCs w:val="21"/>
          <w:highlight w:val="none"/>
          <w:u w:val="single"/>
        </w:rPr>
        <w:t>套</w:t>
      </w:r>
      <w:r>
        <w:rPr>
          <w:rFonts w:hint="eastAsia" w:ascii="宋体" w:hAnsi="宋体"/>
          <w:color w:val="auto"/>
          <w:szCs w:val="21"/>
          <w:highlight w:val="none"/>
        </w:rPr>
        <w:t>；</w:t>
      </w:r>
      <w:r>
        <w:rPr>
          <w:rFonts w:hint="eastAsia" w:ascii="宋体" w:hAnsi="宋体"/>
          <w:color w:val="auto"/>
          <w:szCs w:val="21"/>
          <w:highlight w:val="none"/>
        </w:rPr>
        <w:t xml:space="preserve"> </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发包人向承包人提供图纸的内容：</w:t>
      </w:r>
      <w:r>
        <w:rPr>
          <w:rFonts w:hint="eastAsia" w:ascii="宋体" w:hAnsi="宋体"/>
          <w:color w:val="auto"/>
          <w:szCs w:val="21"/>
          <w:highlight w:val="none"/>
          <w:u w:val="single"/>
        </w:rPr>
        <w:t>工程承包范围内工程的施工图设计文件</w:t>
      </w:r>
      <w:r>
        <w:rPr>
          <w:rFonts w:hint="eastAsia" w:ascii="宋体" w:hAnsi="宋体"/>
          <w:color w:val="auto"/>
          <w:szCs w:val="21"/>
          <w:highlight w:val="none"/>
        </w:rPr>
        <w:t>；</w:t>
      </w:r>
    </w:p>
    <w:p>
      <w:pPr>
        <w:spacing w:line="360" w:lineRule="auto"/>
        <w:ind w:firstLine="420" w:firstLineChars="200"/>
        <w:jc w:val="left"/>
        <w:rPr>
          <w:rFonts w:ascii="宋体" w:hAnsi="宋体"/>
          <w:color w:val="auto"/>
          <w:szCs w:val="21"/>
          <w:highlight w:val="none"/>
          <w:u w:val="single"/>
        </w:rPr>
      </w:pPr>
      <w:r>
        <w:rPr>
          <w:rFonts w:hint="eastAsia" w:ascii="宋体" w:hAnsi="宋体"/>
          <w:color w:val="auto"/>
          <w:szCs w:val="21"/>
          <w:highlight w:val="none"/>
        </w:rPr>
        <w:t>发包人组织承包人、监理人和设计人进行图纸会审和设计交底的时间：</w:t>
      </w:r>
      <w:r>
        <w:rPr>
          <w:rFonts w:hint="eastAsia" w:ascii="宋体" w:hAnsi="宋体"/>
          <w:color w:val="auto"/>
          <w:szCs w:val="21"/>
          <w:highlight w:val="none"/>
          <w:u w:val="single"/>
        </w:rPr>
        <w:t>提供施工图后7天内</w:t>
      </w:r>
      <w:r>
        <w:rPr>
          <w:rFonts w:hint="eastAsia" w:ascii="宋体" w:hAnsi="宋体"/>
          <w:color w:val="auto"/>
          <w:szCs w:val="21"/>
          <w:highlight w:val="none"/>
        </w:rPr>
        <w:t>。</w:t>
      </w:r>
    </w:p>
    <w:p>
      <w:pPr>
        <w:spacing w:line="360" w:lineRule="auto"/>
        <w:ind w:firstLine="420" w:firstLineChars="200"/>
        <w:jc w:val="left"/>
        <w:rPr>
          <w:rFonts w:ascii="宋体" w:hAnsi="宋体"/>
          <w:color w:val="auto"/>
          <w:szCs w:val="21"/>
          <w:highlight w:val="none"/>
          <w:u w:val="single"/>
        </w:rPr>
      </w:pPr>
      <w:r>
        <w:rPr>
          <w:rFonts w:hint="eastAsia" w:ascii="宋体" w:hAnsi="宋体"/>
          <w:color w:val="auto"/>
          <w:szCs w:val="21"/>
          <w:highlight w:val="none"/>
          <w:u w:val="single"/>
        </w:rPr>
        <w:t>承包人可以书面方式通过监理人向发包人申请进行紧急的设计交底，发包人认为确有必要且条件许可时，应尽快组织实施承包人申请的设计交底。</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1.6.2 图纸的错误</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承包人在收到发包人提供的图纸后，承包人应对收到的图纸进行仔细核查，并在开始施工前，将发现的图纸存在的差错、遗漏或缺陷及时通知监理人。监理人接到该通知后，应附相关意见并立即报送发包人，发包人应在收到监理人报送的通知后作出决定。</w:t>
      </w:r>
    </w:p>
    <w:p>
      <w:pPr>
        <w:spacing w:line="360" w:lineRule="auto"/>
        <w:ind w:firstLine="420" w:firstLineChars="200"/>
        <w:jc w:val="left"/>
        <w:rPr>
          <w:rFonts w:ascii="宋体" w:hAnsi="宋体"/>
          <w:color w:val="auto"/>
          <w:szCs w:val="21"/>
          <w:highlight w:val="none"/>
          <w:u w:val="single"/>
        </w:rPr>
      </w:pPr>
      <w:r>
        <w:rPr>
          <w:rFonts w:hint="eastAsia" w:ascii="宋体" w:hAnsi="宋体"/>
          <w:color w:val="auto"/>
          <w:szCs w:val="21"/>
          <w:highlight w:val="none"/>
        </w:rPr>
        <w:t>承包人不得利用图纸的差错、遗漏或缺陷，从中获得不正当的利益。</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1.6.4 承包人文件</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需要由承包人提供的书面文件，包括：</w:t>
      </w:r>
      <w:r>
        <w:rPr>
          <w:rFonts w:hint="eastAsia" w:ascii="宋体" w:hAnsi="宋体"/>
          <w:color w:val="auto"/>
          <w:szCs w:val="21"/>
          <w:highlight w:val="none"/>
          <w:u w:val="single"/>
        </w:rPr>
        <w:t>施工组织设计、专项施工方案、</w:t>
      </w:r>
      <w:r>
        <w:rPr>
          <w:rFonts w:ascii="宋体" w:hAnsi="宋体"/>
          <w:color w:val="auto"/>
          <w:szCs w:val="21"/>
          <w:highlight w:val="none"/>
          <w:u w:val="single"/>
        </w:rPr>
        <w:t>危险性较大分部分项工程施工方案</w:t>
      </w:r>
      <w:r>
        <w:rPr>
          <w:rFonts w:hint="eastAsia" w:ascii="宋体" w:hAnsi="宋体"/>
          <w:color w:val="auto"/>
          <w:szCs w:val="21"/>
          <w:highlight w:val="none"/>
          <w:u w:val="single"/>
        </w:rPr>
        <w:t>（如有）、安全应急方案、进度计划、报表及计划、竣工资料及施工过程中因工程变更需要报送的施工方案、施工过程中涉及工程价款变更的相关资料、完整的竣工结算资料等</w:t>
      </w:r>
      <w:r>
        <w:rPr>
          <w:rFonts w:hint="eastAsia" w:ascii="宋体" w:hAnsi="宋体"/>
          <w:color w:val="auto"/>
          <w:szCs w:val="21"/>
          <w:highlight w:val="none"/>
        </w:rPr>
        <w:t>。</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承包人提供文件的期限、数量：</w:t>
      </w:r>
    </w:p>
    <w:p>
      <w:pPr>
        <w:spacing w:line="360" w:lineRule="auto"/>
        <w:ind w:firstLine="420" w:firstLineChars="200"/>
        <w:jc w:val="left"/>
        <w:rPr>
          <w:rFonts w:ascii="宋体" w:hAnsi="宋体"/>
          <w:color w:val="auto"/>
          <w:szCs w:val="21"/>
          <w:highlight w:val="none"/>
          <w:u w:val="single"/>
        </w:rPr>
      </w:pPr>
      <w:r>
        <w:rPr>
          <w:rFonts w:hint="eastAsia" w:ascii="宋体" w:hAnsi="宋体"/>
          <w:color w:val="auto"/>
          <w:szCs w:val="21"/>
          <w:highlight w:val="none"/>
        </w:rPr>
        <w:t>（1）</w:t>
      </w:r>
      <w:r>
        <w:rPr>
          <w:rFonts w:hint="eastAsia" w:ascii="宋体" w:hAnsi="宋体"/>
          <w:color w:val="auto"/>
          <w:szCs w:val="21"/>
          <w:highlight w:val="none"/>
          <w:u w:val="single"/>
        </w:rPr>
        <w:t>图纸会审及设计交底后7天内，向监理人、发包人提交经优化完善的施工组织设计和工程总体进度计划及当年年度施工进度计划。进度计划安排必须符合发包人对本工程总体进度计划的安排。专项施工方案应在专项施工7日前通过审查（含专家论证）。施工组织设计和专项施工方案经监理人审批同意后执行。承包人应接受监理人、发包人对其提交的施工组织设计和专项施工方案中不合理的工期安排及技术措施、方案的修改意见，并修改完善后重新报批，直至获得批准</w:t>
      </w:r>
      <w:r>
        <w:rPr>
          <w:rFonts w:hint="eastAsia" w:ascii="宋体" w:hAnsi="宋体"/>
          <w:color w:val="auto"/>
          <w:szCs w:val="21"/>
          <w:highlight w:val="none"/>
        </w:rPr>
        <w:t>。</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（2）</w:t>
      </w:r>
      <w:r>
        <w:rPr>
          <w:rFonts w:hint="eastAsia" w:ascii="宋体" w:hAnsi="宋体"/>
          <w:color w:val="auto"/>
          <w:szCs w:val="21"/>
          <w:highlight w:val="none"/>
          <w:u w:val="single"/>
        </w:rPr>
        <w:t xml:space="preserve">每月 </w:t>
      </w:r>
      <w:r>
        <w:rPr>
          <w:rFonts w:hint="eastAsia" w:ascii="宋体" w:hAnsi="宋体"/>
          <w:color w:val="auto"/>
          <w:szCs w:val="21"/>
          <w:highlight w:val="none"/>
          <w:u w:val="single"/>
          <w:lang w:val="en-US" w:eastAsia="zh-CN"/>
        </w:rPr>
        <w:t>20</w:t>
      </w:r>
      <w:r>
        <w:rPr>
          <w:rFonts w:hint="eastAsia" w:ascii="宋体" w:hAnsi="宋体"/>
          <w:color w:val="auto"/>
          <w:szCs w:val="21"/>
          <w:highlight w:val="none"/>
          <w:u w:val="single"/>
        </w:rPr>
        <w:t>日</w:t>
      </w:r>
      <w:r>
        <w:rPr>
          <w:rFonts w:hint="eastAsia" w:ascii="宋体" w:hAnsi="宋体"/>
          <w:color w:val="auto"/>
          <w:szCs w:val="21"/>
          <w:highlight w:val="none"/>
          <w:u w:val="single"/>
        </w:rPr>
        <w:t>前报送月工程进度完成报表</w:t>
      </w:r>
      <w:r>
        <w:rPr>
          <w:rFonts w:hint="eastAsia" w:ascii="宋体" w:hAnsi="宋体"/>
          <w:color w:val="auto"/>
          <w:szCs w:val="21"/>
          <w:highlight w:val="none"/>
        </w:rPr>
        <w:t>。</w:t>
      </w:r>
    </w:p>
    <w:p>
      <w:pPr>
        <w:spacing w:line="360" w:lineRule="auto"/>
        <w:ind w:firstLine="420" w:firstLineChars="200"/>
        <w:jc w:val="left"/>
        <w:rPr>
          <w:rFonts w:ascii="宋体" w:hAnsi="宋体"/>
          <w:color w:val="auto"/>
          <w:szCs w:val="21"/>
          <w:highlight w:val="none"/>
          <w:u w:val="single"/>
        </w:rPr>
      </w:pPr>
      <w:r>
        <w:rPr>
          <w:rFonts w:hint="eastAsia" w:ascii="宋体" w:hAnsi="宋体"/>
          <w:color w:val="auto"/>
          <w:szCs w:val="21"/>
          <w:highlight w:val="none"/>
        </w:rPr>
        <w:t>（3）合同另有约定的，按照其约定。</w:t>
      </w:r>
    </w:p>
    <w:p>
      <w:pPr>
        <w:spacing w:line="360" w:lineRule="auto"/>
        <w:ind w:firstLine="420" w:firstLineChars="200"/>
        <w:jc w:val="left"/>
        <w:rPr>
          <w:rFonts w:ascii="宋体" w:hAnsi="宋体"/>
          <w:color w:val="auto"/>
          <w:szCs w:val="21"/>
          <w:highlight w:val="none"/>
          <w:u w:val="single"/>
        </w:rPr>
      </w:pPr>
      <w:r>
        <w:rPr>
          <w:rFonts w:hint="eastAsia" w:ascii="宋体" w:hAnsi="宋体"/>
          <w:color w:val="auto"/>
          <w:szCs w:val="21"/>
          <w:highlight w:val="none"/>
        </w:rPr>
        <w:t>承包人提供的文件的形式：</w:t>
      </w:r>
      <w:r>
        <w:rPr>
          <w:rFonts w:hint="eastAsia" w:ascii="宋体" w:hAnsi="宋体"/>
          <w:color w:val="auto"/>
          <w:szCs w:val="21"/>
          <w:highlight w:val="none"/>
          <w:lang w:eastAsia="zh-CN"/>
        </w:rPr>
        <w:t>☑</w:t>
      </w:r>
      <w:r>
        <w:rPr>
          <w:rFonts w:hint="eastAsia" w:ascii="宋体" w:hAnsi="宋体"/>
          <w:color w:val="auto"/>
          <w:szCs w:val="21"/>
          <w:highlight w:val="none"/>
        </w:rPr>
        <w:t>采用电子招标的，投标文件以电子文档为准，其他文件以书面文件为准；□采用纸质招标的，当书面文件与电子文档不一致的，以书面文件为准。监理人审批承包人文件的期限：</w:t>
      </w:r>
      <w:r>
        <w:rPr>
          <w:rFonts w:hint="eastAsia" w:ascii="宋体" w:hAnsi="宋体"/>
          <w:color w:val="auto"/>
          <w:szCs w:val="21"/>
          <w:highlight w:val="none"/>
          <w:u w:val="single"/>
        </w:rPr>
        <w:t>收到施工组织设计和工程总体进度计划及当年年度施工进度计划后7天内；合同另有约定的，从其约定</w:t>
      </w:r>
      <w:r>
        <w:rPr>
          <w:rFonts w:hint="eastAsia" w:ascii="宋体" w:hAnsi="宋体"/>
          <w:color w:val="auto"/>
          <w:szCs w:val="21"/>
          <w:highlight w:val="none"/>
        </w:rPr>
        <w:t>。</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承包人提供的文件的费用：</w:t>
      </w:r>
      <w:r>
        <w:rPr>
          <w:rFonts w:hint="eastAsia" w:ascii="宋体" w:hAnsi="宋体"/>
          <w:color w:val="auto"/>
          <w:szCs w:val="21"/>
          <w:highlight w:val="none"/>
          <w:u w:val="single"/>
        </w:rPr>
        <w:t>由承包人承担</w:t>
      </w:r>
      <w:r>
        <w:rPr>
          <w:rFonts w:hint="eastAsia" w:ascii="宋体" w:hAnsi="宋体"/>
          <w:color w:val="auto"/>
          <w:szCs w:val="21"/>
          <w:highlight w:val="none"/>
        </w:rPr>
        <w:t>。</w:t>
      </w:r>
    </w:p>
    <w:p>
      <w:pPr>
        <w:spacing w:line="360" w:lineRule="auto"/>
        <w:ind w:firstLine="420" w:firstLineChars="200"/>
        <w:jc w:val="left"/>
        <w:rPr>
          <w:rFonts w:ascii="宋体" w:hAnsi="宋体"/>
          <w:color w:val="auto"/>
          <w:szCs w:val="21"/>
          <w:highlight w:val="none"/>
          <w:u w:val="single"/>
        </w:rPr>
      </w:pPr>
      <w:r>
        <w:rPr>
          <w:rFonts w:hint="eastAsia" w:ascii="宋体" w:hAnsi="宋体"/>
          <w:color w:val="auto"/>
          <w:szCs w:val="21"/>
          <w:highlight w:val="none"/>
        </w:rPr>
        <w:t>发包人审批承包人文件的期限：</w:t>
      </w:r>
      <w:r>
        <w:rPr>
          <w:rFonts w:hint="eastAsia" w:ascii="宋体" w:hAnsi="宋体"/>
          <w:color w:val="auto"/>
          <w:szCs w:val="21"/>
          <w:highlight w:val="none"/>
          <w:u w:val="single"/>
        </w:rPr>
        <w:t>收到后14天内；合同另有约定的，从其约定</w:t>
      </w:r>
      <w:r>
        <w:rPr>
          <w:rFonts w:hint="eastAsia" w:ascii="宋体" w:hAnsi="宋体"/>
          <w:color w:val="auto"/>
          <w:szCs w:val="21"/>
          <w:highlight w:val="none"/>
        </w:rPr>
        <w:t>。</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u w:val="single"/>
        </w:rPr>
        <w:t>监理人、发包人的修改意见和审批，不免除或减轻承包人对该工作、工程、材料、工程设备等应承担的责任和义务</w:t>
      </w:r>
      <w:r>
        <w:rPr>
          <w:rFonts w:hint="eastAsia" w:ascii="宋体" w:hAnsi="宋体"/>
          <w:color w:val="auto"/>
          <w:szCs w:val="21"/>
          <w:highlight w:val="none"/>
        </w:rPr>
        <w:t>。</w:t>
      </w:r>
    </w:p>
    <w:p>
      <w:pPr>
        <w:pStyle w:val="6"/>
        <w:spacing w:before="0" w:beforeAutospacing="0" w:after="0" w:afterAutospacing="0" w:line="360" w:lineRule="auto"/>
        <w:ind w:firstLine="422" w:firstLineChars="200"/>
        <w:rPr>
          <w:color w:val="auto"/>
          <w:sz w:val="21"/>
          <w:szCs w:val="21"/>
          <w:highlight w:val="none"/>
        </w:rPr>
      </w:pPr>
      <w:bookmarkStart w:id="628" w:name="_Toc532377326"/>
      <w:r>
        <w:rPr>
          <w:rFonts w:hint="eastAsia"/>
          <w:color w:val="auto"/>
          <w:sz w:val="21"/>
          <w:szCs w:val="21"/>
          <w:highlight w:val="none"/>
        </w:rPr>
        <w:t>1.7 联络</w:t>
      </w:r>
      <w:bookmarkEnd w:id="628"/>
    </w:p>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1.7.1 发包人和承包人应当在</w:t>
      </w:r>
      <w:r>
        <w:rPr>
          <w:rFonts w:hint="eastAsia" w:ascii="宋体" w:hAnsi="宋体"/>
          <w:color w:val="auto"/>
          <w:szCs w:val="21"/>
          <w:highlight w:val="none"/>
          <w:u w:val="single"/>
        </w:rPr>
        <w:t xml:space="preserve"> 1 </w:t>
      </w:r>
      <w:r>
        <w:rPr>
          <w:rFonts w:hint="eastAsia" w:ascii="宋体" w:hAnsi="宋体"/>
          <w:color w:val="auto"/>
          <w:kern w:val="0"/>
          <w:szCs w:val="21"/>
          <w:highlight w:val="none"/>
        </w:rPr>
        <w:t>天内将与合同有关的通知、批准、证明、证书、指示、指令、要求、请求、同意、意见、确定和决定等书面函件送达对方当事人，并办理书面签收手续。</w:t>
      </w:r>
    </w:p>
    <w:p>
      <w:pPr>
        <w:tabs>
          <w:tab w:val="left" w:pos="7513"/>
        </w:tabs>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1.7.2 发包人接收文件地点：</w:t>
      </w:r>
      <w:r>
        <w:rPr>
          <w:rFonts w:ascii="宋体" w:hAnsi="宋体"/>
          <w:color w:val="auto"/>
          <w:kern w:val="0"/>
          <w:szCs w:val="21"/>
          <w:highlight w:val="none"/>
          <w:u w:val="single"/>
        </w:rPr>
        <w:t xml:space="preserve">                        </w:t>
      </w:r>
      <w:r>
        <w:rPr>
          <w:rFonts w:hint="eastAsia" w:ascii="宋体" w:hAnsi="宋体"/>
          <w:color w:val="auto"/>
          <w:kern w:val="0"/>
          <w:szCs w:val="21"/>
          <w:highlight w:val="none"/>
        </w:rPr>
        <w:t>；</w:t>
      </w:r>
    </w:p>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发包人指定的接收人：</w:t>
      </w:r>
      <w:bookmarkStart w:id="629" w:name="_Hlk528493983"/>
      <w:bookmarkEnd w:id="629"/>
      <w:r>
        <w:rPr>
          <w:rFonts w:ascii="宋体" w:hAnsi="宋体"/>
          <w:color w:val="auto"/>
          <w:kern w:val="0"/>
          <w:szCs w:val="21"/>
          <w:highlight w:val="none"/>
          <w:u w:val="single"/>
        </w:rPr>
        <w:t xml:space="preserve">                             </w:t>
      </w:r>
      <w:r>
        <w:rPr>
          <w:rFonts w:hint="eastAsia" w:ascii="宋体" w:hAnsi="宋体"/>
          <w:color w:val="auto"/>
          <w:kern w:val="0"/>
          <w:szCs w:val="21"/>
          <w:highlight w:val="none"/>
        </w:rPr>
        <w:t>；</w:t>
      </w:r>
    </w:p>
    <w:p>
      <w:pPr>
        <w:tabs>
          <w:tab w:val="left" w:pos="7513"/>
        </w:tabs>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承包人接收文件地点：</w:t>
      </w:r>
      <w:r>
        <w:rPr>
          <w:rFonts w:ascii="宋体" w:hAnsi="宋体"/>
          <w:color w:val="auto"/>
          <w:kern w:val="0"/>
          <w:szCs w:val="21"/>
          <w:highlight w:val="none"/>
          <w:u w:val="single"/>
        </w:rPr>
        <w:t xml:space="preserve">                             </w:t>
      </w:r>
      <w:r>
        <w:rPr>
          <w:rFonts w:hint="eastAsia" w:ascii="宋体" w:hAnsi="宋体"/>
          <w:color w:val="auto"/>
          <w:kern w:val="0"/>
          <w:szCs w:val="21"/>
          <w:highlight w:val="none"/>
        </w:rPr>
        <w:t>；</w:t>
      </w:r>
    </w:p>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承包人指定的接收人：</w:t>
      </w:r>
      <w:r>
        <w:rPr>
          <w:rFonts w:ascii="宋体" w:hAnsi="宋体"/>
          <w:color w:val="auto"/>
          <w:kern w:val="0"/>
          <w:szCs w:val="21"/>
          <w:highlight w:val="none"/>
          <w:u w:val="single"/>
        </w:rPr>
        <w:t xml:space="preserve">                             </w:t>
      </w:r>
      <w:r>
        <w:rPr>
          <w:rFonts w:hint="eastAsia" w:ascii="宋体" w:hAnsi="宋体"/>
          <w:color w:val="auto"/>
          <w:kern w:val="0"/>
          <w:szCs w:val="21"/>
          <w:highlight w:val="none"/>
        </w:rPr>
        <w:t>；</w:t>
      </w:r>
    </w:p>
    <w:p>
      <w:pPr>
        <w:tabs>
          <w:tab w:val="left" w:pos="7371"/>
        </w:tabs>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监理人接收文件地点：</w:t>
      </w:r>
      <w:r>
        <w:rPr>
          <w:rFonts w:ascii="宋体" w:hAnsi="宋体"/>
          <w:color w:val="auto"/>
          <w:kern w:val="0"/>
          <w:szCs w:val="21"/>
          <w:highlight w:val="none"/>
          <w:u w:val="single"/>
        </w:rPr>
        <w:t xml:space="preserve">                             </w:t>
      </w:r>
      <w:r>
        <w:rPr>
          <w:rFonts w:hint="eastAsia" w:ascii="宋体" w:hAnsi="宋体"/>
          <w:color w:val="auto"/>
          <w:kern w:val="0"/>
          <w:szCs w:val="21"/>
          <w:highlight w:val="none"/>
        </w:rPr>
        <w:t>；</w:t>
      </w:r>
    </w:p>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监理人指定的接收人：</w:t>
      </w:r>
      <w:r>
        <w:rPr>
          <w:rFonts w:ascii="宋体" w:hAnsi="宋体"/>
          <w:color w:val="auto"/>
          <w:kern w:val="0"/>
          <w:szCs w:val="21"/>
          <w:highlight w:val="none"/>
          <w:u w:val="single"/>
        </w:rPr>
        <w:t xml:space="preserve">                             </w:t>
      </w:r>
      <w:r>
        <w:rPr>
          <w:rFonts w:hint="eastAsia" w:ascii="宋体" w:hAnsi="宋体"/>
          <w:color w:val="auto"/>
          <w:kern w:val="0"/>
          <w:szCs w:val="21"/>
          <w:highlight w:val="none"/>
        </w:rPr>
        <w:t>。</w:t>
      </w:r>
    </w:p>
    <w:p>
      <w:pPr>
        <w:pStyle w:val="6"/>
        <w:spacing w:before="0" w:beforeAutospacing="0" w:after="0" w:afterAutospacing="0" w:line="360" w:lineRule="auto"/>
        <w:ind w:firstLine="422" w:firstLineChars="200"/>
        <w:rPr>
          <w:color w:val="auto"/>
          <w:sz w:val="21"/>
          <w:szCs w:val="21"/>
          <w:highlight w:val="none"/>
        </w:rPr>
      </w:pPr>
      <w:bookmarkStart w:id="630" w:name="_Toc532377327"/>
      <w:r>
        <w:rPr>
          <w:rFonts w:hint="eastAsia"/>
          <w:color w:val="auto"/>
          <w:sz w:val="21"/>
          <w:szCs w:val="21"/>
          <w:highlight w:val="none"/>
        </w:rPr>
        <w:t>1.8 严禁贿赂</w:t>
      </w:r>
      <w:bookmarkEnd w:id="630"/>
    </w:p>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本款补充以下内容：</w:t>
      </w:r>
    </w:p>
    <w:p>
      <w:pPr>
        <w:spacing w:line="360" w:lineRule="auto"/>
        <w:ind w:firstLine="420" w:firstLineChars="200"/>
        <w:jc w:val="left"/>
        <w:rPr>
          <w:rFonts w:ascii="宋体" w:hAnsi="宋体"/>
          <w:color w:val="auto"/>
          <w:kern w:val="0"/>
          <w:szCs w:val="21"/>
          <w:highlight w:val="none"/>
          <w:u w:val="single"/>
        </w:rPr>
      </w:pPr>
      <w:r>
        <w:rPr>
          <w:rFonts w:hint="eastAsia" w:ascii="宋体" w:hAnsi="宋体"/>
          <w:color w:val="auto"/>
          <w:kern w:val="0"/>
          <w:szCs w:val="21"/>
          <w:highlight w:val="none"/>
        </w:rPr>
        <w:t>在合同执行过程中，合同当事人应严格履行附件8《廉洁从业协议》。</w:t>
      </w:r>
    </w:p>
    <w:p>
      <w:pPr>
        <w:pStyle w:val="6"/>
        <w:spacing w:before="0" w:beforeAutospacing="0" w:after="0" w:afterAutospacing="0" w:line="360" w:lineRule="auto"/>
        <w:ind w:firstLine="422" w:firstLineChars="200"/>
        <w:rPr>
          <w:color w:val="auto"/>
          <w:sz w:val="21"/>
          <w:szCs w:val="21"/>
          <w:highlight w:val="none"/>
        </w:rPr>
      </w:pPr>
      <w:bookmarkStart w:id="631" w:name="_Toc532377328"/>
      <w:r>
        <w:rPr>
          <w:rFonts w:hint="eastAsia"/>
          <w:color w:val="auto"/>
          <w:sz w:val="21"/>
          <w:szCs w:val="21"/>
          <w:highlight w:val="none"/>
        </w:rPr>
        <w:t>1.10 交通运输</w:t>
      </w:r>
      <w:bookmarkEnd w:id="631"/>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w:t>
      </w:r>
      <w:bookmarkStart w:id="632" w:name="_Toc300934943"/>
      <w:bookmarkStart w:id="633" w:name="_Toc303539100"/>
      <w:bookmarkStart w:id="634" w:name="_Toc312677986"/>
      <w:bookmarkStart w:id="635" w:name="_Toc304295521"/>
      <w:bookmarkStart w:id="636" w:name="_Toc318581155"/>
      <w:r>
        <w:rPr>
          <w:rFonts w:hint="eastAsia" w:ascii="宋体" w:hAnsi="宋体"/>
          <w:color w:val="auto"/>
          <w:szCs w:val="21"/>
          <w:highlight w:val="none"/>
        </w:rPr>
        <w:t>.10.1 出入现场的权利</w:t>
      </w:r>
    </w:p>
    <w:p>
      <w:pPr>
        <w:spacing w:line="360" w:lineRule="auto"/>
        <w:ind w:firstLine="420" w:firstLineChars="200"/>
        <w:jc w:val="left"/>
        <w:rPr>
          <w:rFonts w:ascii="宋体" w:hAnsi="宋体"/>
          <w:color w:val="auto"/>
          <w:kern w:val="0"/>
          <w:szCs w:val="21"/>
          <w:highlight w:val="none"/>
        </w:rPr>
      </w:pPr>
      <w:r>
        <w:rPr>
          <w:rFonts w:hint="eastAsia" w:ascii="宋体" w:hAnsi="宋体"/>
          <w:color w:val="auto"/>
          <w:szCs w:val="21"/>
          <w:highlight w:val="none"/>
        </w:rPr>
        <w:t>关于出入现场的权利的约定：</w:t>
      </w:r>
      <w:r>
        <w:rPr>
          <w:rFonts w:hint="eastAsia" w:ascii="宋体" w:hAnsi="宋体"/>
          <w:color w:val="auto"/>
          <w:szCs w:val="21"/>
          <w:highlight w:val="none"/>
          <w:u w:val="single"/>
        </w:rPr>
        <w:t xml:space="preserve">        </w:t>
      </w:r>
      <w:r>
        <w:rPr>
          <w:rFonts w:hint="eastAsia" w:ascii="宋体" w:hAnsi="宋体"/>
          <w:color w:val="auto"/>
          <w:szCs w:val="21"/>
          <w:highlight w:val="none"/>
        </w:rPr>
        <w:t>。</w:t>
      </w:r>
    </w:p>
    <w:bookmarkEnd w:id="632"/>
    <w:bookmarkEnd w:id="633"/>
    <w:bookmarkEnd w:id="634"/>
    <w:bookmarkEnd w:id="635"/>
    <w:bookmarkEnd w:id="636"/>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1.10.2 场外交通</w:t>
      </w:r>
    </w:p>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承包人应遵守有关交通法规，执行有关道路限速、限行、禁止超载的规定，并配合交通管理部门的监督和检查。场外交通以施工场地移交时的现状为准。</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w:t>
      </w:r>
      <w:bookmarkStart w:id="637" w:name="_Toc300934944"/>
      <w:bookmarkStart w:id="638" w:name="_Toc318581156"/>
      <w:bookmarkStart w:id="639" w:name="_Toc304295522"/>
      <w:bookmarkStart w:id="640" w:name="_Toc312677987"/>
      <w:bookmarkStart w:id="641" w:name="_Toc303539101"/>
      <w:r>
        <w:rPr>
          <w:rFonts w:hint="eastAsia" w:ascii="宋体" w:hAnsi="宋体"/>
          <w:color w:val="auto"/>
          <w:szCs w:val="21"/>
          <w:highlight w:val="none"/>
        </w:rPr>
        <w:t>.10.3 场内交通</w:t>
      </w:r>
    </w:p>
    <w:p>
      <w:pPr>
        <w:spacing w:line="360" w:lineRule="auto"/>
        <w:ind w:firstLine="420" w:firstLineChars="200"/>
        <w:jc w:val="left"/>
        <w:rPr>
          <w:rFonts w:ascii="宋体" w:hAnsi="宋体"/>
          <w:color w:val="auto"/>
          <w:szCs w:val="21"/>
          <w:highlight w:val="none"/>
          <w:u w:val="single"/>
        </w:rPr>
      </w:pPr>
      <w:r>
        <w:rPr>
          <w:rFonts w:hint="eastAsia" w:ascii="宋体" w:hAnsi="宋体"/>
          <w:color w:val="auto"/>
          <w:kern w:val="0"/>
          <w:szCs w:val="21"/>
          <w:highlight w:val="none"/>
        </w:rPr>
        <w:t>关于场外交通和场内交通的边界的约定：</w:t>
      </w:r>
      <w:r>
        <w:rPr>
          <w:rFonts w:hint="eastAsia" w:ascii="宋体" w:hAnsi="宋体"/>
          <w:color w:val="auto"/>
          <w:szCs w:val="21"/>
          <w:highlight w:val="none"/>
          <w:u w:val="single"/>
        </w:rPr>
        <w:t>以合同工程用地红线为界，用地红线外为场外交通，用地红线范围内为场内交通（场外道路穿越场内的除外）</w:t>
      </w:r>
      <w:r>
        <w:rPr>
          <w:rFonts w:hint="eastAsia" w:ascii="宋体" w:hAnsi="宋体"/>
          <w:color w:val="auto"/>
          <w:szCs w:val="21"/>
          <w:highlight w:val="none"/>
        </w:rPr>
        <w:t>。</w:t>
      </w:r>
    </w:p>
    <w:p>
      <w:pPr>
        <w:spacing w:line="360" w:lineRule="auto"/>
        <w:ind w:firstLine="420" w:firstLineChars="200"/>
        <w:jc w:val="left"/>
        <w:rPr>
          <w:rFonts w:ascii="宋体" w:hAnsi="宋体"/>
          <w:color w:val="auto"/>
          <w:szCs w:val="21"/>
          <w:highlight w:val="none"/>
        </w:rPr>
      </w:pPr>
      <w:r>
        <w:rPr>
          <w:rFonts w:hint="eastAsia" w:ascii="宋体" w:hAnsi="宋体"/>
          <w:color w:val="auto"/>
          <w:kern w:val="0"/>
          <w:szCs w:val="21"/>
          <w:highlight w:val="none"/>
        </w:rPr>
        <w:t>关于发包人向承包人免费提供满足工程施工需要的场内道路和交通设施的约定：</w:t>
      </w:r>
      <w:r>
        <w:rPr>
          <w:rFonts w:hint="eastAsia" w:ascii="宋体" w:hAnsi="宋体"/>
          <w:color w:val="auto"/>
          <w:kern w:val="0"/>
          <w:szCs w:val="21"/>
          <w:highlight w:val="none"/>
          <w:u w:val="single"/>
        </w:rPr>
        <w:t>以施工场地移交时的现状为准</w:t>
      </w:r>
      <w:r>
        <w:rPr>
          <w:rFonts w:hint="eastAsia" w:ascii="宋体" w:hAnsi="宋体"/>
          <w:color w:val="auto"/>
          <w:szCs w:val="21"/>
          <w:highlight w:val="none"/>
        </w:rPr>
        <w:t>。</w:t>
      </w:r>
    </w:p>
    <w:bookmarkEnd w:id="637"/>
    <w:bookmarkEnd w:id="638"/>
    <w:bookmarkEnd w:id="639"/>
    <w:bookmarkEnd w:id="640"/>
    <w:bookmarkEnd w:id="641"/>
    <w:p>
      <w:pPr>
        <w:spacing w:line="360" w:lineRule="auto"/>
        <w:ind w:firstLine="420" w:firstLineChars="200"/>
        <w:jc w:val="left"/>
        <w:rPr>
          <w:rFonts w:ascii="宋体" w:hAnsi="宋体"/>
          <w:color w:val="auto"/>
          <w:szCs w:val="21"/>
          <w:highlight w:val="none"/>
        </w:rPr>
      </w:pPr>
      <w:bookmarkStart w:id="642" w:name="_Toc318581157"/>
      <w:r>
        <w:rPr>
          <w:rFonts w:hint="eastAsia" w:ascii="宋体" w:hAnsi="宋体"/>
          <w:color w:val="auto"/>
          <w:szCs w:val="21"/>
          <w:highlight w:val="none"/>
        </w:rPr>
        <w:t>1.10.4 超大件和超重件的运输</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运输超大件或超重件所需的道路和桥梁临时加固改造费用和其他有关费用由</w:t>
      </w:r>
      <w:r>
        <w:rPr>
          <w:rFonts w:hint="eastAsia" w:ascii="宋体" w:hAnsi="宋体"/>
          <w:color w:val="auto"/>
          <w:szCs w:val="21"/>
          <w:highlight w:val="none"/>
          <w:u w:val="single"/>
        </w:rPr>
        <w:t>发包人</w:t>
      </w:r>
      <w:r>
        <w:rPr>
          <w:rFonts w:hint="eastAsia" w:ascii="宋体" w:hAnsi="宋体"/>
          <w:color w:val="auto"/>
          <w:szCs w:val="21"/>
          <w:highlight w:val="none"/>
        </w:rPr>
        <w:t>承担。</w:t>
      </w:r>
    </w:p>
    <w:bookmarkEnd w:id="642"/>
    <w:p>
      <w:pPr>
        <w:pStyle w:val="6"/>
        <w:spacing w:before="0" w:beforeAutospacing="0" w:after="0" w:afterAutospacing="0" w:line="360" w:lineRule="auto"/>
        <w:ind w:firstLine="422" w:firstLineChars="200"/>
        <w:rPr>
          <w:color w:val="auto"/>
          <w:sz w:val="21"/>
          <w:szCs w:val="21"/>
          <w:highlight w:val="none"/>
        </w:rPr>
      </w:pPr>
      <w:bookmarkStart w:id="643" w:name="_Toc532377329"/>
      <w:r>
        <w:rPr>
          <w:rFonts w:hint="eastAsia"/>
          <w:color w:val="auto"/>
          <w:sz w:val="21"/>
          <w:szCs w:val="21"/>
          <w:highlight w:val="none"/>
        </w:rPr>
        <w:t>1.11 知识产权</w:t>
      </w:r>
      <w:bookmarkEnd w:id="643"/>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1.11.1 关于发包人提供给承包人的图纸、发包人为实施工程自行编制或委托编制的技术规范以及反映发包人关于合同要求或其他类似性质的文件的著作权的归属：</w:t>
      </w:r>
      <w:r>
        <w:rPr>
          <w:rFonts w:hint="eastAsia" w:ascii="宋体" w:hAnsi="宋体"/>
          <w:color w:val="auto"/>
          <w:szCs w:val="21"/>
          <w:highlight w:val="none"/>
          <w:u w:val="single"/>
        </w:rPr>
        <w:t>属于发包人</w:t>
      </w:r>
      <w:r>
        <w:rPr>
          <w:rFonts w:hint="eastAsia" w:ascii="宋体" w:hAnsi="宋体"/>
          <w:color w:val="auto"/>
          <w:szCs w:val="21"/>
          <w:highlight w:val="none"/>
        </w:rPr>
        <w:t>。</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关于发包人提供的上述文件的使用限制的要求：</w:t>
      </w:r>
      <w:r>
        <w:rPr>
          <w:rFonts w:hint="eastAsia" w:ascii="宋体" w:hAnsi="宋体"/>
          <w:color w:val="auto"/>
          <w:szCs w:val="21"/>
          <w:highlight w:val="none"/>
          <w:u w:val="single"/>
        </w:rPr>
        <w:t>按通用合同条款执行</w:t>
      </w:r>
      <w:r>
        <w:rPr>
          <w:rFonts w:hint="eastAsia" w:ascii="宋体" w:hAnsi="宋体"/>
          <w:color w:val="auto"/>
          <w:szCs w:val="21"/>
          <w:highlight w:val="none"/>
        </w:rPr>
        <w:t>。</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1.11.4 承包人在施工过程中所采用的专利、专有技术、技术秘密的使用费的承担方式：</w:t>
      </w:r>
      <w:r>
        <w:rPr>
          <w:rFonts w:hint="eastAsia" w:ascii="宋体" w:hAnsi="宋体"/>
          <w:color w:val="auto"/>
          <w:szCs w:val="21"/>
          <w:highlight w:val="none"/>
          <w:u w:val="single"/>
        </w:rPr>
        <w:t xml:space="preserve">        </w:t>
      </w:r>
      <w:r>
        <w:rPr>
          <w:rFonts w:hint="eastAsia" w:ascii="宋体" w:hAnsi="宋体"/>
          <w:color w:val="auto"/>
          <w:szCs w:val="21"/>
          <w:highlight w:val="none"/>
        </w:rPr>
        <w:t>。</w:t>
      </w:r>
    </w:p>
    <w:p>
      <w:pPr>
        <w:pStyle w:val="6"/>
        <w:spacing w:before="0" w:beforeAutospacing="0" w:after="0" w:afterAutospacing="0" w:line="360" w:lineRule="auto"/>
        <w:ind w:firstLine="422" w:firstLineChars="200"/>
        <w:rPr>
          <w:color w:val="auto"/>
          <w:sz w:val="21"/>
          <w:szCs w:val="21"/>
          <w:highlight w:val="none"/>
        </w:rPr>
      </w:pPr>
      <w:bookmarkStart w:id="644" w:name="_Toc532377330"/>
      <w:r>
        <w:rPr>
          <w:rFonts w:hint="eastAsia"/>
          <w:color w:val="auto"/>
          <w:sz w:val="21"/>
          <w:szCs w:val="21"/>
          <w:highlight w:val="none"/>
        </w:rPr>
        <w:t>1.13工程量清单错误的修正</w:t>
      </w:r>
      <w:bookmarkEnd w:id="644"/>
    </w:p>
    <w:p>
      <w:pPr>
        <w:spacing w:line="360" w:lineRule="auto"/>
        <w:ind w:firstLine="420" w:firstLineChars="200"/>
        <w:jc w:val="left"/>
        <w:rPr>
          <w:rFonts w:hint="eastAsia" w:ascii="宋体" w:hAnsi="宋体"/>
          <w:color w:val="auto"/>
          <w:szCs w:val="21"/>
          <w:highlight w:val="none"/>
        </w:rPr>
      </w:pPr>
      <w:r>
        <w:rPr>
          <w:rFonts w:hint="eastAsia" w:ascii="宋体" w:hAnsi="宋体"/>
          <w:color w:val="auto"/>
          <w:szCs w:val="21"/>
          <w:highlight w:val="none"/>
        </w:rPr>
        <w:t>出现工程量清单错误时，责任和权利划分：</w:t>
      </w:r>
      <w:r>
        <w:rPr>
          <w:rFonts w:hint="eastAsia" w:ascii="宋体" w:hAnsi="宋体"/>
          <w:color w:val="auto"/>
          <w:szCs w:val="21"/>
          <w:highlight w:val="none"/>
          <w:u w:val="single"/>
        </w:rPr>
        <w:t xml:space="preserve">        </w:t>
      </w:r>
      <w:r>
        <w:rPr>
          <w:rFonts w:hint="eastAsia" w:ascii="宋体" w:hAnsi="宋体"/>
          <w:color w:val="auto"/>
          <w:szCs w:val="21"/>
          <w:highlight w:val="none"/>
        </w:rPr>
        <w:t>。</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出现工程量清单错误时，是否调整合同价格：</w:t>
      </w:r>
      <w:r>
        <w:rPr>
          <w:rFonts w:hint="eastAsia" w:ascii="宋体" w:hAnsi="宋体"/>
          <w:color w:val="auto"/>
          <w:szCs w:val="21"/>
          <w:highlight w:val="none"/>
          <w:u w:val="single"/>
        </w:rPr>
        <w:t xml:space="preserve">        </w:t>
      </w:r>
      <w:r>
        <w:rPr>
          <w:rFonts w:hint="eastAsia" w:ascii="宋体" w:hAnsi="宋体"/>
          <w:color w:val="auto"/>
          <w:kern w:val="0"/>
          <w:szCs w:val="21"/>
          <w:highlight w:val="none"/>
        </w:rPr>
        <w:t>。</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允许调整合同价格的工程量偏差范围：</w:t>
      </w:r>
      <w:r>
        <w:rPr>
          <w:rFonts w:hint="eastAsia" w:ascii="宋体" w:hAnsi="宋体"/>
          <w:color w:val="auto"/>
          <w:szCs w:val="21"/>
          <w:highlight w:val="none"/>
          <w:u w:val="single"/>
        </w:rPr>
        <w:t xml:space="preserve">        </w:t>
      </w:r>
      <w:r>
        <w:rPr>
          <w:rFonts w:hint="eastAsia" w:ascii="宋体" w:hAnsi="宋体"/>
          <w:color w:val="auto"/>
          <w:szCs w:val="21"/>
          <w:highlight w:val="none"/>
        </w:rPr>
        <w:t>。</w:t>
      </w:r>
    </w:p>
    <w:p>
      <w:pPr>
        <w:pStyle w:val="5"/>
        <w:keepNext/>
        <w:keepLines/>
        <w:spacing w:before="156" w:beforeLines="50" w:beforeAutospacing="0" w:after="156" w:afterLines="50" w:afterAutospacing="0" w:line="360" w:lineRule="auto"/>
        <w:jc w:val="both"/>
        <w:rPr>
          <w:bCs w:val="0"/>
          <w:color w:val="auto"/>
          <w:kern w:val="2"/>
          <w:sz w:val="21"/>
          <w:szCs w:val="21"/>
          <w:highlight w:val="none"/>
        </w:rPr>
      </w:pPr>
      <w:bookmarkStart w:id="645" w:name="_Toc532375609"/>
      <w:bookmarkStart w:id="646" w:name="_Toc351203634"/>
      <w:bookmarkStart w:id="647" w:name="_Toc532377331"/>
      <w:r>
        <w:rPr>
          <w:rFonts w:hint="eastAsia"/>
          <w:color w:val="auto"/>
          <w:kern w:val="2"/>
          <w:sz w:val="21"/>
          <w:szCs w:val="21"/>
          <w:highlight w:val="none"/>
        </w:rPr>
        <w:t>2</w:t>
      </w:r>
      <w:bookmarkStart w:id="648" w:name="_Toc296890985"/>
      <w:bookmarkStart w:id="649" w:name="_Toc292559867"/>
      <w:bookmarkStart w:id="650" w:name="_Toc296346658"/>
      <w:bookmarkStart w:id="651" w:name="_Toc297120457"/>
      <w:bookmarkStart w:id="652" w:name="_Toc296347156"/>
      <w:bookmarkStart w:id="653" w:name="_Toc296503157"/>
      <w:bookmarkStart w:id="654" w:name="_Toc297048343"/>
      <w:bookmarkStart w:id="655" w:name="_Toc292559362"/>
      <w:bookmarkStart w:id="656" w:name="_Toc296944496"/>
      <w:bookmarkStart w:id="657" w:name="_Toc296891197"/>
      <w:r>
        <w:rPr>
          <w:rFonts w:hint="eastAsia"/>
          <w:color w:val="auto"/>
          <w:kern w:val="2"/>
          <w:sz w:val="21"/>
          <w:szCs w:val="21"/>
          <w:highlight w:val="none"/>
        </w:rPr>
        <w:t>. 发包人</w:t>
      </w:r>
      <w:bookmarkEnd w:id="645"/>
      <w:bookmarkEnd w:id="646"/>
      <w:bookmarkEnd w:id="647"/>
    </w:p>
    <w:bookmarkEnd w:id="648"/>
    <w:bookmarkEnd w:id="649"/>
    <w:bookmarkEnd w:id="650"/>
    <w:bookmarkEnd w:id="651"/>
    <w:bookmarkEnd w:id="652"/>
    <w:bookmarkEnd w:id="653"/>
    <w:bookmarkEnd w:id="654"/>
    <w:bookmarkEnd w:id="655"/>
    <w:bookmarkEnd w:id="656"/>
    <w:bookmarkEnd w:id="657"/>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2.2.1 发包人代表</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发包人代表：</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姓    名：</w:t>
      </w:r>
      <w:r>
        <w:rPr>
          <w:rFonts w:ascii="宋体" w:hAnsi="宋体"/>
          <w:color w:val="auto"/>
          <w:szCs w:val="21"/>
          <w:highlight w:val="none"/>
          <w:u w:val="single"/>
        </w:rPr>
        <w:t xml:space="preserve">              </w:t>
      </w:r>
      <w:r>
        <w:rPr>
          <w:rFonts w:hint="eastAsia" w:ascii="宋体" w:hAnsi="宋体"/>
          <w:color w:val="auto"/>
          <w:szCs w:val="21"/>
          <w:highlight w:val="none"/>
        </w:rPr>
        <w:t>；</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身份证号：</w:t>
      </w:r>
      <w:r>
        <w:rPr>
          <w:rFonts w:ascii="宋体" w:hAnsi="宋体"/>
          <w:color w:val="auto"/>
          <w:szCs w:val="21"/>
          <w:highlight w:val="none"/>
          <w:u w:val="single"/>
        </w:rPr>
        <w:t xml:space="preserve">              </w:t>
      </w:r>
      <w:r>
        <w:rPr>
          <w:rFonts w:hint="eastAsia" w:ascii="宋体" w:hAnsi="宋体"/>
          <w:color w:val="auto"/>
          <w:szCs w:val="21"/>
          <w:highlight w:val="none"/>
        </w:rPr>
        <w:t>；</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职    务：</w:t>
      </w:r>
      <w:r>
        <w:rPr>
          <w:rFonts w:ascii="宋体" w:hAnsi="宋体"/>
          <w:color w:val="auto"/>
          <w:szCs w:val="21"/>
          <w:highlight w:val="none"/>
          <w:u w:val="single"/>
        </w:rPr>
        <w:t xml:space="preserve">              </w:t>
      </w:r>
      <w:r>
        <w:rPr>
          <w:rFonts w:hint="eastAsia" w:ascii="宋体" w:hAnsi="宋体"/>
          <w:color w:val="auto"/>
          <w:szCs w:val="21"/>
          <w:highlight w:val="none"/>
        </w:rPr>
        <w:t>；</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联系方式：</w:t>
      </w:r>
      <w:r>
        <w:rPr>
          <w:rFonts w:ascii="宋体" w:hAnsi="宋体"/>
          <w:color w:val="auto"/>
          <w:szCs w:val="21"/>
          <w:highlight w:val="none"/>
          <w:u w:val="single"/>
        </w:rPr>
        <w:t xml:space="preserve">              </w:t>
      </w:r>
      <w:r>
        <w:rPr>
          <w:rFonts w:hint="eastAsia" w:ascii="宋体" w:hAnsi="宋体"/>
          <w:color w:val="auto"/>
          <w:szCs w:val="21"/>
          <w:highlight w:val="none"/>
        </w:rPr>
        <w:t>；</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邮    编：</w:t>
      </w:r>
      <w:r>
        <w:rPr>
          <w:rFonts w:ascii="宋体" w:hAnsi="宋体"/>
          <w:color w:val="auto"/>
          <w:szCs w:val="21"/>
          <w:highlight w:val="none"/>
          <w:u w:val="single"/>
        </w:rPr>
        <w:t xml:space="preserve">              </w:t>
      </w:r>
      <w:r>
        <w:rPr>
          <w:rFonts w:hint="eastAsia" w:ascii="宋体" w:hAnsi="宋体"/>
          <w:color w:val="auto"/>
          <w:szCs w:val="21"/>
          <w:highlight w:val="none"/>
        </w:rPr>
        <w:t>；</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发包人对发包人代表的授权范围如下：</w:t>
      </w:r>
      <w:r>
        <w:rPr>
          <w:rFonts w:hint="eastAsia" w:ascii="宋体" w:hAnsi="宋体"/>
          <w:color w:val="auto"/>
          <w:szCs w:val="21"/>
          <w:highlight w:val="none"/>
          <w:u w:val="single"/>
        </w:rPr>
        <w:t>代表发包人对项目建设进行协调、管控、审查，确保安全、质量、环保、进度、成本可控，及时处理项目相关问题，向承包人、监理人等下达各类指令。由发包人授权的，以授权书载明的授权范围为准</w:t>
      </w:r>
      <w:r>
        <w:rPr>
          <w:rFonts w:hint="eastAsia" w:ascii="宋体" w:hAnsi="宋体"/>
          <w:color w:val="auto"/>
          <w:szCs w:val="21"/>
          <w:highlight w:val="none"/>
        </w:rPr>
        <w:t>。</w:t>
      </w:r>
    </w:p>
    <w:p>
      <w:pPr>
        <w:pStyle w:val="6"/>
        <w:spacing w:before="0" w:beforeAutospacing="0" w:after="0" w:afterAutospacing="0" w:line="360" w:lineRule="auto"/>
        <w:ind w:firstLine="422" w:firstLineChars="200"/>
        <w:rPr>
          <w:color w:val="auto"/>
          <w:sz w:val="21"/>
          <w:szCs w:val="21"/>
          <w:highlight w:val="none"/>
        </w:rPr>
      </w:pPr>
      <w:bookmarkStart w:id="658" w:name="_Toc532377332"/>
      <w:r>
        <w:rPr>
          <w:rFonts w:hint="eastAsia"/>
          <w:color w:val="auto"/>
          <w:sz w:val="21"/>
          <w:szCs w:val="21"/>
          <w:highlight w:val="none"/>
        </w:rPr>
        <w:t>2.4 施工现场、施工条件和基础资料的提供</w:t>
      </w:r>
      <w:bookmarkEnd w:id="658"/>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2.4.1 提供施工现场</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2.4.1.1 提供场地：</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施工场地的提供采用以下第</w:t>
      </w:r>
      <w:r>
        <w:rPr>
          <w:rFonts w:hint="eastAsia" w:ascii="宋体" w:hAnsi="宋体"/>
          <w:color w:val="auto"/>
          <w:szCs w:val="21"/>
          <w:highlight w:val="none"/>
          <w:u w:val="single"/>
        </w:rPr>
        <w:t xml:space="preserve">    </w:t>
      </w:r>
      <w:r>
        <w:rPr>
          <w:rFonts w:hint="eastAsia" w:ascii="宋体" w:hAnsi="宋体"/>
          <w:color w:val="auto"/>
          <w:szCs w:val="21"/>
          <w:highlight w:val="none"/>
        </w:rPr>
        <w:t>种方式：</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（1）一次提供全部施工场地：发包人于</w:t>
      </w:r>
      <w:r>
        <w:rPr>
          <w:rFonts w:hint="eastAsia" w:ascii="宋体" w:hAnsi="宋体"/>
          <w:color w:val="auto"/>
          <w:szCs w:val="21"/>
          <w:highlight w:val="none"/>
          <w:u w:val="single"/>
        </w:rPr>
        <w:t>开工</w:t>
      </w:r>
      <w:r>
        <w:rPr>
          <w:rFonts w:hint="eastAsia" w:ascii="宋体" w:hAnsi="宋体"/>
          <w:color w:val="auto"/>
          <w:szCs w:val="21"/>
          <w:highlight w:val="none"/>
        </w:rPr>
        <w:t>前向承包人提供合同工程用地红线范围内的施工场地。</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（2）分次提供全部施工场地：</w:t>
      </w:r>
      <w:r>
        <w:rPr>
          <w:rFonts w:hint="eastAsia" w:ascii="宋体" w:hAnsi="宋体"/>
          <w:color w:val="auto"/>
          <w:szCs w:val="21"/>
          <w:highlight w:val="none"/>
          <w:u w:val="single"/>
        </w:rPr>
        <w:t>发包人按约定的时间分次向承包人提供合同工程用地红线范围内的施工场地</w:t>
      </w:r>
      <w:r>
        <w:rPr>
          <w:rFonts w:hint="eastAsia" w:ascii="宋体" w:hAnsi="宋体"/>
          <w:color w:val="auto"/>
          <w:szCs w:val="21"/>
          <w:highlight w:val="none"/>
        </w:rPr>
        <w:t>。</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u w:val="single"/>
        </w:rPr>
        <w:t>承包人编制的施工组织计划已充分考虑了施工场地提供的因素</w:t>
      </w:r>
      <w:r>
        <w:rPr>
          <w:rFonts w:hint="eastAsia" w:ascii="宋体" w:hAnsi="宋体"/>
          <w:color w:val="auto"/>
          <w:szCs w:val="21"/>
          <w:highlight w:val="none"/>
        </w:rPr>
        <w:t>。</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u w:val="single"/>
        </w:rPr>
        <w:t>施工场地未能按约定提供的，承包人应结合施工场地实际交地情况，优化施工组织计划。施工场地未能按约定提供，影响项目关键线路的，承包人可提交索赔申请，并经监理人、发包人审批后可按约定顺延项目工期，否则工期不予顺延</w:t>
      </w:r>
      <w:r>
        <w:rPr>
          <w:rFonts w:hint="eastAsia" w:ascii="宋体" w:hAnsi="宋体"/>
          <w:color w:val="auto"/>
          <w:szCs w:val="21"/>
          <w:highlight w:val="none"/>
        </w:rPr>
        <w:t>。</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2.4.2 提供施工条件</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关于发包人应负责提供施工所需要的条件：</w:t>
      </w:r>
      <w:r>
        <w:rPr>
          <w:rFonts w:hint="eastAsia" w:ascii="宋体" w:hAnsi="宋体"/>
          <w:color w:val="auto"/>
          <w:szCs w:val="21"/>
          <w:highlight w:val="none"/>
          <w:u w:val="single"/>
        </w:rPr>
        <w:t xml:space="preserve">        </w:t>
      </w:r>
      <w:r>
        <w:rPr>
          <w:rFonts w:hint="eastAsia" w:ascii="宋体" w:hAnsi="宋体"/>
          <w:color w:val="auto"/>
          <w:szCs w:val="21"/>
          <w:highlight w:val="none"/>
        </w:rPr>
        <w:t>。</w:t>
      </w:r>
    </w:p>
    <w:p>
      <w:pPr>
        <w:pStyle w:val="6"/>
        <w:spacing w:before="0" w:beforeAutospacing="0" w:after="0" w:afterAutospacing="0" w:line="360" w:lineRule="auto"/>
        <w:ind w:firstLine="422" w:firstLineChars="200"/>
        <w:rPr>
          <w:color w:val="auto"/>
          <w:sz w:val="21"/>
          <w:szCs w:val="21"/>
          <w:highlight w:val="none"/>
        </w:rPr>
      </w:pPr>
      <w:bookmarkStart w:id="659" w:name="_Toc532377333"/>
      <w:r>
        <w:rPr>
          <w:rFonts w:hint="eastAsia"/>
          <w:color w:val="auto"/>
          <w:sz w:val="21"/>
          <w:szCs w:val="21"/>
          <w:highlight w:val="none"/>
        </w:rPr>
        <w:t>2.5 资金来源证明及支付担保</w:t>
      </w:r>
      <w:bookmarkEnd w:id="659"/>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发包人提供资金来源证明的期限要求：</w:t>
      </w:r>
      <w:r>
        <w:rPr>
          <w:rFonts w:hint="eastAsia" w:ascii="宋体" w:hAnsi="宋体"/>
          <w:color w:val="auto"/>
          <w:szCs w:val="21"/>
          <w:highlight w:val="none"/>
          <w:u w:val="single"/>
        </w:rPr>
        <w:t>不采用</w:t>
      </w:r>
      <w:r>
        <w:rPr>
          <w:rFonts w:hint="eastAsia" w:ascii="宋体" w:hAnsi="宋体"/>
          <w:color w:val="auto"/>
          <w:szCs w:val="21"/>
          <w:highlight w:val="none"/>
        </w:rPr>
        <w:t>。</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发包人是否提供支付担保：</w:t>
      </w:r>
      <w:r>
        <w:rPr>
          <w:rFonts w:hint="eastAsia" w:ascii="宋体" w:hAnsi="宋体"/>
          <w:color w:val="auto"/>
          <w:szCs w:val="21"/>
          <w:highlight w:val="none"/>
          <w:u w:val="single"/>
        </w:rPr>
        <w:t>提供</w:t>
      </w:r>
      <w:r>
        <w:rPr>
          <w:rFonts w:hint="eastAsia" w:ascii="宋体" w:hAnsi="宋体"/>
          <w:color w:val="auto"/>
          <w:szCs w:val="21"/>
          <w:highlight w:val="none"/>
        </w:rPr>
        <w:t>。</w:t>
      </w:r>
    </w:p>
    <w:p>
      <w:pPr>
        <w:spacing w:line="360" w:lineRule="auto"/>
        <w:ind w:firstLine="420" w:firstLineChars="200"/>
        <w:jc w:val="left"/>
        <w:rPr>
          <w:rFonts w:hint="eastAsia" w:ascii="宋体" w:hAnsi="宋体"/>
          <w:color w:val="auto"/>
          <w:szCs w:val="21"/>
          <w:highlight w:val="none"/>
        </w:rPr>
      </w:pPr>
      <w:r>
        <w:rPr>
          <w:rFonts w:hint="eastAsia" w:ascii="宋体" w:hAnsi="宋体"/>
          <w:color w:val="auto"/>
          <w:szCs w:val="21"/>
          <w:highlight w:val="none"/>
        </w:rPr>
        <w:t>支付担保的形式：</w:t>
      </w:r>
      <w:r>
        <w:rPr>
          <w:rFonts w:hint="eastAsia" w:ascii="宋体" w:hAnsi="宋体"/>
          <w:color w:val="auto"/>
          <w:szCs w:val="21"/>
          <w:highlight w:val="none"/>
          <w:u w:val="single"/>
        </w:rPr>
        <w:t xml:space="preserve">        </w:t>
      </w:r>
      <w:r>
        <w:rPr>
          <w:rFonts w:hint="eastAsia" w:ascii="宋体" w:hAnsi="宋体"/>
          <w:color w:val="auto"/>
          <w:szCs w:val="21"/>
          <w:highlight w:val="none"/>
        </w:rPr>
        <w:t>。</w:t>
      </w:r>
    </w:p>
    <w:p>
      <w:pPr>
        <w:spacing w:line="360" w:lineRule="auto"/>
        <w:ind w:firstLine="420" w:firstLineChars="200"/>
        <w:jc w:val="left"/>
        <w:rPr>
          <w:rFonts w:hint="eastAsia" w:ascii="宋体" w:hAnsi="宋体"/>
          <w:color w:val="auto"/>
          <w:szCs w:val="21"/>
          <w:highlight w:val="none"/>
        </w:rPr>
      </w:pPr>
      <w:r>
        <w:rPr>
          <w:rFonts w:hint="eastAsia" w:ascii="宋体" w:hAnsi="宋体"/>
          <w:color w:val="auto"/>
          <w:szCs w:val="21"/>
          <w:highlight w:val="none"/>
        </w:rPr>
        <w:t>支付担保的金额：</w:t>
      </w:r>
      <w:r>
        <w:rPr>
          <w:rFonts w:hint="eastAsia" w:ascii="宋体" w:hAnsi="宋体"/>
          <w:color w:val="auto"/>
          <w:szCs w:val="21"/>
          <w:highlight w:val="none"/>
          <w:u w:val="single"/>
        </w:rPr>
        <w:t xml:space="preserve">        </w:t>
      </w:r>
      <w:r>
        <w:rPr>
          <w:rFonts w:hint="eastAsia" w:ascii="宋体" w:hAnsi="宋体"/>
          <w:color w:val="auto"/>
          <w:szCs w:val="21"/>
          <w:highlight w:val="none"/>
        </w:rPr>
        <w:t>。</w:t>
      </w:r>
    </w:p>
    <w:p>
      <w:pPr>
        <w:spacing w:line="360" w:lineRule="auto"/>
        <w:ind w:firstLine="420" w:firstLineChars="200"/>
        <w:jc w:val="left"/>
        <w:rPr>
          <w:rFonts w:hint="eastAsia" w:ascii="宋体" w:hAnsi="宋体"/>
          <w:color w:val="auto"/>
          <w:szCs w:val="21"/>
          <w:highlight w:val="none"/>
        </w:rPr>
      </w:pPr>
      <w:r>
        <w:rPr>
          <w:rFonts w:hint="eastAsia" w:ascii="宋体" w:hAnsi="宋体"/>
          <w:color w:val="auto"/>
          <w:szCs w:val="21"/>
          <w:highlight w:val="none"/>
        </w:rPr>
        <w:t>支付担保的时间：</w:t>
      </w:r>
      <w:r>
        <w:rPr>
          <w:rFonts w:hint="eastAsia" w:ascii="宋体" w:hAnsi="宋体"/>
          <w:color w:val="auto"/>
          <w:szCs w:val="21"/>
          <w:highlight w:val="none"/>
          <w:u w:val="single"/>
        </w:rPr>
        <w:t xml:space="preserve">        </w:t>
      </w:r>
      <w:r>
        <w:rPr>
          <w:rFonts w:hint="eastAsia" w:ascii="宋体" w:hAnsi="宋体"/>
          <w:color w:val="auto"/>
          <w:szCs w:val="21"/>
          <w:highlight w:val="none"/>
        </w:rPr>
        <w:t>。</w:t>
      </w:r>
    </w:p>
    <w:p>
      <w:pPr>
        <w:spacing w:line="360" w:lineRule="auto"/>
        <w:ind w:firstLine="420" w:firstLineChars="200"/>
        <w:jc w:val="left"/>
        <w:rPr>
          <w:rFonts w:hint="eastAsia" w:ascii="宋体" w:hAnsi="宋体"/>
          <w:color w:val="auto"/>
          <w:szCs w:val="21"/>
          <w:highlight w:val="none"/>
        </w:rPr>
      </w:pPr>
      <w:r>
        <w:rPr>
          <w:rFonts w:hint="eastAsia" w:ascii="宋体" w:hAnsi="宋体"/>
          <w:color w:val="auto"/>
          <w:szCs w:val="21"/>
          <w:highlight w:val="none"/>
        </w:rPr>
        <w:t>支付担保的期限：</w:t>
      </w:r>
      <w:r>
        <w:rPr>
          <w:rFonts w:hint="eastAsia" w:ascii="宋体" w:hAnsi="宋体"/>
          <w:color w:val="auto"/>
          <w:szCs w:val="21"/>
          <w:highlight w:val="none"/>
          <w:u w:val="single"/>
        </w:rPr>
        <w:t xml:space="preserve">        </w:t>
      </w:r>
      <w:r>
        <w:rPr>
          <w:rFonts w:hint="eastAsia" w:ascii="宋体" w:hAnsi="宋体"/>
          <w:color w:val="auto"/>
          <w:szCs w:val="21"/>
          <w:highlight w:val="none"/>
        </w:rPr>
        <w:t>。</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支付担保的退还时间：</w:t>
      </w:r>
      <w:r>
        <w:rPr>
          <w:rFonts w:hint="eastAsia" w:ascii="宋体" w:hAnsi="宋体"/>
          <w:color w:val="auto"/>
          <w:szCs w:val="21"/>
          <w:highlight w:val="none"/>
          <w:u w:val="single"/>
        </w:rPr>
        <w:t xml:space="preserve">        </w:t>
      </w:r>
      <w:r>
        <w:rPr>
          <w:rFonts w:hint="eastAsia" w:ascii="宋体" w:hAnsi="宋体"/>
          <w:color w:val="auto"/>
          <w:szCs w:val="21"/>
          <w:highlight w:val="none"/>
        </w:rPr>
        <w:t>。</w:t>
      </w:r>
    </w:p>
    <w:p>
      <w:pPr>
        <w:pStyle w:val="5"/>
        <w:keepNext/>
        <w:keepLines/>
        <w:spacing w:before="156" w:beforeLines="50" w:beforeAutospacing="0" w:after="156" w:afterLines="50" w:afterAutospacing="0" w:line="360" w:lineRule="auto"/>
        <w:jc w:val="both"/>
        <w:rPr>
          <w:bCs w:val="0"/>
          <w:color w:val="auto"/>
          <w:kern w:val="2"/>
          <w:sz w:val="21"/>
          <w:szCs w:val="21"/>
          <w:highlight w:val="none"/>
        </w:rPr>
      </w:pPr>
      <w:bookmarkStart w:id="660" w:name="_Toc532375610"/>
      <w:bookmarkStart w:id="661" w:name="_Toc351203635"/>
      <w:bookmarkStart w:id="662" w:name="_Toc532377334"/>
      <w:r>
        <w:rPr>
          <w:rFonts w:hint="eastAsia"/>
          <w:color w:val="auto"/>
          <w:kern w:val="2"/>
          <w:sz w:val="21"/>
          <w:szCs w:val="21"/>
          <w:highlight w:val="none"/>
        </w:rPr>
        <w:t>3</w:t>
      </w:r>
      <w:bookmarkStart w:id="663" w:name="_Toc296944497"/>
      <w:bookmarkStart w:id="664" w:name="_Toc296891198"/>
      <w:bookmarkStart w:id="665" w:name="_Toc296890986"/>
      <w:bookmarkStart w:id="666" w:name="_Toc296346659"/>
      <w:bookmarkStart w:id="667" w:name="_Toc297120458"/>
      <w:bookmarkStart w:id="668" w:name="_Toc292559363"/>
      <w:bookmarkStart w:id="669" w:name="_Toc297048344"/>
      <w:bookmarkStart w:id="670" w:name="_Toc296347157"/>
      <w:bookmarkStart w:id="671" w:name="_Toc296503158"/>
      <w:bookmarkStart w:id="672" w:name="_Toc292559868"/>
      <w:r>
        <w:rPr>
          <w:rFonts w:hint="eastAsia"/>
          <w:color w:val="auto"/>
          <w:kern w:val="2"/>
          <w:sz w:val="21"/>
          <w:szCs w:val="21"/>
          <w:highlight w:val="none"/>
        </w:rPr>
        <w:t>. 承包人</w:t>
      </w:r>
      <w:bookmarkEnd w:id="660"/>
      <w:bookmarkEnd w:id="661"/>
      <w:bookmarkEnd w:id="662"/>
    </w:p>
    <w:bookmarkEnd w:id="663"/>
    <w:bookmarkEnd w:id="664"/>
    <w:bookmarkEnd w:id="665"/>
    <w:bookmarkEnd w:id="666"/>
    <w:bookmarkEnd w:id="667"/>
    <w:bookmarkEnd w:id="668"/>
    <w:bookmarkEnd w:id="669"/>
    <w:bookmarkEnd w:id="670"/>
    <w:bookmarkEnd w:id="671"/>
    <w:bookmarkEnd w:id="672"/>
    <w:p>
      <w:pPr>
        <w:pStyle w:val="6"/>
        <w:spacing w:before="0" w:beforeAutospacing="0" w:after="0" w:afterAutospacing="0" w:line="360" w:lineRule="auto"/>
        <w:ind w:firstLine="422" w:firstLineChars="200"/>
        <w:rPr>
          <w:color w:val="auto"/>
          <w:sz w:val="21"/>
          <w:szCs w:val="21"/>
          <w:highlight w:val="none"/>
        </w:rPr>
      </w:pPr>
      <w:bookmarkStart w:id="673" w:name="_Toc532377335"/>
      <w:r>
        <w:rPr>
          <w:rFonts w:hint="eastAsia"/>
          <w:color w:val="auto"/>
          <w:sz w:val="21"/>
          <w:szCs w:val="21"/>
          <w:highlight w:val="none"/>
        </w:rPr>
        <w:t>3.1 承包人的一般义务</w:t>
      </w:r>
      <w:bookmarkEnd w:id="673"/>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本款细化为3.1.1～3.1.10项：</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3.1.1办理法律规定和合同约定应由承包人办理的许可和批准，并将办理结果书面报送发包人留存；协助发包人办理施工所需的工程质量监督、安全监督、施工许可证等相关证件及手续。</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3.1.2按法律规定和合同约定完成工程，包括满足合同所必需的或合同隐含的以及由承包人义务而产生的任何工程，还应包括合同根据相关法律法规、技术规范等对工程的稳定性、完整性或安全、可靠、有效运行所必需的所有工程，并在保修期内承担保修义务。</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3.1.3按法律规定和合同约定采取施工安全和环境保护措施，办理工伤保险，确保工程及人员、材料、设备和设施的安全。施工期间，承包人应避免因施工危及红线范围外的邻近道路、建筑安全；应注意做好对周边建（构）筑物、绿化、设施设备的保护，做好围挡、监测以及安全防护，采取有效的防尘及降低噪声的措施，减小施工噪音及污水等对周边环境的影响包括对居民生活、工作、生产和经营等的影响；对不实施拆迁的建、构筑物应采取保护措施，并保证既有道路的正常通行。</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3.1.4按合同约定的工作内容和施工进度要求，编制施工组织设计和施工措施计划，并对所有施工作业和施工方法的完备性和安全可靠性负责。施工组织设计中的措施保障水平应满足工程按合同进度实施的需要，且不得低于投标时施工组织设计的措施保障水平。</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3.1.5在进行合同约定的各项工作时，不得侵害发包人与他人使用公用道路、水源、市政管网等公共设施的权利，避免对邻近的公共设施产生干扰。承包人占用或使用他人的施工场地，影响他人作业或生活的，应承担相应责任。</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3.1.6按照第6.3款〔环境保护〕约定负责施工场地及其周边环境与生态的保护工作。</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3.1.7按照第6.1款〔安全文明施工〕约定采取施工安全措施，确保工程及其人员、材料、设备和设施的安全，防止因工程施工造成的人身伤害和财产损失。</w:t>
      </w:r>
    </w:p>
    <w:p>
      <w:pPr>
        <w:autoSpaceDE w:val="0"/>
        <w:autoSpaceDN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3.1.8将发包人按合同约定支付的各项价款专用于合同工程，且应及时支付其雇用人员工资，并及时向分包人支付合同价款。</w:t>
      </w:r>
    </w:p>
    <w:p>
      <w:pPr>
        <w:autoSpaceDE w:val="0"/>
        <w:autoSpaceDN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3.1.9承包人提交的竣工资料的内容：</w:t>
      </w:r>
      <w:r>
        <w:rPr>
          <w:rFonts w:hint="eastAsia" w:ascii="宋体" w:hAnsi="宋体"/>
          <w:color w:val="auto"/>
          <w:szCs w:val="21"/>
          <w:highlight w:val="none"/>
          <w:u w:val="single"/>
        </w:rPr>
        <w:t>工程施工技术资料、工程质量保证资料、工程检验评定资料、竣工图及其他应交资料，应符合《建设工程文件归档整理规范》（GB/T50328-2014）和重庆市有关文件规定</w:t>
      </w:r>
      <w:r>
        <w:rPr>
          <w:rFonts w:hint="eastAsia" w:ascii="宋体" w:hAnsi="宋体"/>
          <w:color w:val="auto"/>
          <w:szCs w:val="21"/>
          <w:highlight w:val="none"/>
        </w:rPr>
        <w:t>。</w:t>
      </w:r>
    </w:p>
    <w:p>
      <w:pPr>
        <w:autoSpaceDE w:val="0"/>
        <w:autoSpaceDN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承包人需要提交的竣工资料套数：完整竣工资料一式</w:t>
      </w:r>
      <w:r>
        <w:rPr>
          <w:rFonts w:hint="eastAsia" w:ascii="宋体" w:hAnsi="宋体"/>
          <w:color w:val="auto"/>
          <w:szCs w:val="21"/>
          <w:highlight w:val="none"/>
          <w:u w:val="single"/>
        </w:rPr>
        <w:t xml:space="preserve"> </w:t>
      </w:r>
      <w:r>
        <w:rPr>
          <w:rFonts w:hint="eastAsia" w:ascii="宋体" w:hAnsi="宋体"/>
          <w:color w:val="auto"/>
          <w:szCs w:val="21"/>
          <w:highlight w:val="none"/>
          <w:u w:val="single"/>
          <w:lang w:val="en-US" w:eastAsia="zh-CN"/>
        </w:rPr>
        <w:t>4</w:t>
      </w:r>
      <w:r>
        <w:rPr>
          <w:rFonts w:hint="eastAsia" w:ascii="宋体" w:hAnsi="宋体"/>
          <w:color w:val="auto"/>
          <w:szCs w:val="21"/>
          <w:highlight w:val="none"/>
          <w:u w:val="single"/>
        </w:rPr>
        <w:t xml:space="preserve"> </w:t>
      </w:r>
      <w:r>
        <w:rPr>
          <w:rFonts w:hint="eastAsia" w:ascii="宋体" w:hAnsi="宋体"/>
          <w:color w:val="auto"/>
          <w:szCs w:val="21"/>
          <w:highlight w:val="none"/>
        </w:rPr>
        <w:t>套</w:t>
      </w:r>
      <w:r>
        <w:rPr>
          <w:rFonts w:hint="eastAsia" w:ascii="宋体" w:hAnsi="宋体"/>
          <w:color w:val="auto"/>
          <w:szCs w:val="21"/>
          <w:highlight w:val="none"/>
        </w:rPr>
        <w:t>（含电子文档）。</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承包人提交的竣工资料的费用承担：</w:t>
      </w:r>
      <w:r>
        <w:rPr>
          <w:rFonts w:hint="eastAsia" w:ascii="宋体" w:hAnsi="宋体"/>
          <w:color w:val="auto"/>
          <w:szCs w:val="21"/>
          <w:highlight w:val="none"/>
          <w:u w:val="single"/>
        </w:rPr>
        <w:t>由承包人承担</w:t>
      </w:r>
      <w:r>
        <w:rPr>
          <w:rFonts w:hint="eastAsia" w:ascii="宋体" w:hAnsi="宋体"/>
          <w:color w:val="auto"/>
          <w:szCs w:val="21"/>
          <w:highlight w:val="none"/>
        </w:rPr>
        <w:t>。</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承包人提交的竣工资料移交时间：</w:t>
      </w:r>
      <w:r>
        <w:rPr>
          <w:rFonts w:hint="eastAsia" w:ascii="宋体" w:hAnsi="宋体"/>
          <w:color w:val="auto"/>
          <w:szCs w:val="21"/>
          <w:highlight w:val="none"/>
          <w:u w:val="single"/>
        </w:rPr>
        <w:t>工程竣工验收合格后</w:t>
      </w:r>
      <w:r>
        <w:rPr>
          <w:rFonts w:hint="eastAsia" w:ascii="宋体" w:hAnsi="宋体"/>
          <w:color w:val="auto"/>
          <w:szCs w:val="21"/>
          <w:highlight w:val="none"/>
          <w:u w:val="single"/>
          <w:lang w:val="en-US" w:eastAsia="zh-CN"/>
        </w:rPr>
        <w:t>1</w:t>
      </w:r>
      <w:r>
        <w:rPr>
          <w:rFonts w:hint="eastAsia" w:ascii="宋体" w:hAnsi="宋体"/>
          <w:color w:val="auto"/>
          <w:szCs w:val="21"/>
          <w:highlight w:val="none"/>
          <w:u w:val="single"/>
        </w:rPr>
        <w:t>个月内移交给发包人</w:t>
      </w:r>
      <w:r>
        <w:rPr>
          <w:rFonts w:hint="eastAsia" w:ascii="宋体" w:hAnsi="宋体"/>
          <w:color w:val="auto"/>
          <w:szCs w:val="21"/>
          <w:highlight w:val="none"/>
        </w:rPr>
        <w:t>。</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承包人提交的竣工资料形式要求：</w:t>
      </w:r>
      <w:r>
        <w:rPr>
          <w:rFonts w:hint="eastAsia" w:ascii="宋体" w:hAnsi="宋体"/>
          <w:color w:val="auto"/>
          <w:szCs w:val="21"/>
          <w:highlight w:val="none"/>
          <w:u w:val="single"/>
        </w:rPr>
        <w:t>完整的书面文件及电子文档</w:t>
      </w:r>
      <w:r>
        <w:rPr>
          <w:rFonts w:hint="eastAsia" w:ascii="宋体" w:hAnsi="宋体"/>
          <w:color w:val="auto"/>
          <w:szCs w:val="21"/>
          <w:highlight w:val="none"/>
        </w:rPr>
        <w:t>。</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3.1.10承包人应履行的其他义务：</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3.1.10.1在开始施工之前，承包人应核查、复测本工程的各种基准标志。承包人应及时将上述基准标志中存在的错误、不完整或其他缺陷通知发包人，以便发包人核实后重新确认。</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3.1.10.2承包人应负责合同工程范围内测量控制网的测量设定和管理工作，为控制施工造成测量控制网误差累加，每月承包人复测一次测量控制网，并将修正数据及时通知发包人。经监理人批准，其他相关承包人可免费使用施工控制网。</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3.1.10.3承包人应在开始施工之前对本工程进行排查，补充完善遗漏的危大工程重点部位及环节。危大工程施工前，承包人应对危大工程编制专项施工方案，对于超过一定规模的危大工程，承包人还应组织召开专家论证会对专项施工方案进行论证，通过后方可实施。</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3.1.10.4承包人应服从发包人要求的管理模式、工作方式和工作要求，同时接受监理人、跟审单位的管理和全程监督，配合项目结、决算的办理。</w:t>
      </w:r>
    </w:p>
    <w:p>
      <w:pPr>
        <w:spacing w:line="360" w:lineRule="auto"/>
        <w:ind w:firstLine="420" w:firstLineChars="200"/>
        <w:jc w:val="left"/>
        <w:rPr>
          <w:rFonts w:hint="eastAsia" w:ascii="宋体" w:hAnsi="宋体"/>
          <w:color w:val="auto"/>
          <w:szCs w:val="21"/>
          <w:highlight w:val="none"/>
        </w:rPr>
      </w:pPr>
      <w:r>
        <w:rPr>
          <w:rFonts w:hint="eastAsia" w:ascii="宋体" w:hAnsi="宋体"/>
          <w:color w:val="auto"/>
          <w:szCs w:val="21"/>
          <w:highlight w:val="none"/>
        </w:rPr>
        <w:t>3.1.10.5</w:t>
      </w:r>
      <w:r>
        <w:rPr>
          <w:rFonts w:hint="eastAsia" w:ascii="宋体" w:hAnsi="宋体"/>
          <w:color w:val="auto"/>
          <w:szCs w:val="21"/>
          <w:highlight w:val="none"/>
          <w:u w:val="single"/>
        </w:rPr>
        <w:t>承包人应为本工程开立专用账户，接受发包人的监管</w:t>
      </w:r>
      <w:r>
        <w:rPr>
          <w:rFonts w:hint="eastAsia" w:ascii="宋体" w:hAnsi="宋体"/>
          <w:color w:val="auto"/>
          <w:szCs w:val="21"/>
          <w:highlight w:val="none"/>
        </w:rPr>
        <w:t>。</w:t>
      </w:r>
    </w:p>
    <w:p>
      <w:pPr>
        <w:pStyle w:val="6"/>
        <w:spacing w:before="0" w:beforeAutospacing="0" w:after="0" w:afterAutospacing="0" w:line="360" w:lineRule="auto"/>
        <w:ind w:firstLine="422" w:firstLineChars="200"/>
        <w:rPr>
          <w:color w:val="auto"/>
          <w:sz w:val="21"/>
          <w:szCs w:val="21"/>
          <w:highlight w:val="none"/>
        </w:rPr>
      </w:pPr>
      <w:bookmarkStart w:id="674" w:name="_Toc532377336"/>
      <w:r>
        <w:rPr>
          <w:rFonts w:hint="eastAsia"/>
          <w:color w:val="auto"/>
          <w:sz w:val="21"/>
          <w:szCs w:val="21"/>
          <w:highlight w:val="none"/>
        </w:rPr>
        <w:t>3.2 项目经理</w:t>
      </w:r>
      <w:bookmarkEnd w:id="674"/>
    </w:p>
    <w:p>
      <w:pPr>
        <w:spacing w:line="360" w:lineRule="auto"/>
        <w:ind w:firstLine="420" w:firstLineChars="200"/>
        <w:jc w:val="left"/>
        <w:rPr>
          <w:rFonts w:ascii="宋体" w:hAnsi="宋体"/>
          <w:color w:val="auto"/>
          <w:szCs w:val="21"/>
          <w:highlight w:val="none"/>
        </w:rPr>
      </w:pPr>
      <w:r>
        <w:rPr>
          <w:rFonts w:hint="eastAsia" w:ascii="宋体" w:hAnsi="宋体"/>
          <w:color w:val="auto"/>
          <w:kern w:val="0"/>
          <w:szCs w:val="21"/>
          <w:highlight w:val="none"/>
        </w:rPr>
        <w:t xml:space="preserve">3.2.1 </w:t>
      </w:r>
      <w:r>
        <w:rPr>
          <w:rFonts w:hint="eastAsia" w:ascii="宋体" w:hAnsi="宋体"/>
          <w:color w:val="auto"/>
          <w:szCs w:val="21"/>
          <w:highlight w:val="none"/>
        </w:rPr>
        <w:t>项目经理：</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姓    名：</w:t>
      </w:r>
      <w:r>
        <w:rPr>
          <w:rFonts w:ascii="宋体" w:hAnsi="宋体"/>
          <w:color w:val="auto"/>
          <w:szCs w:val="21"/>
          <w:highlight w:val="none"/>
          <w:u w:val="single"/>
        </w:rPr>
        <w:t xml:space="preserve">                          </w:t>
      </w:r>
      <w:r>
        <w:rPr>
          <w:rFonts w:hint="eastAsia" w:ascii="宋体" w:hAnsi="宋体"/>
          <w:color w:val="auto"/>
          <w:szCs w:val="21"/>
          <w:highlight w:val="none"/>
        </w:rPr>
        <w:t>；</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身份证号：</w:t>
      </w:r>
      <w:r>
        <w:rPr>
          <w:rFonts w:ascii="宋体" w:hAnsi="宋体"/>
          <w:color w:val="auto"/>
          <w:szCs w:val="21"/>
          <w:highlight w:val="none"/>
          <w:u w:val="single"/>
        </w:rPr>
        <w:t>                    </w:t>
      </w:r>
      <w:r>
        <w:rPr>
          <w:rFonts w:hint="eastAsia" w:ascii="宋体" w:hAnsi="宋体"/>
          <w:color w:val="auto"/>
          <w:szCs w:val="21"/>
          <w:highlight w:val="none"/>
        </w:rPr>
        <w:t>；</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建造师执业资格等级：</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hint="eastAsia" w:ascii="宋体" w:hAnsi="宋体"/>
          <w:color w:val="auto"/>
          <w:szCs w:val="21"/>
          <w:highlight w:val="none"/>
        </w:rPr>
        <w:t>；</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建造师注册证书号：</w:t>
      </w:r>
      <w:r>
        <w:rPr>
          <w:rFonts w:ascii="宋体" w:hAnsi="宋体"/>
          <w:color w:val="auto"/>
          <w:szCs w:val="21"/>
          <w:highlight w:val="none"/>
          <w:u w:val="single"/>
        </w:rPr>
        <w:t>       </w:t>
      </w:r>
      <w:r>
        <w:rPr>
          <w:rFonts w:hint="eastAsia" w:ascii="宋体" w:hAnsi="宋体"/>
          <w:color w:val="auto"/>
          <w:szCs w:val="21"/>
          <w:highlight w:val="none"/>
        </w:rPr>
        <w:t>；</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建造师执业印章号：</w:t>
      </w:r>
      <w:r>
        <w:rPr>
          <w:rFonts w:ascii="宋体" w:hAnsi="宋体"/>
          <w:color w:val="auto"/>
          <w:szCs w:val="21"/>
          <w:highlight w:val="none"/>
          <w:u w:val="single"/>
        </w:rPr>
        <w:t>                     </w:t>
      </w:r>
      <w:r>
        <w:rPr>
          <w:rFonts w:hint="eastAsia" w:ascii="宋体" w:hAnsi="宋体"/>
          <w:color w:val="auto"/>
          <w:szCs w:val="21"/>
          <w:highlight w:val="none"/>
        </w:rPr>
        <w:t>；</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安全生产考核合格证书号：</w:t>
      </w:r>
      <w:r>
        <w:rPr>
          <w:rFonts w:ascii="宋体" w:hAnsi="宋体"/>
          <w:color w:val="auto"/>
          <w:szCs w:val="21"/>
          <w:highlight w:val="none"/>
          <w:u w:val="single"/>
        </w:rPr>
        <w:t>           </w:t>
      </w:r>
      <w:r>
        <w:rPr>
          <w:rFonts w:hint="eastAsia" w:ascii="宋体" w:hAnsi="宋体"/>
          <w:color w:val="auto"/>
          <w:szCs w:val="21"/>
          <w:highlight w:val="none"/>
        </w:rPr>
        <w:t>；</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联系方式：</w:t>
      </w:r>
      <w:r>
        <w:rPr>
          <w:rFonts w:ascii="宋体" w:hAnsi="宋体"/>
          <w:color w:val="auto"/>
          <w:szCs w:val="21"/>
          <w:highlight w:val="none"/>
          <w:u w:val="single"/>
        </w:rPr>
        <w:t>         </w:t>
      </w:r>
      <w:r>
        <w:rPr>
          <w:rFonts w:hint="eastAsia" w:ascii="宋体" w:hAnsi="宋体"/>
          <w:color w:val="auto"/>
          <w:szCs w:val="21"/>
          <w:highlight w:val="none"/>
        </w:rPr>
        <w:t>。</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承包人对项目经理的授权范围如下：</w:t>
      </w:r>
      <w:r>
        <w:rPr>
          <w:rFonts w:hint="eastAsia" w:ascii="宋体" w:hAnsi="宋体"/>
          <w:color w:val="auto"/>
          <w:szCs w:val="21"/>
          <w:highlight w:val="none"/>
          <w:u w:val="single"/>
        </w:rPr>
        <w:t>严格按设计图纸、现行国家施工规范及验收规范组织施工，保证工程质量、进度、安全；及时向监理人、发包人报告现场情况（以承包人书面授权范围为准）</w:t>
      </w:r>
      <w:r>
        <w:rPr>
          <w:rFonts w:hint="eastAsia" w:ascii="宋体" w:hAnsi="宋体"/>
          <w:color w:val="auto"/>
          <w:szCs w:val="21"/>
          <w:highlight w:val="none"/>
        </w:rPr>
        <w:t>。</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关于项目经理每月在施工现场的时间要求：</w:t>
      </w:r>
      <w:r>
        <w:rPr>
          <w:rFonts w:hint="eastAsia" w:ascii="宋体" w:hAnsi="宋体"/>
          <w:color w:val="auto"/>
          <w:szCs w:val="21"/>
          <w:highlight w:val="none"/>
          <w:u w:val="single"/>
        </w:rPr>
        <w:t>不少于22天，由监理人负责项目经理的考勤</w:t>
      </w:r>
      <w:r>
        <w:rPr>
          <w:rFonts w:hint="eastAsia" w:ascii="宋体" w:hAnsi="宋体"/>
          <w:color w:val="auto"/>
          <w:szCs w:val="21"/>
          <w:highlight w:val="none"/>
        </w:rPr>
        <w:t>。</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u w:val="single"/>
        </w:rPr>
        <w:t>承包人应在合同签订后7天内提交与项目经理签订的劳动合同及为项目经理缴纳社会保险的证明，承包人未在限期内提交的，项目经理无权履行职责，发包人有权要求更换项目经理</w:t>
      </w:r>
      <w:r>
        <w:rPr>
          <w:rFonts w:hint="eastAsia" w:ascii="宋体" w:hAnsi="宋体"/>
          <w:color w:val="auto"/>
          <w:szCs w:val="21"/>
          <w:highlight w:val="none"/>
        </w:rPr>
        <w:t>。</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3.2.2 技术负责人</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姓    名：</w:t>
      </w:r>
      <w:r>
        <w:rPr>
          <w:rFonts w:ascii="宋体" w:hAnsi="宋体"/>
          <w:color w:val="auto"/>
          <w:szCs w:val="21"/>
          <w:highlight w:val="none"/>
          <w:u w:val="single"/>
        </w:rPr>
        <w:t xml:space="preserve">                          </w:t>
      </w:r>
      <w:r>
        <w:rPr>
          <w:rFonts w:hint="eastAsia" w:ascii="宋体" w:hAnsi="宋体"/>
          <w:color w:val="auto"/>
          <w:szCs w:val="21"/>
          <w:highlight w:val="none"/>
          <w:u w:val="single"/>
        </w:rPr>
        <w:t xml:space="preserve"> </w:t>
      </w:r>
      <w:r>
        <w:rPr>
          <w:rFonts w:hint="eastAsia" w:ascii="宋体" w:hAnsi="宋体"/>
          <w:color w:val="auto"/>
          <w:szCs w:val="21"/>
          <w:highlight w:val="none"/>
        </w:rPr>
        <w:t>；</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身份证号：</w:t>
      </w:r>
      <w:r>
        <w:rPr>
          <w:rFonts w:ascii="宋体" w:hAnsi="宋体"/>
          <w:color w:val="auto"/>
          <w:szCs w:val="21"/>
          <w:highlight w:val="none"/>
          <w:u w:val="single"/>
        </w:rPr>
        <w:t xml:space="preserve">                          </w:t>
      </w:r>
      <w:r>
        <w:rPr>
          <w:rFonts w:hint="eastAsia" w:ascii="宋体" w:hAnsi="宋体"/>
          <w:color w:val="auto"/>
          <w:szCs w:val="21"/>
          <w:highlight w:val="none"/>
          <w:u w:val="single"/>
        </w:rPr>
        <w:t xml:space="preserve"> </w:t>
      </w:r>
      <w:r>
        <w:rPr>
          <w:rFonts w:hint="eastAsia" w:ascii="宋体" w:hAnsi="宋体"/>
          <w:color w:val="auto"/>
          <w:szCs w:val="21"/>
          <w:highlight w:val="none"/>
        </w:rPr>
        <w:t>；</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联系方式：</w:t>
      </w:r>
      <w:r>
        <w:rPr>
          <w:rFonts w:ascii="宋体" w:hAnsi="宋体"/>
          <w:color w:val="auto"/>
          <w:szCs w:val="21"/>
          <w:highlight w:val="none"/>
          <w:u w:val="single"/>
        </w:rPr>
        <w:t xml:space="preserve">                          </w:t>
      </w:r>
      <w:r>
        <w:rPr>
          <w:rFonts w:hint="eastAsia" w:ascii="宋体" w:hAnsi="宋体"/>
          <w:color w:val="auto"/>
          <w:szCs w:val="21"/>
          <w:highlight w:val="none"/>
          <w:u w:val="single"/>
        </w:rPr>
        <w:t xml:space="preserve"> </w:t>
      </w:r>
      <w:r>
        <w:rPr>
          <w:rFonts w:hint="eastAsia" w:ascii="宋体" w:hAnsi="宋体"/>
          <w:color w:val="auto"/>
          <w:szCs w:val="21"/>
          <w:highlight w:val="none"/>
        </w:rPr>
        <w:t>；</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专     业：</w:t>
      </w:r>
      <w:r>
        <w:rPr>
          <w:rFonts w:ascii="宋体" w:hAnsi="宋体"/>
          <w:color w:val="auto"/>
          <w:szCs w:val="21"/>
          <w:highlight w:val="none"/>
          <w:u w:val="single"/>
        </w:rPr>
        <w:t xml:space="preserve">                          </w:t>
      </w:r>
      <w:r>
        <w:rPr>
          <w:rFonts w:hint="eastAsia" w:ascii="宋体" w:hAnsi="宋体"/>
          <w:color w:val="auto"/>
          <w:szCs w:val="21"/>
          <w:highlight w:val="none"/>
          <w:u w:val="single"/>
        </w:rPr>
        <w:t xml:space="preserve"> </w:t>
      </w:r>
      <w:r>
        <w:rPr>
          <w:rFonts w:hint="eastAsia" w:ascii="宋体" w:hAnsi="宋体"/>
          <w:color w:val="auto"/>
          <w:szCs w:val="21"/>
          <w:highlight w:val="none"/>
        </w:rPr>
        <w:t>；</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证书名称及号码：</w:t>
      </w:r>
      <w:r>
        <w:rPr>
          <w:rFonts w:ascii="宋体" w:hAnsi="宋体"/>
          <w:color w:val="auto"/>
          <w:szCs w:val="21"/>
          <w:highlight w:val="none"/>
          <w:u w:val="single"/>
        </w:rPr>
        <w:t xml:space="preserve">                         </w:t>
      </w:r>
      <w:r>
        <w:rPr>
          <w:rFonts w:hint="eastAsia" w:ascii="宋体" w:hAnsi="宋体"/>
          <w:color w:val="auto"/>
          <w:szCs w:val="21"/>
          <w:highlight w:val="none"/>
        </w:rPr>
        <w:t>；</w:t>
      </w:r>
    </w:p>
    <w:p>
      <w:pPr>
        <w:pStyle w:val="2"/>
        <w:spacing w:after="0" w:line="360" w:lineRule="auto"/>
        <w:rPr>
          <w:rFonts w:ascii="宋体" w:hAnsi="宋体"/>
          <w:color w:val="auto"/>
          <w:szCs w:val="21"/>
          <w:highlight w:val="none"/>
        </w:rPr>
      </w:pPr>
      <w:r>
        <w:rPr>
          <w:rFonts w:hint="eastAsia" w:ascii="宋体" w:hAnsi="宋体"/>
          <w:color w:val="auto"/>
          <w:szCs w:val="21"/>
          <w:highlight w:val="none"/>
        </w:rPr>
        <w:t xml:space="preserve">    </w:t>
      </w:r>
      <w:r>
        <w:rPr>
          <w:rFonts w:ascii="宋体" w:hAnsi="宋体"/>
          <w:color w:val="auto"/>
          <w:szCs w:val="21"/>
          <w:highlight w:val="none"/>
        </w:rPr>
        <w:t>联系方式：</w:t>
      </w:r>
      <w:r>
        <w:rPr>
          <w:rFonts w:ascii="宋体" w:hAnsi="宋体"/>
          <w:color w:val="auto"/>
          <w:szCs w:val="21"/>
          <w:highlight w:val="none"/>
          <w:u w:val="single"/>
        </w:rPr>
        <w:t xml:space="preserve">         </w:t>
      </w:r>
      <w:r>
        <w:rPr>
          <w:rFonts w:hint="eastAsia" w:ascii="宋体" w:hAnsi="宋体"/>
          <w:color w:val="auto"/>
          <w:szCs w:val="21"/>
          <w:highlight w:val="none"/>
        </w:rPr>
        <w:t>。</w:t>
      </w:r>
    </w:p>
    <w:p>
      <w:pPr>
        <w:spacing w:line="360" w:lineRule="auto"/>
        <w:ind w:firstLine="420" w:firstLineChars="200"/>
        <w:jc w:val="left"/>
        <w:rPr>
          <w:rFonts w:ascii="宋体" w:hAnsi="宋体"/>
          <w:color w:val="auto"/>
          <w:szCs w:val="21"/>
          <w:highlight w:val="none"/>
        </w:rPr>
      </w:pPr>
      <w:r>
        <w:rPr>
          <w:rFonts w:hint="eastAsia" w:ascii="宋体" w:hAnsi="宋体"/>
          <w:color w:val="auto"/>
          <w:kern w:val="0"/>
          <w:szCs w:val="21"/>
          <w:highlight w:val="none"/>
        </w:rPr>
        <w:t>关于技</w:t>
      </w:r>
      <w:r>
        <w:rPr>
          <w:rFonts w:hint="eastAsia" w:ascii="宋体" w:hAnsi="宋体"/>
          <w:color w:val="auto"/>
          <w:szCs w:val="21"/>
          <w:highlight w:val="none"/>
        </w:rPr>
        <w:t>术负责人每月在施工现场的时间要求：</w:t>
      </w:r>
      <w:r>
        <w:rPr>
          <w:rFonts w:hint="eastAsia" w:ascii="宋体" w:hAnsi="宋体"/>
          <w:color w:val="auto"/>
          <w:szCs w:val="21"/>
          <w:highlight w:val="none"/>
          <w:u w:val="single"/>
        </w:rPr>
        <w:t>不少于22天，由监理人负责技术负责人的考勤</w:t>
      </w:r>
      <w:r>
        <w:rPr>
          <w:rFonts w:hint="eastAsia" w:ascii="宋体" w:hAnsi="宋体"/>
          <w:color w:val="auto"/>
          <w:szCs w:val="21"/>
          <w:highlight w:val="none"/>
        </w:rPr>
        <w:t>。</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u w:val="single"/>
        </w:rPr>
        <w:t>承包人应在合同签订后7天内提交与技术负责人签订的劳动合同及为技术负责人缴纳社会保险的证明，承包人未在限期内提交的，技术负责人无权履行职责，发包人有权要求更换技术负责人</w:t>
      </w:r>
      <w:r>
        <w:rPr>
          <w:rFonts w:hint="eastAsia" w:ascii="宋体" w:hAnsi="宋体"/>
          <w:color w:val="auto"/>
          <w:szCs w:val="21"/>
          <w:highlight w:val="none"/>
        </w:rPr>
        <w:t>。</w:t>
      </w:r>
      <w:bookmarkStart w:id="675" w:name="_Hlk528927599"/>
    </w:p>
    <w:bookmarkEnd w:id="675"/>
    <w:p>
      <w:pPr>
        <w:spacing w:line="360" w:lineRule="auto"/>
        <w:ind w:firstLine="420" w:firstLineChars="200"/>
        <w:jc w:val="left"/>
        <w:rPr>
          <w:rFonts w:ascii="宋体" w:hAnsi="宋体"/>
          <w:color w:val="auto"/>
          <w:szCs w:val="21"/>
          <w:highlight w:val="none"/>
        </w:rPr>
      </w:pPr>
      <w:bookmarkStart w:id="676" w:name="_Hlk528927718"/>
      <w:r>
        <w:rPr>
          <w:rFonts w:hint="eastAsia" w:ascii="宋体" w:hAnsi="宋体"/>
          <w:color w:val="auto"/>
          <w:szCs w:val="21"/>
          <w:highlight w:val="none"/>
        </w:rPr>
        <w:t>3.2.3 发包人有权书面通知承包人更换其认为不称职/不履职的项目经理和（或）技术负责人，通知中应当载明要求更换的理由。承包人应在接到更换通知后7天内向发包人提出书面的改进报告。发包人收到改进报告后仍要求更换的，承包人应在接到第二次更换通知的14天内进行更换，并将新任命的项目经理和（或）技术负责人的注册执业资格、职称证书、管理经验等资料书面报送发包人审核批准。继任项目经理和（或）技术负责人继续履行合同约定的职责。</w:t>
      </w:r>
      <w:bookmarkEnd w:id="676"/>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若项目经理和技术负责人出现下列情形需更换的，承包人按通用条款第3.2.3项的规定向发包人发出通知，经发包人领导班子集体决策同意后予以批准，并将变更信息推送给行业主管部门：</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1、死亡；</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2、非承包人原因导致工期延长，而致使项目经理和技术负责人达到法定退休年龄且确需退休；</w:t>
      </w:r>
    </w:p>
    <w:p>
      <w:pPr>
        <w:spacing w:line="360" w:lineRule="auto"/>
        <w:ind w:firstLine="420" w:firstLineChars="200"/>
        <w:jc w:val="left"/>
        <w:rPr>
          <w:rFonts w:hint="eastAsia" w:ascii="宋体" w:hAnsi="宋体"/>
          <w:color w:val="auto"/>
          <w:szCs w:val="21"/>
          <w:highlight w:val="none"/>
        </w:rPr>
      </w:pPr>
      <w:r>
        <w:rPr>
          <w:rFonts w:hint="eastAsia" w:ascii="宋体" w:hAnsi="宋体"/>
          <w:color w:val="auto"/>
          <w:szCs w:val="21"/>
          <w:highlight w:val="none"/>
        </w:rPr>
        <w:t>3、按《职工非因工伤残或因病丧失劳动能力程度鉴定标准（试行）》规定鉴定为完全丧失劳动能力和大部分丧失劳动能力；</w:t>
      </w:r>
    </w:p>
    <w:p>
      <w:pPr>
        <w:spacing w:line="360" w:lineRule="auto"/>
        <w:ind w:firstLine="420" w:firstLineChars="200"/>
        <w:jc w:val="left"/>
        <w:rPr>
          <w:rFonts w:hint="eastAsia" w:ascii="宋体" w:hAnsi="宋体"/>
          <w:color w:val="auto"/>
          <w:szCs w:val="21"/>
          <w:highlight w:val="none"/>
        </w:rPr>
      </w:pPr>
      <w:r>
        <w:rPr>
          <w:rFonts w:hint="eastAsia" w:ascii="宋体" w:hAnsi="宋体"/>
          <w:color w:val="auto"/>
          <w:szCs w:val="21"/>
          <w:highlight w:val="none"/>
        </w:rPr>
        <w:t>4、非承包人原因导致中标3个月不能开工；</w:t>
      </w:r>
    </w:p>
    <w:p>
      <w:pPr>
        <w:spacing w:line="360" w:lineRule="auto"/>
        <w:ind w:firstLine="420" w:firstLineChars="200"/>
        <w:jc w:val="left"/>
        <w:rPr>
          <w:rFonts w:hint="eastAsia" w:ascii="宋体" w:hAnsi="宋体"/>
          <w:color w:val="auto"/>
          <w:szCs w:val="21"/>
          <w:highlight w:val="none"/>
        </w:rPr>
      </w:pPr>
      <w:r>
        <w:rPr>
          <w:rFonts w:hint="eastAsia" w:ascii="宋体" w:hAnsi="宋体"/>
          <w:color w:val="auto"/>
          <w:szCs w:val="21"/>
          <w:highlight w:val="none"/>
        </w:rPr>
        <w:t>5、被公安或者司法机关限制人身自由；</w:t>
      </w:r>
    </w:p>
    <w:p>
      <w:pPr>
        <w:spacing w:line="360" w:lineRule="auto"/>
        <w:ind w:firstLine="420" w:firstLineChars="200"/>
        <w:jc w:val="left"/>
        <w:rPr>
          <w:rFonts w:hint="eastAsia" w:ascii="宋体" w:hAnsi="宋体"/>
          <w:color w:val="auto"/>
          <w:szCs w:val="21"/>
          <w:highlight w:val="none"/>
        </w:rPr>
      </w:pPr>
      <w:r>
        <w:rPr>
          <w:rFonts w:hint="eastAsia" w:ascii="宋体" w:hAnsi="宋体"/>
          <w:color w:val="auto"/>
          <w:szCs w:val="21"/>
          <w:highlight w:val="none"/>
        </w:rPr>
        <w:t>6、被取消职称或者执业资格，不满足项目管理要求；</w:t>
      </w:r>
    </w:p>
    <w:p>
      <w:pPr>
        <w:spacing w:line="360" w:lineRule="auto"/>
        <w:ind w:firstLine="420" w:firstLineChars="200"/>
        <w:jc w:val="left"/>
        <w:rPr>
          <w:rFonts w:hint="eastAsia" w:ascii="宋体" w:hAnsi="宋体"/>
          <w:color w:val="auto"/>
          <w:szCs w:val="21"/>
          <w:highlight w:val="none"/>
        </w:rPr>
      </w:pPr>
      <w:r>
        <w:rPr>
          <w:rFonts w:hint="eastAsia" w:ascii="宋体" w:hAnsi="宋体"/>
          <w:color w:val="auto"/>
          <w:szCs w:val="21"/>
          <w:highlight w:val="none"/>
        </w:rPr>
        <w:t>7、非承包人原因导致确需变更的其它情形。</w:t>
      </w:r>
    </w:p>
    <w:p>
      <w:pPr>
        <w:spacing w:line="360" w:lineRule="auto"/>
        <w:ind w:firstLine="420" w:firstLineChars="200"/>
        <w:jc w:val="left"/>
        <w:rPr>
          <w:rFonts w:hint="eastAsia" w:ascii="宋体" w:hAnsi="宋体"/>
          <w:color w:val="auto"/>
          <w:szCs w:val="21"/>
          <w:highlight w:val="none"/>
        </w:rPr>
      </w:pPr>
      <w:r>
        <w:rPr>
          <w:rFonts w:hint="eastAsia" w:ascii="宋体" w:hAnsi="宋体"/>
          <w:color w:val="auto"/>
          <w:szCs w:val="21"/>
          <w:highlight w:val="none"/>
        </w:rPr>
        <w:t>本款补充3.2.6项</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3.2.6 国有资金投资项目其他主要人员变更参照《重庆市政府投资项目合同变更管理暂行办法》的规定。</w:t>
      </w:r>
    </w:p>
    <w:p>
      <w:pPr>
        <w:pStyle w:val="6"/>
        <w:spacing w:before="0" w:beforeAutospacing="0" w:after="0" w:afterAutospacing="0" w:line="360" w:lineRule="auto"/>
        <w:ind w:firstLine="422" w:firstLineChars="200"/>
        <w:rPr>
          <w:color w:val="auto"/>
          <w:sz w:val="21"/>
          <w:szCs w:val="21"/>
          <w:highlight w:val="none"/>
        </w:rPr>
      </w:pPr>
      <w:bookmarkStart w:id="677" w:name="_Toc532377337"/>
      <w:r>
        <w:rPr>
          <w:rFonts w:hint="eastAsia"/>
          <w:color w:val="auto"/>
          <w:sz w:val="21"/>
          <w:szCs w:val="21"/>
          <w:highlight w:val="none"/>
        </w:rPr>
        <w:t>3.3 承包人人员</w:t>
      </w:r>
      <w:bookmarkEnd w:id="677"/>
    </w:p>
    <w:p>
      <w:pPr>
        <w:spacing w:line="360" w:lineRule="auto"/>
        <w:ind w:firstLine="420" w:firstLineChars="200"/>
        <w:jc w:val="left"/>
        <w:rPr>
          <w:rFonts w:hint="eastAsia" w:ascii="宋体" w:hAnsi="宋体"/>
          <w:color w:val="auto"/>
          <w:szCs w:val="21"/>
          <w:highlight w:val="none"/>
        </w:rPr>
      </w:pPr>
      <w:r>
        <w:rPr>
          <w:rFonts w:hint="eastAsia" w:ascii="宋体" w:hAnsi="宋体"/>
          <w:color w:val="auto"/>
          <w:szCs w:val="21"/>
          <w:highlight w:val="none"/>
        </w:rPr>
        <w:t>3.3.1 承包人应按建设行政主管部门现行规定配备现场施工从业人员，具体要求如下：</w:t>
      </w:r>
      <w:r>
        <w:rPr>
          <w:rFonts w:hint="eastAsia" w:ascii="宋体" w:hAnsi="宋体"/>
          <w:color w:val="auto"/>
          <w:szCs w:val="21"/>
          <w:highlight w:val="none"/>
          <w:u w:val="single"/>
        </w:rPr>
        <w:t xml:space="preserve">        </w:t>
      </w:r>
    </w:p>
    <w:p>
      <w:pPr>
        <w:spacing w:line="360" w:lineRule="auto"/>
        <w:ind w:firstLine="420" w:firstLineChars="200"/>
        <w:jc w:val="left"/>
        <w:rPr>
          <w:rFonts w:hint="eastAsia" w:ascii="宋体" w:hAnsi="宋体"/>
          <w:color w:val="auto"/>
          <w:szCs w:val="21"/>
          <w:highlight w:val="none"/>
        </w:rPr>
      </w:pPr>
      <w:r>
        <w:rPr>
          <w:rFonts w:hint="eastAsia" w:ascii="宋体" w:hAnsi="宋体"/>
          <w:color w:val="auto"/>
          <w:szCs w:val="21"/>
          <w:highlight w:val="none"/>
        </w:rPr>
        <w:t>3.3.2承包人派驻到施工现场的主要施工管理人员在施工过程中如有变动，承包人应及时向监理人提交施工现场人员变动情况的报告。承包人更换主要施工管理人员时，应提前7天书面通知监理人，并征得发包人书面同意。通知中应当载明继任人员的职称、执业资格、项目管理经验等资料。更换后的施工管理人员应当是承包人的正式员工，且在职称、执业资格、项目管理经验等方面不低于原施工管理人员。</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3.3.3 发包人有权书面通知承包人更换其认为不称职的主要施工管理人员，通知中应当载明要求更换的理由。承包人应在接到更换通知后7天内向发包人提出书面的改进报告。发包人收到改进报告后仍要求更换的，承包人应在接到第二次更换通知的7天内进行更换，并将新委派的主要施工管理人员的注册执业资格、职称证书、管理经验等资料书面报送发包人审核批准。</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3.3.4 承包人主要施工管理人员离开施工现场，指定的临时人员需满足：</w:t>
      </w:r>
      <w:r>
        <w:rPr>
          <w:rFonts w:hint="eastAsia" w:ascii="宋体" w:hAnsi="宋体"/>
          <w:color w:val="auto"/>
          <w:szCs w:val="21"/>
          <w:highlight w:val="none"/>
          <w:u w:val="single"/>
        </w:rPr>
        <w:t>《重庆市房屋建筑与市政基础设施工程现场施工从业人员配备标准》（DBJ50-157-2013）的相应要求</w:t>
      </w:r>
      <w:r>
        <w:rPr>
          <w:rFonts w:hint="eastAsia" w:ascii="宋体" w:hAnsi="宋体"/>
          <w:color w:val="auto"/>
          <w:szCs w:val="21"/>
          <w:highlight w:val="none"/>
        </w:rPr>
        <w:t>。</w:t>
      </w:r>
    </w:p>
    <w:p>
      <w:pPr>
        <w:pStyle w:val="6"/>
        <w:spacing w:before="0" w:beforeAutospacing="0" w:after="0" w:afterAutospacing="0" w:line="360" w:lineRule="auto"/>
        <w:ind w:firstLine="422" w:firstLineChars="200"/>
        <w:rPr>
          <w:color w:val="auto"/>
          <w:sz w:val="21"/>
          <w:szCs w:val="21"/>
          <w:highlight w:val="none"/>
        </w:rPr>
      </w:pPr>
      <w:bookmarkStart w:id="678" w:name="_Toc532377338"/>
      <w:r>
        <w:rPr>
          <w:rFonts w:hint="eastAsia"/>
          <w:color w:val="auto"/>
          <w:sz w:val="21"/>
          <w:szCs w:val="21"/>
          <w:highlight w:val="none"/>
        </w:rPr>
        <w:t>3</w:t>
      </w:r>
      <w:bookmarkStart w:id="679" w:name="_Toc300934945"/>
      <w:bookmarkStart w:id="680" w:name="_Toc297216151"/>
      <w:bookmarkStart w:id="681" w:name="_Toc297120459"/>
      <w:bookmarkStart w:id="682" w:name="_Toc292559364"/>
      <w:bookmarkStart w:id="683" w:name="_Toc292559869"/>
      <w:bookmarkStart w:id="684" w:name="_Toc296347158"/>
      <w:bookmarkStart w:id="685" w:name="_Toc296891199"/>
      <w:bookmarkStart w:id="686" w:name="_Toc296890987"/>
      <w:bookmarkStart w:id="687" w:name="_Toc304295523"/>
      <w:bookmarkStart w:id="688" w:name="_Toc296944498"/>
      <w:bookmarkStart w:id="689" w:name="_Toc303539102"/>
      <w:bookmarkStart w:id="690" w:name="_Toc296346660"/>
      <w:bookmarkStart w:id="691" w:name="_Toc297123492"/>
      <w:bookmarkStart w:id="692" w:name="_Toc297048345"/>
      <w:bookmarkStart w:id="693" w:name="_Toc296503159"/>
      <w:bookmarkStart w:id="694" w:name="_Toc312677988"/>
      <w:r>
        <w:rPr>
          <w:rFonts w:hint="eastAsia"/>
          <w:color w:val="auto"/>
          <w:sz w:val="21"/>
          <w:szCs w:val="21"/>
          <w:highlight w:val="none"/>
        </w:rPr>
        <w:t>.5 分包</w:t>
      </w:r>
      <w:bookmarkEnd w:id="678"/>
    </w:p>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3</w:t>
      </w:r>
      <w:bookmarkStart w:id="695" w:name="_Toc296890988"/>
      <w:bookmarkStart w:id="696" w:name="_Toc296346661"/>
      <w:bookmarkStart w:id="697" w:name="_Toc297048346"/>
      <w:bookmarkStart w:id="698" w:name="_Toc296891200"/>
      <w:bookmarkStart w:id="699" w:name="_Toc296347159"/>
      <w:bookmarkStart w:id="700" w:name="_Toc318581158"/>
      <w:bookmarkStart w:id="701" w:name="_Toc303539103"/>
      <w:bookmarkStart w:id="702" w:name="_Toc297123493"/>
      <w:bookmarkStart w:id="703" w:name="_Toc296503160"/>
      <w:bookmarkStart w:id="704" w:name="_Toc292559365"/>
      <w:bookmarkStart w:id="705" w:name="_Toc300934946"/>
      <w:bookmarkStart w:id="706" w:name="_Toc296944499"/>
      <w:bookmarkStart w:id="707" w:name="_Toc292559870"/>
      <w:bookmarkStart w:id="708" w:name="_Toc312677989"/>
      <w:bookmarkStart w:id="709" w:name="_Toc304295524"/>
      <w:bookmarkStart w:id="710" w:name="_Toc297120460"/>
      <w:bookmarkStart w:id="711" w:name="_Toc297216152"/>
      <w:r>
        <w:rPr>
          <w:rFonts w:hint="eastAsia" w:ascii="宋体" w:hAnsi="宋体"/>
          <w:color w:val="auto"/>
          <w:szCs w:val="21"/>
          <w:highlight w:val="none"/>
        </w:rPr>
        <w:t>.5.1 分包的一般约定</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lang w:val="en-US" w:eastAsia="zh-CN"/>
        </w:rPr>
        <w:t>本工程</w:t>
      </w:r>
      <w:r>
        <w:rPr>
          <w:rFonts w:hint="eastAsia" w:ascii="宋体" w:hAnsi="宋体"/>
          <w:color w:val="auto"/>
          <w:szCs w:val="21"/>
          <w:highlight w:val="none"/>
        </w:rPr>
        <w:t>禁止分包的工程包括</w:t>
      </w:r>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p>
    <w:p>
      <w:pPr>
        <w:pStyle w:val="6"/>
        <w:spacing w:before="0" w:beforeAutospacing="0" w:after="0" w:afterAutospacing="0" w:line="360" w:lineRule="auto"/>
        <w:ind w:firstLine="422" w:firstLineChars="200"/>
        <w:rPr>
          <w:color w:val="auto"/>
          <w:sz w:val="21"/>
          <w:szCs w:val="21"/>
          <w:highlight w:val="none"/>
        </w:rPr>
      </w:pPr>
      <w:bookmarkStart w:id="712" w:name="_Toc532377339"/>
      <w:r>
        <w:rPr>
          <w:rFonts w:hint="eastAsia"/>
          <w:color w:val="auto"/>
          <w:sz w:val="21"/>
          <w:szCs w:val="21"/>
          <w:highlight w:val="none"/>
        </w:rPr>
        <w:t>3.7 履约担保</w:t>
      </w:r>
      <w:bookmarkEnd w:id="712"/>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3.7.1承包人是否提供履约担保：</w:t>
      </w:r>
      <w:r>
        <w:rPr>
          <w:rFonts w:hint="eastAsia" w:ascii="宋体" w:hAnsi="宋体"/>
          <w:color w:val="auto"/>
          <w:szCs w:val="21"/>
          <w:highlight w:val="none"/>
          <w:u w:val="single"/>
        </w:rPr>
        <w:t>提供</w:t>
      </w:r>
      <w:r>
        <w:rPr>
          <w:rFonts w:hint="eastAsia" w:ascii="宋体" w:hAnsi="宋体"/>
          <w:color w:val="auto"/>
          <w:szCs w:val="21"/>
          <w:highlight w:val="none"/>
        </w:rPr>
        <w:t>。</w:t>
      </w:r>
    </w:p>
    <w:p>
      <w:pPr>
        <w:spacing w:line="360" w:lineRule="auto"/>
        <w:ind w:firstLine="420" w:firstLineChars="200"/>
        <w:jc w:val="left"/>
        <w:rPr>
          <w:rFonts w:hint="eastAsia" w:ascii="宋体" w:hAnsi="宋体"/>
          <w:color w:val="auto"/>
          <w:szCs w:val="21"/>
          <w:highlight w:val="none"/>
        </w:rPr>
      </w:pPr>
      <w:r>
        <w:rPr>
          <w:rFonts w:hint="eastAsia" w:ascii="宋体" w:hAnsi="宋体"/>
          <w:color w:val="auto"/>
          <w:szCs w:val="21"/>
          <w:highlight w:val="none"/>
        </w:rPr>
        <w:t>3.7.2承包人提供履约担保的形式、金额及期限：</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（1）履约担保的形式：</w:t>
      </w:r>
      <w:r>
        <w:rPr>
          <w:rFonts w:hint="eastAsia" w:ascii="宋体" w:hAnsi="宋体"/>
          <w:color w:val="auto"/>
          <w:szCs w:val="21"/>
          <w:highlight w:val="none"/>
          <w:u w:val="none"/>
        </w:rPr>
        <w:t>现金或银行保函或现金+银行保函的组合；采用保函形式的，保函必须为不可撤销且见索即付</w:t>
      </w:r>
      <w:r>
        <w:rPr>
          <w:rFonts w:hint="eastAsia" w:ascii="宋体" w:hAnsi="宋体"/>
          <w:color w:val="auto"/>
          <w:szCs w:val="21"/>
          <w:highlight w:val="none"/>
        </w:rPr>
        <w:t>；</w:t>
      </w:r>
    </w:p>
    <w:p>
      <w:pPr>
        <w:tabs>
          <w:tab w:val="left" w:pos="1134"/>
        </w:tabs>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（2）履约担保的金额：</w:t>
      </w:r>
      <w:r>
        <w:rPr>
          <w:rFonts w:hint="eastAsia" w:ascii="仿宋_GB2312" w:hAnsi="宋体" w:eastAsia="仿宋_GB2312" w:cs="宋体"/>
          <w:color w:val="auto"/>
          <w:kern w:val="0"/>
          <w:szCs w:val="21"/>
          <w:highlight w:val="none"/>
        </w:rPr>
        <w:t xml:space="preserve">            </w:t>
      </w:r>
      <w:r>
        <w:rPr>
          <w:rFonts w:hint="eastAsia" w:ascii="宋体" w:hAnsi="宋体"/>
          <w:color w:val="auto"/>
          <w:szCs w:val="21"/>
          <w:highlight w:val="none"/>
        </w:rPr>
        <w:t>；</w:t>
      </w:r>
    </w:p>
    <w:p>
      <w:pPr>
        <w:tabs>
          <w:tab w:val="left" w:pos="1134"/>
        </w:tabs>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（3）履约担保的提交时间：</w:t>
      </w:r>
      <w:r>
        <w:rPr>
          <w:rFonts w:hint="eastAsia" w:ascii="宋体" w:hAnsi="宋体"/>
          <w:color w:val="auto"/>
          <w:szCs w:val="21"/>
          <w:highlight w:val="none"/>
          <w:u w:val="single"/>
        </w:rPr>
        <w:t>在合同签订前，承包人按担保金额向发包人提交履约担保</w:t>
      </w:r>
      <w:r>
        <w:rPr>
          <w:rFonts w:hint="eastAsia" w:ascii="宋体" w:hAnsi="宋体"/>
          <w:color w:val="auto"/>
          <w:szCs w:val="21"/>
          <w:highlight w:val="none"/>
        </w:rPr>
        <w:t>。</w:t>
      </w:r>
    </w:p>
    <w:p>
      <w:pPr>
        <w:tabs>
          <w:tab w:val="left" w:pos="1134"/>
        </w:tabs>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（4）履约担保的期限：</w:t>
      </w:r>
      <w:r>
        <w:rPr>
          <w:rFonts w:hint="eastAsia" w:ascii="宋体" w:hAnsi="宋体"/>
          <w:color w:val="auto"/>
          <w:szCs w:val="21"/>
          <w:highlight w:val="none"/>
          <w:u w:val="single"/>
        </w:rPr>
        <w:t>自我方法定代表人（或其委托代理人）签字并加盖公章之日起至你方签发或应签发工程接收证书之日止</w:t>
      </w:r>
      <w:r>
        <w:rPr>
          <w:rFonts w:hint="eastAsia" w:ascii="宋体" w:hAnsi="宋体"/>
          <w:color w:val="auto"/>
          <w:szCs w:val="21"/>
          <w:highlight w:val="none"/>
        </w:rPr>
        <w:t>。</w:t>
      </w:r>
    </w:p>
    <w:p>
      <w:pPr>
        <w:tabs>
          <w:tab w:val="left" w:pos="1134"/>
        </w:tabs>
        <w:spacing w:line="360" w:lineRule="auto"/>
        <w:jc w:val="left"/>
        <w:rPr>
          <w:rFonts w:ascii="宋体" w:hAnsi="宋体"/>
          <w:color w:val="auto"/>
          <w:szCs w:val="21"/>
          <w:highlight w:val="none"/>
        </w:rPr>
      </w:pPr>
      <w:r>
        <w:rPr>
          <w:rFonts w:hint="eastAsia" w:ascii="宋体" w:hAnsi="宋体"/>
          <w:color w:val="auto"/>
          <w:szCs w:val="21"/>
          <w:highlight w:val="none"/>
        </w:rPr>
        <w:t>（5）履约担保的退还时间：</w:t>
      </w:r>
      <w:r>
        <w:rPr>
          <w:rFonts w:hint="eastAsia" w:ascii="宋体" w:hAnsi="宋体"/>
          <w:color w:val="auto"/>
          <w:szCs w:val="21"/>
          <w:highlight w:val="none"/>
          <w:u w:val="single"/>
        </w:rPr>
        <w:t>采用现金担保的，工程竣工验收合格后14天内无息退还；采用银行保函的，工程竣工验收合格后14天内退还</w:t>
      </w:r>
      <w:r>
        <w:rPr>
          <w:rFonts w:hint="eastAsia" w:ascii="宋体" w:hAnsi="宋体"/>
          <w:color w:val="auto"/>
          <w:szCs w:val="21"/>
          <w:highlight w:val="none"/>
        </w:rPr>
        <w:t>。</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本款补充3.7.3项：</w:t>
      </w:r>
    </w:p>
    <w:p>
      <w:pPr>
        <w:pStyle w:val="2"/>
        <w:spacing w:after="0"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3.7.3 低价风险担保</w:t>
      </w:r>
    </w:p>
    <w:p>
      <w:pPr>
        <w:spacing w:line="360" w:lineRule="auto"/>
        <w:ind w:firstLine="420" w:firstLineChars="200"/>
        <w:jc w:val="left"/>
        <w:rPr>
          <w:rFonts w:hint="eastAsia" w:ascii="宋体" w:hAnsi="宋体"/>
          <w:color w:val="auto"/>
          <w:szCs w:val="21"/>
          <w:highlight w:val="none"/>
        </w:rPr>
      </w:pPr>
      <w:r>
        <w:rPr>
          <w:rFonts w:hint="eastAsia" w:ascii="宋体" w:hAnsi="宋体"/>
          <w:color w:val="auto"/>
          <w:szCs w:val="21"/>
          <w:highlight w:val="none"/>
        </w:rPr>
        <w:t>承包人提供低价风险担保的情形：采用经评审的最低投标价法的项目投标报价低于最高限价85%时。</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承包人提供低价风险担保的形式、金额及期限：</w:t>
      </w:r>
    </w:p>
    <w:p>
      <w:pPr>
        <w:numPr>
          <w:ilvl w:val="0"/>
          <w:numId w:val="2"/>
        </w:numPr>
        <w:spacing w:line="360" w:lineRule="auto"/>
        <w:ind w:firstLine="420" w:firstLineChars="200"/>
        <w:jc w:val="left"/>
        <w:rPr>
          <w:rFonts w:hint="eastAsia" w:ascii="宋体" w:hAnsi="宋体"/>
          <w:color w:val="auto"/>
          <w:szCs w:val="21"/>
          <w:highlight w:val="none"/>
        </w:rPr>
      </w:pPr>
      <w:r>
        <w:rPr>
          <w:rFonts w:hint="eastAsia" w:ascii="宋体" w:hAnsi="宋体"/>
          <w:color w:val="auto"/>
          <w:szCs w:val="21"/>
          <w:highlight w:val="none"/>
        </w:rPr>
        <w:t>低价风险担保的形式：现金</w:t>
      </w:r>
    </w:p>
    <w:p>
      <w:pPr>
        <w:keepNext w:val="0"/>
        <w:keepLines w:val="0"/>
        <w:pageBreakBefore w:val="0"/>
        <w:widowControl/>
        <w:kinsoku/>
        <w:wordWrap/>
        <w:overflowPunct/>
        <w:topLinePunct w:val="0"/>
        <w:autoSpaceDE/>
        <w:autoSpaceDN/>
        <w:bidi w:val="0"/>
        <w:snapToGrid w:val="0"/>
        <w:spacing w:after="0" w:line="340" w:lineRule="exact"/>
        <w:ind w:left="0" w:leftChars="0" w:right="0" w:rightChars="0" w:firstLine="420" w:firstLineChars="200"/>
        <w:jc w:val="left"/>
        <w:textAlignment w:val="auto"/>
        <w:outlineLvl w:val="9"/>
        <w:rPr>
          <w:rFonts w:hint="eastAsia" w:asciiTheme="minorEastAsia" w:hAnsiTheme="minorEastAsia" w:eastAsiaTheme="minorEastAsia" w:cstheme="minorEastAsia"/>
          <w:color w:val="auto"/>
          <w:sz w:val="21"/>
          <w:szCs w:val="21"/>
          <w:highlight w:val="none"/>
        </w:rPr>
      </w:pPr>
      <w:r>
        <w:rPr>
          <w:rFonts w:hint="eastAsia" w:ascii="宋体" w:hAnsi="宋体"/>
          <w:color w:val="auto"/>
          <w:szCs w:val="21"/>
          <w:highlight w:val="none"/>
        </w:rPr>
        <w:t>（2）低价风险担保的金额：</w:t>
      </w:r>
      <w:r>
        <w:rPr>
          <w:rFonts w:hint="eastAsia" w:asciiTheme="minorEastAsia" w:hAnsiTheme="minorEastAsia" w:eastAsiaTheme="minorEastAsia" w:cstheme="minorEastAsia"/>
          <w:color w:val="auto"/>
          <w:sz w:val="21"/>
          <w:szCs w:val="21"/>
          <w:highlight w:val="none"/>
        </w:rPr>
        <w:t>（最高限价×85%-中标价）×3，且最高不超过最高限价的85%。</w:t>
      </w:r>
    </w:p>
    <w:p>
      <w:pPr>
        <w:tabs>
          <w:tab w:val="left" w:pos="1134"/>
        </w:tabs>
        <w:spacing w:line="360" w:lineRule="auto"/>
        <w:ind w:firstLine="420" w:firstLineChars="200"/>
        <w:jc w:val="left"/>
        <w:rPr>
          <w:rFonts w:hint="eastAsia" w:ascii="宋体" w:hAnsi="宋体"/>
          <w:color w:val="auto"/>
          <w:szCs w:val="21"/>
          <w:highlight w:val="none"/>
        </w:rPr>
      </w:pPr>
      <w:r>
        <w:rPr>
          <w:rFonts w:hint="eastAsia" w:ascii="宋体" w:hAnsi="宋体"/>
          <w:color w:val="auto"/>
          <w:szCs w:val="21"/>
          <w:highlight w:val="none"/>
        </w:rPr>
        <w:t>（3）低价风险担保的提交时间：</w:t>
      </w:r>
      <w:r>
        <w:rPr>
          <w:rFonts w:hint="eastAsia"/>
          <w:color w:val="auto"/>
          <w:szCs w:val="21"/>
          <w:highlight w:val="none"/>
          <w:u w:val="single"/>
        </w:rPr>
        <w:t xml:space="preserve">从招标人低价风险担保书面通知送达拟中标人之日起    </w:t>
      </w:r>
      <w:r>
        <w:rPr>
          <w:rFonts w:hint="eastAsia"/>
          <w:color w:val="auto"/>
          <w:szCs w:val="21"/>
          <w:highlight w:val="none"/>
          <w:u w:val="single"/>
          <w:lang w:val="en-US" w:eastAsia="zh-CN"/>
        </w:rPr>
        <w:t>5个</w:t>
      </w:r>
      <w:r>
        <w:rPr>
          <w:rFonts w:hint="eastAsia"/>
          <w:color w:val="auto"/>
          <w:szCs w:val="21"/>
          <w:highlight w:val="none"/>
          <w:u w:val="single"/>
        </w:rPr>
        <w:t>工作日内</w:t>
      </w:r>
      <w:r>
        <w:rPr>
          <w:rFonts w:hint="eastAsia" w:ascii="宋体" w:hAnsi="宋体"/>
          <w:color w:val="auto"/>
          <w:szCs w:val="21"/>
          <w:highlight w:val="none"/>
        </w:rPr>
        <w:t>；</w:t>
      </w:r>
    </w:p>
    <w:p>
      <w:pPr>
        <w:tabs>
          <w:tab w:val="left" w:pos="1134"/>
        </w:tabs>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（4）低价风险担保的期限：</w:t>
      </w:r>
      <w:r>
        <w:rPr>
          <w:rFonts w:hint="eastAsia"/>
          <w:color w:val="auto"/>
          <w:szCs w:val="21"/>
          <w:highlight w:val="none"/>
          <w:u w:val="single"/>
        </w:rPr>
        <w:t>自低价风险担保生效之日起至竣工验收合格之日止</w:t>
      </w:r>
      <w:r>
        <w:rPr>
          <w:rFonts w:hint="eastAsia" w:ascii="宋体" w:hAnsi="宋体"/>
          <w:color w:val="auto"/>
          <w:szCs w:val="21"/>
          <w:highlight w:val="none"/>
        </w:rPr>
        <w:t>。</w:t>
      </w:r>
    </w:p>
    <w:p>
      <w:pPr>
        <w:pStyle w:val="2"/>
        <w:spacing w:after="0" w:line="360" w:lineRule="auto"/>
        <w:ind w:firstLine="420" w:firstLineChars="200"/>
        <w:jc w:val="left"/>
        <w:rPr>
          <w:rFonts w:hint="eastAsia" w:ascii="宋体" w:hAnsi="宋体"/>
          <w:color w:val="auto"/>
          <w:szCs w:val="21"/>
          <w:highlight w:val="none"/>
        </w:rPr>
      </w:pPr>
      <w:r>
        <w:rPr>
          <w:rFonts w:hint="eastAsia" w:ascii="宋体" w:hAnsi="宋体"/>
          <w:color w:val="auto"/>
          <w:szCs w:val="21"/>
          <w:highlight w:val="none"/>
        </w:rPr>
        <w:t>低价风险担保的退还时间：</w:t>
      </w:r>
      <w:r>
        <w:rPr>
          <w:rFonts w:hint="eastAsia" w:ascii="宋体" w:hAnsi="宋体"/>
          <w:color w:val="auto"/>
          <w:szCs w:val="21"/>
          <w:highlight w:val="none"/>
          <w:u w:val="single"/>
        </w:rPr>
        <w:t>采用现金担保的，工程竣工验收合格后14天内无息退还</w:t>
      </w:r>
      <w:r>
        <w:rPr>
          <w:rFonts w:hint="eastAsia" w:ascii="宋体" w:hAnsi="宋体"/>
          <w:color w:val="auto"/>
          <w:szCs w:val="21"/>
          <w:highlight w:val="none"/>
        </w:rPr>
        <w:t>。</w:t>
      </w:r>
    </w:p>
    <w:p>
      <w:pPr>
        <w:pStyle w:val="2"/>
        <w:spacing w:after="0" w:line="360" w:lineRule="auto"/>
        <w:ind w:firstLine="420" w:firstLineChars="200"/>
        <w:jc w:val="left"/>
        <w:rPr>
          <w:rFonts w:hint="eastAsia" w:ascii="宋体" w:hAnsi="宋体"/>
          <w:color w:val="auto"/>
          <w:szCs w:val="21"/>
          <w:highlight w:val="none"/>
        </w:rPr>
      </w:pPr>
      <w:r>
        <w:rPr>
          <w:rFonts w:hint="eastAsia" w:ascii="宋体" w:hAnsi="宋体"/>
          <w:color w:val="auto"/>
          <w:szCs w:val="21"/>
          <w:highlight w:val="none"/>
        </w:rPr>
        <w:t>（5）低价风险担保的扣减：</w:t>
      </w:r>
    </w:p>
    <w:p>
      <w:pPr>
        <w:pStyle w:val="2"/>
        <w:spacing w:after="0" w:line="360" w:lineRule="auto"/>
        <w:ind w:firstLine="420" w:firstLineChars="200"/>
        <w:jc w:val="left"/>
        <w:rPr>
          <w:rFonts w:hint="eastAsia" w:ascii="宋体" w:hAnsi="宋体"/>
          <w:color w:val="auto"/>
          <w:szCs w:val="21"/>
          <w:highlight w:val="none"/>
        </w:rPr>
      </w:pPr>
      <w:r>
        <w:rPr>
          <w:rFonts w:hint="eastAsia" w:ascii="宋体" w:hAnsi="宋体"/>
          <w:color w:val="auto"/>
          <w:szCs w:val="21"/>
          <w:highlight w:val="none"/>
        </w:rPr>
        <w:t>①承包人在工程施工期间，以其投标时填报的工程主要材料价格低于同期工程造价管理机构发布的信息价格为由拒绝材料采购；或因其自身其他原因导致工程窝工或停工等，给发包人造成直接经济损失且拒绝承担的，按低价风险担保金额的</w:t>
      </w:r>
      <w:r>
        <w:rPr>
          <w:rFonts w:hint="eastAsia" w:ascii="宋体" w:hAnsi="宋体"/>
          <w:color w:val="auto"/>
          <w:szCs w:val="21"/>
          <w:highlight w:val="none"/>
          <w:u w:val="single"/>
        </w:rPr>
        <w:t>50～100%</w:t>
      </w:r>
      <w:r>
        <w:rPr>
          <w:rFonts w:hint="eastAsia" w:ascii="宋体" w:hAnsi="宋体"/>
          <w:color w:val="auto"/>
          <w:szCs w:val="21"/>
          <w:highlight w:val="none"/>
        </w:rPr>
        <w:t>扣减，直至解除合同；</w:t>
      </w:r>
    </w:p>
    <w:p>
      <w:pPr>
        <w:pStyle w:val="2"/>
        <w:spacing w:after="0" w:line="360" w:lineRule="auto"/>
        <w:ind w:firstLine="420" w:firstLineChars="200"/>
        <w:jc w:val="left"/>
        <w:rPr>
          <w:rFonts w:hint="eastAsia" w:ascii="宋体" w:hAnsi="宋体"/>
          <w:color w:val="auto"/>
          <w:szCs w:val="21"/>
          <w:highlight w:val="none"/>
        </w:rPr>
      </w:pPr>
      <w:r>
        <w:rPr>
          <w:rFonts w:hint="eastAsia" w:ascii="宋体" w:hAnsi="宋体"/>
          <w:color w:val="auto"/>
          <w:szCs w:val="21"/>
          <w:highlight w:val="none"/>
        </w:rPr>
        <w:t>②承包人在工程施工期间或竣工验收时，工程质量不符合国家现行有关施工质量验收规范要求的，按低价风险担保金额的</w:t>
      </w:r>
      <w:r>
        <w:rPr>
          <w:rFonts w:hint="eastAsia" w:ascii="宋体" w:hAnsi="宋体"/>
          <w:color w:val="auto"/>
          <w:szCs w:val="21"/>
          <w:highlight w:val="none"/>
          <w:u w:val="single"/>
        </w:rPr>
        <w:t>50～100%</w:t>
      </w:r>
      <w:r>
        <w:rPr>
          <w:rFonts w:hint="eastAsia" w:ascii="宋体" w:hAnsi="宋体"/>
          <w:color w:val="auto"/>
          <w:szCs w:val="21"/>
          <w:highlight w:val="none"/>
        </w:rPr>
        <w:t>扣减，直至解除合同；</w:t>
      </w:r>
    </w:p>
    <w:p>
      <w:pPr>
        <w:pStyle w:val="2"/>
        <w:spacing w:after="0" w:line="360" w:lineRule="auto"/>
        <w:ind w:firstLine="420" w:firstLineChars="200"/>
        <w:jc w:val="left"/>
        <w:rPr>
          <w:rFonts w:hint="eastAsia" w:ascii="宋体" w:hAnsi="宋体"/>
          <w:color w:val="auto"/>
          <w:szCs w:val="21"/>
          <w:highlight w:val="none"/>
        </w:rPr>
      </w:pPr>
      <w:r>
        <w:rPr>
          <w:rFonts w:hint="eastAsia" w:ascii="宋体" w:hAnsi="宋体"/>
          <w:color w:val="auto"/>
          <w:szCs w:val="21"/>
          <w:highlight w:val="none"/>
        </w:rPr>
        <w:t>③承包人因16.2.3项原因被解除合同的，低价风险担保将全额扣除；</w:t>
      </w:r>
    </w:p>
    <w:p>
      <w:pPr>
        <w:pStyle w:val="2"/>
        <w:spacing w:after="0" w:line="360" w:lineRule="auto"/>
        <w:ind w:firstLine="420" w:firstLineChars="200"/>
        <w:jc w:val="left"/>
        <w:rPr>
          <w:rFonts w:ascii="宋体" w:hAnsi="宋体"/>
          <w:color w:val="auto"/>
          <w:szCs w:val="21"/>
          <w:highlight w:val="none"/>
          <w:u w:val="single"/>
        </w:rPr>
      </w:pPr>
      <w:r>
        <w:rPr>
          <w:rFonts w:hint="eastAsia" w:ascii="宋体" w:hAnsi="宋体"/>
          <w:color w:val="auto"/>
          <w:szCs w:val="21"/>
          <w:highlight w:val="none"/>
        </w:rPr>
        <w:t>④因承包人过错导致的其他情形：</w:t>
      </w:r>
      <w:r>
        <w:rPr>
          <w:rFonts w:hint="eastAsia" w:ascii="宋体" w:hAnsi="宋体"/>
          <w:color w:val="auto"/>
          <w:szCs w:val="21"/>
          <w:highlight w:val="none"/>
          <w:u w:val="single"/>
        </w:rPr>
        <w:t xml:space="preserve">        </w:t>
      </w:r>
      <w:r>
        <w:rPr>
          <w:rFonts w:hint="eastAsia" w:ascii="宋体" w:hAnsi="宋体"/>
          <w:color w:val="auto"/>
          <w:szCs w:val="21"/>
          <w:highlight w:val="none"/>
        </w:rPr>
        <w:t>。</w:t>
      </w:r>
    </w:p>
    <w:p>
      <w:pPr>
        <w:pStyle w:val="5"/>
        <w:keepNext/>
        <w:keepLines/>
        <w:spacing w:before="156" w:beforeLines="50" w:beforeAutospacing="0" w:after="156" w:afterLines="50" w:afterAutospacing="0" w:line="360" w:lineRule="auto"/>
        <w:jc w:val="both"/>
        <w:rPr>
          <w:bCs w:val="0"/>
          <w:color w:val="auto"/>
          <w:kern w:val="2"/>
          <w:sz w:val="21"/>
          <w:szCs w:val="21"/>
          <w:highlight w:val="none"/>
        </w:rPr>
      </w:pPr>
      <w:bookmarkStart w:id="713" w:name="_Toc532375611"/>
      <w:bookmarkStart w:id="714" w:name="_Toc532377340"/>
      <w:bookmarkStart w:id="715" w:name="_Toc351203636"/>
      <w:r>
        <w:rPr>
          <w:rFonts w:hint="eastAsia"/>
          <w:color w:val="auto"/>
          <w:kern w:val="2"/>
          <w:sz w:val="21"/>
          <w:szCs w:val="21"/>
          <w:highlight w:val="none"/>
        </w:rPr>
        <w:t>4</w:t>
      </w:r>
      <w:bookmarkStart w:id="716" w:name="_Toc296503162"/>
      <w:bookmarkStart w:id="717" w:name="_Toc296890990"/>
      <w:bookmarkStart w:id="718" w:name="_Toc267251413"/>
      <w:bookmarkStart w:id="719" w:name="_Toc297048348"/>
      <w:bookmarkStart w:id="720" w:name="_Toc296891202"/>
      <w:bookmarkStart w:id="721" w:name="_Toc296944501"/>
      <w:bookmarkStart w:id="722" w:name="_Toc292559871"/>
      <w:bookmarkStart w:id="723" w:name="_Toc296346663"/>
      <w:bookmarkStart w:id="724" w:name="_Toc296347161"/>
      <w:bookmarkStart w:id="725" w:name="_Toc292559366"/>
      <w:bookmarkStart w:id="726" w:name="_Toc297120462"/>
      <w:r>
        <w:rPr>
          <w:rFonts w:hint="eastAsia"/>
          <w:color w:val="auto"/>
          <w:kern w:val="2"/>
          <w:sz w:val="21"/>
          <w:szCs w:val="21"/>
          <w:highlight w:val="none"/>
        </w:rPr>
        <w:t>. 监</w:t>
      </w:r>
      <w:bookmarkEnd w:id="716"/>
      <w:bookmarkEnd w:id="717"/>
      <w:bookmarkEnd w:id="718"/>
      <w:bookmarkEnd w:id="719"/>
      <w:bookmarkEnd w:id="720"/>
      <w:bookmarkEnd w:id="721"/>
      <w:bookmarkEnd w:id="722"/>
      <w:bookmarkEnd w:id="723"/>
      <w:bookmarkEnd w:id="724"/>
      <w:bookmarkEnd w:id="725"/>
      <w:bookmarkEnd w:id="726"/>
      <w:r>
        <w:rPr>
          <w:rFonts w:hint="eastAsia"/>
          <w:color w:val="auto"/>
          <w:kern w:val="2"/>
          <w:sz w:val="21"/>
          <w:szCs w:val="21"/>
          <w:highlight w:val="none"/>
        </w:rPr>
        <w:t>理人</w:t>
      </w:r>
      <w:bookmarkEnd w:id="713"/>
      <w:bookmarkEnd w:id="714"/>
      <w:bookmarkEnd w:id="715"/>
    </w:p>
    <w:p>
      <w:pPr>
        <w:pStyle w:val="6"/>
        <w:spacing w:before="0" w:beforeAutospacing="0" w:after="0" w:afterAutospacing="0" w:line="360" w:lineRule="auto"/>
        <w:ind w:firstLine="422" w:firstLineChars="200"/>
        <w:rPr>
          <w:color w:val="auto"/>
          <w:sz w:val="21"/>
          <w:szCs w:val="21"/>
          <w:highlight w:val="none"/>
        </w:rPr>
      </w:pPr>
      <w:bookmarkStart w:id="727" w:name="_Toc532377341"/>
      <w:r>
        <w:rPr>
          <w:rFonts w:hint="eastAsia"/>
          <w:color w:val="auto"/>
          <w:sz w:val="21"/>
          <w:szCs w:val="21"/>
          <w:highlight w:val="none"/>
        </w:rPr>
        <w:t>4.1 监理人的一般规定</w:t>
      </w:r>
      <w:bookmarkEnd w:id="727"/>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关于监理人的监理内容：</w:t>
      </w:r>
      <w:r>
        <w:rPr>
          <w:rFonts w:hint="eastAsia" w:ascii="宋体" w:hAnsi="宋体"/>
          <w:color w:val="auto"/>
          <w:szCs w:val="21"/>
          <w:highlight w:val="none"/>
          <w:u w:val="single"/>
        </w:rPr>
        <w:t>见发包人与监理人就本工程签订的监理合同</w:t>
      </w:r>
      <w:r>
        <w:rPr>
          <w:rFonts w:hint="eastAsia" w:ascii="宋体" w:hAnsi="宋体"/>
          <w:color w:val="auto"/>
          <w:szCs w:val="21"/>
          <w:highlight w:val="none"/>
        </w:rPr>
        <w:t>。</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关于监理人的监理权限：</w:t>
      </w:r>
      <w:r>
        <w:rPr>
          <w:rFonts w:hint="eastAsia" w:ascii="宋体" w:hAnsi="宋体"/>
          <w:color w:val="auto"/>
          <w:szCs w:val="21"/>
          <w:highlight w:val="none"/>
          <w:u w:val="single"/>
        </w:rPr>
        <w:t>见发包人与监理人就本工程签订的监理合同；任何涉及费用确定和（或）工期调整，或者设计变更，或者变更估价，或者涉及经济责任的事项，监理工程师在发出指令或通知前，须征得发包人书面同意</w:t>
      </w:r>
      <w:r>
        <w:rPr>
          <w:rFonts w:hint="eastAsia" w:ascii="宋体" w:hAnsi="宋体"/>
          <w:color w:val="auto"/>
          <w:szCs w:val="21"/>
          <w:highlight w:val="none"/>
        </w:rPr>
        <w:t>。</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关于监理人在施工现场的办公场所、生活场所的提供和费用承担的约定：</w:t>
      </w:r>
      <w:r>
        <w:rPr>
          <w:rFonts w:hint="eastAsia" w:ascii="宋体" w:hAnsi="宋体"/>
          <w:color w:val="auto"/>
          <w:szCs w:val="21"/>
          <w:highlight w:val="none"/>
          <w:u w:val="single"/>
        </w:rPr>
        <w:t xml:space="preserve">                          </w:t>
      </w:r>
      <w:r>
        <w:rPr>
          <w:rFonts w:hint="eastAsia" w:ascii="宋体" w:hAnsi="宋体"/>
          <w:color w:val="auto"/>
          <w:szCs w:val="21"/>
          <w:highlight w:val="none"/>
        </w:rPr>
        <w:t>。</w:t>
      </w:r>
    </w:p>
    <w:p>
      <w:pPr>
        <w:pStyle w:val="6"/>
        <w:spacing w:before="0" w:beforeAutospacing="0" w:after="0" w:afterAutospacing="0" w:line="360" w:lineRule="auto"/>
        <w:ind w:firstLine="422" w:firstLineChars="200"/>
        <w:rPr>
          <w:color w:val="auto"/>
          <w:sz w:val="21"/>
          <w:szCs w:val="21"/>
          <w:highlight w:val="none"/>
        </w:rPr>
      </w:pPr>
      <w:bookmarkStart w:id="728" w:name="_Toc532377342"/>
      <w:r>
        <w:rPr>
          <w:rFonts w:hint="eastAsia"/>
          <w:color w:val="auto"/>
          <w:sz w:val="21"/>
          <w:szCs w:val="21"/>
          <w:highlight w:val="none"/>
        </w:rPr>
        <w:t>4.2 监理人员</w:t>
      </w:r>
      <w:bookmarkEnd w:id="728"/>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总监理工程师：</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姓    名：</w:t>
      </w:r>
      <w:r>
        <w:rPr>
          <w:rFonts w:ascii="宋体" w:hAnsi="宋体"/>
          <w:color w:val="auto"/>
          <w:szCs w:val="21"/>
          <w:highlight w:val="none"/>
          <w:u w:val="single"/>
        </w:rPr>
        <w:t xml:space="preserve">                          </w:t>
      </w:r>
      <w:r>
        <w:rPr>
          <w:rFonts w:hint="eastAsia" w:ascii="宋体" w:hAnsi="宋体"/>
          <w:color w:val="auto"/>
          <w:szCs w:val="21"/>
          <w:highlight w:val="none"/>
        </w:rPr>
        <w:t>；</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职    务：</w:t>
      </w:r>
      <w:r>
        <w:rPr>
          <w:rFonts w:ascii="宋体" w:hAnsi="宋体"/>
          <w:color w:val="auto"/>
          <w:szCs w:val="21"/>
          <w:highlight w:val="none"/>
          <w:u w:val="single"/>
        </w:rPr>
        <w:t xml:space="preserve">                          </w:t>
      </w:r>
      <w:r>
        <w:rPr>
          <w:rFonts w:hint="eastAsia" w:ascii="宋体" w:hAnsi="宋体"/>
          <w:color w:val="auto"/>
          <w:szCs w:val="21"/>
          <w:highlight w:val="none"/>
        </w:rPr>
        <w:t>；</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监理工程师执业资格证书号：</w:t>
      </w:r>
      <w:r>
        <w:rPr>
          <w:rFonts w:ascii="宋体" w:hAnsi="宋体"/>
          <w:color w:val="auto"/>
          <w:szCs w:val="21"/>
          <w:highlight w:val="none"/>
          <w:u w:val="single"/>
        </w:rPr>
        <w:t xml:space="preserve">              </w:t>
      </w:r>
      <w:r>
        <w:rPr>
          <w:rFonts w:hint="eastAsia" w:ascii="宋体" w:hAnsi="宋体"/>
          <w:color w:val="auto"/>
          <w:szCs w:val="21"/>
          <w:highlight w:val="none"/>
        </w:rPr>
        <w:t>；</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联系方式：</w:t>
      </w:r>
      <w:r>
        <w:rPr>
          <w:rFonts w:ascii="宋体" w:hAnsi="宋体"/>
          <w:color w:val="auto"/>
          <w:szCs w:val="21"/>
          <w:highlight w:val="none"/>
          <w:u w:val="single"/>
        </w:rPr>
        <w:t xml:space="preserve">                          </w:t>
      </w:r>
      <w:r>
        <w:rPr>
          <w:rFonts w:hint="eastAsia" w:ascii="宋体" w:hAnsi="宋体"/>
          <w:color w:val="auto"/>
          <w:szCs w:val="21"/>
          <w:highlight w:val="none"/>
        </w:rPr>
        <w:t>；</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关于监理人的其他约定：</w:t>
      </w:r>
      <w:r>
        <w:rPr>
          <w:rFonts w:hint="eastAsia" w:ascii="宋体" w:hAnsi="宋体"/>
          <w:color w:val="auto"/>
          <w:szCs w:val="21"/>
          <w:highlight w:val="none"/>
          <w:u w:val="single"/>
        </w:rPr>
        <w:t>见发包人与监理人就本工程签订的监理合同</w:t>
      </w:r>
      <w:r>
        <w:rPr>
          <w:rFonts w:hint="eastAsia" w:ascii="宋体" w:hAnsi="宋体"/>
          <w:color w:val="auto"/>
          <w:szCs w:val="21"/>
          <w:highlight w:val="none"/>
        </w:rPr>
        <w:t>。</w:t>
      </w:r>
    </w:p>
    <w:p>
      <w:pPr>
        <w:pStyle w:val="6"/>
        <w:spacing w:before="0" w:beforeAutospacing="0" w:after="0" w:afterAutospacing="0" w:line="360" w:lineRule="auto"/>
        <w:ind w:firstLine="420" w:firstLineChars="200"/>
        <w:rPr>
          <w:b w:val="0"/>
          <w:color w:val="auto"/>
          <w:sz w:val="21"/>
          <w:szCs w:val="21"/>
          <w:highlight w:val="none"/>
        </w:rPr>
      </w:pPr>
      <w:bookmarkStart w:id="729" w:name="_Toc532377343"/>
      <w:r>
        <w:rPr>
          <w:rFonts w:hint="eastAsia"/>
          <w:b w:val="0"/>
          <w:color w:val="auto"/>
          <w:sz w:val="21"/>
          <w:szCs w:val="21"/>
          <w:highlight w:val="none"/>
        </w:rPr>
        <w:t>4.4 商定或确定</w:t>
      </w:r>
      <w:bookmarkEnd w:id="729"/>
    </w:p>
    <w:p>
      <w:pPr>
        <w:spacing w:line="360" w:lineRule="auto"/>
        <w:ind w:firstLine="420" w:firstLineChars="200"/>
        <w:jc w:val="left"/>
        <w:rPr>
          <w:rFonts w:ascii="宋体" w:hAnsi="宋体"/>
          <w:color w:val="auto"/>
          <w:szCs w:val="21"/>
          <w:highlight w:val="none"/>
        </w:rPr>
      </w:pPr>
      <w:bookmarkStart w:id="730" w:name="_Toc267251418"/>
      <w:r>
        <w:rPr>
          <w:rFonts w:hint="eastAsia" w:ascii="宋体" w:hAnsi="宋体"/>
          <w:color w:val="auto"/>
          <w:szCs w:val="21"/>
          <w:highlight w:val="none"/>
        </w:rPr>
        <w:t>在发包人和承包人不能通过协商达成一致意见时，发包人授权监理人对以下事项进行确定：</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u w:val="single"/>
        </w:rPr>
        <w:t xml:space="preserve">                          </w:t>
      </w:r>
      <w:r>
        <w:rPr>
          <w:rFonts w:hint="eastAsia" w:ascii="宋体" w:hAnsi="宋体"/>
          <w:color w:val="auto"/>
          <w:szCs w:val="21"/>
          <w:highlight w:val="none"/>
        </w:rPr>
        <w:t>。</w:t>
      </w:r>
    </w:p>
    <w:p>
      <w:pPr>
        <w:pStyle w:val="5"/>
        <w:keepNext/>
        <w:keepLines/>
        <w:spacing w:before="156" w:beforeLines="50" w:beforeAutospacing="0" w:after="156" w:afterLines="50" w:afterAutospacing="0" w:line="360" w:lineRule="auto"/>
        <w:jc w:val="both"/>
        <w:rPr>
          <w:bCs w:val="0"/>
          <w:color w:val="auto"/>
          <w:kern w:val="2"/>
          <w:sz w:val="21"/>
          <w:szCs w:val="21"/>
          <w:highlight w:val="none"/>
        </w:rPr>
      </w:pPr>
      <w:bookmarkStart w:id="731" w:name="_Toc532377344"/>
      <w:bookmarkStart w:id="732" w:name="_Toc351203637"/>
      <w:bookmarkStart w:id="733" w:name="_Toc532375612"/>
      <w:r>
        <w:rPr>
          <w:rFonts w:hint="eastAsia"/>
          <w:color w:val="auto"/>
          <w:kern w:val="2"/>
          <w:sz w:val="21"/>
          <w:szCs w:val="21"/>
          <w:highlight w:val="none"/>
        </w:rPr>
        <w:t>5</w:t>
      </w:r>
      <w:bookmarkEnd w:id="730"/>
      <w:bookmarkStart w:id="734" w:name="_Toc296891203"/>
      <w:bookmarkStart w:id="735" w:name="_Toc296347162"/>
      <w:bookmarkStart w:id="736" w:name="_Toc297048349"/>
      <w:bookmarkStart w:id="737" w:name="_Toc296944502"/>
      <w:bookmarkStart w:id="738" w:name="_Toc296346664"/>
      <w:bookmarkStart w:id="739" w:name="_Toc297120463"/>
      <w:bookmarkStart w:id="740" w:name="_Toc292559367"/>
      <w:bookmarkStart w:id="741" w:name="_Toc296890991"/>
      <w:bookmarkStart w:id="742" w:name="_Toc292559872"/>
      <w:bookmarkStart w:id="743" w:name="_Toc296503163"/>
      <w:r>
        <w:rPr>
          <w:rFonts w:hint="eastAsia"/>
          <w:color w:val="auto"/>
          <w:kern w:val="2"/>
          <w:sz w:val="21"/>
          <w:szCs w:val="21"/>
          <w:highlight w:val="none"/>
        </w:rPr>
        <w:t>. 工程质量</w:t>
      </w:r>
      <w:bookmarkEnd w:id="731"/>
      <w:bookmarkEnd w:id="732"/>
      <w:bookmarkEnd w:id="733"/>
    </w:p>
    <w:p>
      <w:pPr>
        <w:pStyle w:val="6"/>
        <w:spacing w:before="0" w:beforeAutospacing="0" w:after="0" w:afterAutospacing="0" w:line="360" w:lineRule="auto"/>
        <w:ind w:firstLine="422" w:firstLineChars="200"/>
        <w:rPr>
          <w:color w:val="auto"/>
          <w:sz w:val="21"/>
          <w:szCs w:val="21"/>
          <w:highlight w:val="none"/>
        </w:rPr>
      </w:pPr>
      <w:bookmarkStart w:id="744" w:name="_Toc532377345"/>
      <w:r>
        <w:rPr>
          <w:rFonts w:hint="eastAsia"/>
          <w:color w:val="auto"/>
          <w:sz w:val="21"/>
          <w:szCs w:val="21"/>
          <w:highlight w:val="none"/>
        </w:rPr>
        <w:t>5.1 质量要求</w:t>
      </w:r>
      <w:bookmarkEnd w:id="744"/>
      <w:bookmarkStart w:id="745" w:name="_Hlk528909888"/>
      <w:bookmarkStart w:id="746" w:name="_Toc304295527"/>
      <w:bookmarkStart w:id="747" w:name="_Toc297216155"/>
      <w:bookmarkStart w:id="748" w:name="_Toc318581164"/>
      <w:bookmarkStart w:id="749" w:name="_Toc303539106"/>
      <w:bookmarkStart w:id="750" w:name="_Toc312677997"/>
      <w:bookmarkStart w:id="751" w:name="_Toc297123496"/>
      <w:bookmarkStart w:id="752" w:name="_Toc300934949"/>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u w:val="single"/>
        </w:rPr>
        <w:t>工程质量符合国家有关施工质量验收规范和标准要求，达到合格标准</w:t>
      </w:r>
      <w:r>
        <w:rPr>
          <w:rFonts w:hint="eastAsia" w:ascii="宋体" w:hAnsi="宋体"/>
          <w:color w:val="auto"/>
          <w:szCs w:val="21"/>
          <w:highlight w:val="none"/>
        </w:rPr>
        <w:t>。</w:t>
      </w:r>
    </w:p>
    <w:bookmarkEnd w:id="745"/>
    <w:p>
      <w:pPr>
        <w:pStyle w:val="6"/>
        <w:spacing w:before="0" w:beforeAutospacing="0" w:after="0" w:afterAutospacing="0" w:line="360" w:lineRule="auto"/>
        <w:ind w:firstLine="422" w:firstLineChars="200"/>
        <w:rPr>
          <w:color w:val="auto"/>
          <w:sz w:val="21"/>
          <w:szCs w:val="21"/>
          <w:highlight w:val="none"/>
        </w:rPr>
      </w:pPr>
      <w:bookmarkStart w:id="753" w:name="_Toc532377346"/>
      <w:r>
        <w:rPr>
          <w:rFonts w:hint="eastAsia"/>
          <w:color w:val="auto"/>
          <w:sz w:val="21"/>
          <w:szCs w:val="21"/>
          <w:highlight w:val="none"/>
        </w:rPr>
        <w:t>5.2 质量保证措施</w:t>
      </w:r>
      <w:bookmarkEnd w:id="753"/>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本款补充5.2.4项：</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5.2.4 在工程建设中，参建各方应严格执行以下规定（包括但不限于）：</w:t>
      </w:r>
    </w:p>
    <w:p>
      <w:pPr>
        <w:spacing w:line="360" w:lineRule="auto"/>
        <w:ind w:firstLine="420" w:firstLineChars="200"/>
        <w:jc w:val="left"/>
        <w:rPr>
          <w:rFonts w:hint="eastAsia" w:ascii="宋体" w:hAnsi="宋体"/>
          <w:color w:val="auto"/>
          <w:szCs w:val="21"/>
          <w:highlight w:val="none"/>
        </w:rPr>
      </w:pPr>
      <w:r>
        <w:rPr>
          <w:rFonts w:hint="eastAsia" w:ascii="宋体" w:hAnsi="宋体"/>
          <w:color w:val="auto"/>
          <w:szCs w:val="21"/>
          <w:highlight w:val="none"/>
        </w:rPr>
        <w:t>（1）</w:t>
      </w:r>
      <w:r>
        <w:rPr>
          <w:rFonts w:hint="eastAsia" w:ascii="宋体" w:hAnsi="宋体"/>
          <w:color w:val="auto"/>
          <w:szCs w:val="21"/>
          <w:highlight w:val="none"/>
          <w:u w:val="single"/>
        </w:rPr>
        <w:t>《建筑工程施工质量验收统一标准》（GB50300-2013）</w:t>
      </w:r>
      <w:r>
        <w:rPr>
          <w:rFonts w:hint="eastAsia" w:ascii="宋体" w:hAnsi="宋体"/>
          <w:color w:val="auto"/>
          <w:szCs w:val="21"/>
          <w:highlight w:val="none"/>
        </w:rPr>
        <w:t>；</w:t>
      </w:r>
    </w:p>
    <w:p>
      <w:pPr>
        <w:spacing w:line="360" w:lineRule="auto"/>
        <w:ind w:firstLine="420" w:firstLineChars="200"/>
        <w:jc w:val="left"/>
        <w:rPr>
          <w:rFonts w:hint="eastAsia" w:ascii="宋体" w:hAnsi="宋体"/>
          <w:color w:val="auto"/>
          <w:szCs w:val="21"/>
          <w:highlight w:val="none"/>
        </w:rPr>
      </w:pPr>
      <w:r>
        <w:rPr>
          <w:rFonts w:hint="eastAsia" w:ascii="宋体" w:hAnsi="宋体"/>
          <w:color w:val="auto"/>
          <w:szCs w:val="21"/>
          <w:highlight w:val="none"/>
        </w:rPr>
        <w:t>（2）</w:t>
      </w:r>
      <w:r>
        <w:rPr>
          <w:rFonts w:hint="eastAsia" w:ascii="宋体" w:hAnsi="宋体"/>
          <w:color w:val="auto"/>
          <w:szCs w:val="21"/>
          <w:highlight w:val="none"/>
          <w:u w:val="single"/>
        </w:rPr>
        <w:t>《住房城乡建设部关于印发工程质量安全提升行动方案的通知》（建质〔2017〕57号）</w:t>
      </w:r>
      <w:r>
        <w:rPr>
          <w:rFonts w:hint="eastAsia" w:ascii="宋体" w:hAnsi="宋体"/>
          <w:color w:val="auto"/>
          <w:szCs w:val="21"/>
          <w:highlight w:val="none"/>
        </w:rPr>
        <w:t>；</w:t>
      </w:r>
    </w:p>
    <w:p>
      <w:pPr>
        <w:spacing w:line="360" w:lineRule="auto"/>
        <w:ind w:firstLine="420" w:firstLineChars="200"/>
        <w:jc w:val="left"/>
        <w:rPr>
          <w:rFonts w:hint="eastAsia" w:ascii="宋体" w:hAnsi="宋体"/>
          <w:color w:val="auto"/>
          <w:szCs w:val="21"/>
          <w:highlight w:val="none"/>
        </w:rPr>
      </w:pPr>
      <w:r>
        <w:rPr>
          <w:rFonts w:hint="eastAsia" w:ascii="宋体" w:hAnsi="宋体"/>
          <w:color w:val="auto"/>
          <w:szCs w:val="21"/>
          <w:highlight w:val="none"/>
        </w:rPr>
        <w:t>（3）</w:t>
      </w:r>
      <w:r>
        <w:rPr>
          <w:rFonts w:hint="eastAsia" w:ascii="宋体" w:hAnsi="宋体"/>
          <w:color w:val="auto"/>
          <w:szCs w:val="21"/>
          <w:highlight w:val="none"/>
          <w:u w:val="single"/>
        </w:rPr>
        <w:t>《房屋建筑和市政基础设施工程竣工验收规定》（建质〔2013〕171号）</w:t>
      </w:r>
      <w:r>
        <w:rPr>
          <w:rFonts w:hint="eastAsia" w:ascii="宋体" w:hAnsi="宋体"/>
          <w:color w:val="auto"/>
          <w:szCs w:val="21"/>
          <w:highlight w:val="none"/>
        </w:rPr>
        <w:t>；</w:t>
      </w:r>
    </w:p>
    <w:p>
      <w:pPr>
        <w:spacing w:line="360" w:lineRule="auto"/>
        <w:ind w:firstLine="420" w:firstLineChars="200"/>
        <w:jc w:val="left"/>
        <w:rPr>
          <w:rFonts w:hint="eastAsia" w:ascii="宋体" w:hAnsi="宋体"/>
          <w:color w:val="auto"/>
          <w:szCs w:val="21"/>
          <w:highlight w:val="none"/>
        </w:rPr>
      </w:pPr>
      <w:r>
        <w:rPr>
          <w:rFonts w:hint="eastAsia" w:ascii="宋体" w:hAnsi="宋体"/>
          <w:color w:val="auto"/>
          <w:szCs w:val="21"/>
          <w:highlight w:val="none"/>
        </w:rPr>
        <w:t>（4）</w:t>
      </w:r>
      <w:r>
        <w:rPr>
          <w:rFonts w:hint="eastAsia" w:ascii="宋体" w:hAnsi="宋体"/>
          <w:color w:val="auto"/>
          <w:szCs w:val="21"/>
          <w:highlight w:val="none"/>
          <w:u w:val="single"/>
        </w:rPr>
        <w:t>《建设部关于贯彻执行建筑工程勘察设计及施工质量验收规范若干问题的通知》（建标〔2002〕212号）</w:t>
      </w:r>
      <w:r>
        <w:rPr>
          <w:rFonts w:hint="eastAsia" w:ascii="宋体" w:hAnsi="宋体"/>
          <w:color w:val="auto"/>
          <w:szCs w:val="21"/>
          <w:highlight w:val="none"/>
        </w:rPr>
        <w:t>；</w:t>
      </w:r>
    </w:p>
    <w:p>
      <w:pPr>
        <w:spacing w:line="360" w:lineRule="auto"/>
        <w:ind w:firstLine="420" w:firstLineChars="200"/>
        <w:jc w:val="left"/>
        <w:rPr>
          <w:rFonts w:hint="eastAsia" w:ascii="宋体" w:hAnsi="宋体"/>
          <w:color w:val="auto"/>
          <w:szCs w:val="21"/>
          <w:highlight w:val="none"/>
        </w:rPr>
      </w:pPr>
      <w:r>
        <w:rPr>
          <w:rFonts w:hint="eastAsia" w:ascii="宋体" w:hAnsi="宋体"/>
          <w:color w:val="auto"/>
          <w:szCs w:val="21"/>
          <w:highlight w:val="none"/>
        </w:rPr>
        <w:t>（5）</w:t>
      </w:r>
      <w:r>
        <w:rPr>
          <w:rFonts w:hint="eastAsia" w:ascii="宋体" w:hAnsi="宋体"/>
          <w:color w:val="auto"/>
          <w:szCs w:val="21"/>
          <w:highlight w:val="none"/>
          <w:u w:val="single"/>
        </w:rPr>
        <w:t>《重庆市住房和城乡建设委员会关于印发&lt;重庆市房屋建筑和市政基础设施工程质量常见问题防治要点（2019年版）&gt;的通知》（渝建〔2019〕198号）</w:t>
      </w:r>
      <w:r>
        <w:rPr>
          <w:rFonts w:hint="eastAsia" w:ascii="宋体" w:hAnsi="宋体"/>
          <w:color w:val="auto"/>
          <w:szCs w:val="21"/>
          <w:highlight w:val="none"/>
        </w:rPr>
        <w:t>；</w:t>
      </w:r>
    </w:p>
    <w:p>
      <w:pPr>
        <w:spacing w:line="360" w:lineRule="auto"/>
        <w:ind w:firstLine="420" w:firstLineChars="200"/>
        <w:jc w:val="left"/>
        <w:rPr>
          <w:rFonts w:hint="eastAsia" w:ascii="宋体" w:hAnsi="宋体"/>
          <w:color w:val="auto"/>
          <w:szCs w:val="21"/>
          <w:highlight w:val="none"/>
        </w:rPr>
      </w:pPr>
      <w:r>
        <w:rPr>
          <w:rFonts w:hint="eastAsia" w:ascii="宋体" w:hAnsi="宋体"/>
          <w:color w:val="auto"/>
          <w:szCs w:val="21"/>
          <w:highlight w:val="none"/>
        </w:rPr>
        <w:t>（6）</w:t>
      </w:r>
      <w:r>
        <w:rPr>
          <w:rFonts w:hint="eastAsia" w:ascii="宋体" w:hAnsi="宋体"/>
          <w:color w:val="auto"/>
          <w:szCs w:val="21"/>
          <w:highlight w:val="none"/>
          <w:u w:val="single"/>
        </w:rPr>
        <w:t>《关于印发&lt;重庆市房屋建筑和市政基础设施工程预拌商品砂浆应用推进工作方案&gt;的通知》（渝建〔2018〕375号）</w:t>
      </w:r>
      <w:r>
        <w:rPr>
          <w:rFonts w:hint="eastAsia" w:ascii="宋体" w:hAnsi="宋体"/>
          <w:color w:val="auto"/>
          <w:szCs w:val="21"/>
          <w:highlight w:val="none"/>
        </w:rPr>
        <w:t>；</w:t>
      </w:r>
    </w:p>
    <w:p>
      <w:pPr>
        <w:spacing w:line="360" w:lineRule="auto"/>
        <w:ind w:firstLine="420" w:firstLineChars="200"/>
        <w:jc w:val="left"/>
        <w:rPr>
          <w:rFonts w:hint="eastAsia" w:ascii="宋体" w:hAnsi="宋体"/>
          <w:color w:val="auto"/>
          <w:szCs w:val="21"/>
          <w:highlight w:val="none"/>
        </w:rPr>
      </w:pPr>
      <w:r>
        <w:rPr>
          <w:rFonts w:hint="eastAsia" w:ascii="宋体" w:hAnsi="宋体"/>
          <w:color w:val="auto"/>
          <w:szCs w:val="21"/>
          <w:highlight w:val="none"/>
        </w:rPr>
        <w:t>（7）</w:t>
      </w:r>
      <w:r>
        <w:rPr>
          <w:rFonts w:hint="eastAsia" w:ascii="宋体" w:hAnsi="宋体"/>
          <w:color w:val="auto"/>
          <w:szCs w:val="21"/>
          <w:highlight w:val="none"/>
          <w:u w:val="single"/>
        </w:rPr>
        <w:t>《重庆市城乡建设委员会关于印发2018年房屋建筑和市政基础设施工程质量要点的通知》（渝建〔2018〕94号）</w:t>
      </w:r>
      <w:r>
        <w:rPr>
          <w:rFonts w:hint="eastAsia" w:ascii="宋体" w:hAnsi="宋体"/>
          <w:color w:val="auto"/>
          <w:szCs w:val="21"/>
          <w:highlight w:val="none"/>
        </w:rPr>
        <w:t>；</w:t>
      </w:r>
    </w:p>
    <w:p>
      <w:pPr>
        <w:spacing w:line="360" w:lineRule="auto"/>
        <w:ind w:firstLine="420" w:firstLineChars="200"/>
        <w:jc w:val="left"/>
        <w:rPr>
          <w:rFonts w:hint="eastAsia" w:ascii="宋体" w:hAnsi="宋体"/>
          <w:color w:val="auto"/>
          <w:szCs w:val="21"/>
          <w:highlight w:val="none"/>
        </w:rPr>
      </w:pPr>
      <w:r>
        <w:rPr>
          <w:rFonts w:hint="eastAsia" w:ascii="宋体" w:hAnsi="宋体"/>
          <w:color w:val="auto"/>
          <w:szCs w:val="21"/>
          <w:highlight w:val="none"/>
        </w:rPr>
        <w:t>（8）</w:t>
      </w:r>
      <w:r>
        <w:rPr>
          <w:rFonts w:hint="eastAsia" w:ascii="宋体" w:hAnsi="宋体"/>
          <w:color w:val="auto"/>
          <w:szCs w:val="21"/>
          <w:highlight w:val="none"/>
          <w:u w:val="single"/>
        </w:rPr>
        <w:t>《重庆市城乡建设委员会关于进一步推广应用预拌商品砂浆的通知》（渝建〔2016〕318号）</w:t>
      </w:r>
      <w:r>
        <w:rPr>
          <w:rFonts w:hint="eastAsia" w:ascii="宋体" w:hAnsi="宋体"/>
          <w:color w:val="auto"/>
          <w:szCs w:val="21"/>
          <w:highlight w:val="none"/>
        </w:rPr>
        <w:t>；</w:t>
      </w:r>
    </w:p>
    <w:p>
      <w:pPr>
        <w:spacing w:line="360" w:lineRule="auto"/>
        <w:ind w:firstLine="420" w:firstLineChars="200"/>
        <w:jc w:val="left"/>
        <w:rPr>
          <w:rFonts w:hint="eastAsia" w:ascii="宋体" w:hAnsi="宋体"/>
          <w:color w:val="auto"/>
          <w:szCs w:val="21"/>
          <w:highlight w:val="none"/>
        </w:rPr>
      </w:pPr>
      <w:r>
        <w:rPr>
          <w:rFonts w:hint="eastAsia" w:ascii="宋体" w:hAnsi="宋体"/>
          <w:color w:val="auto"/>
          <w:szCs w:val="21"/>
          <w:highlight w:val="none"/>
        </w:rPr>
        <w:t>（9）</w:t>
      </w:r>
      <w:r>
        <w:rPr>
          <w:rFonts w:hint="eastAsia" w:ascii="宋体" w:hAnsi="宋体"/>
          <w:color w:val="auto"/>
          <w:szCs w:val="21"/>
          <w:highlight w:val="none"/>
          <w:u w:val="single"/>
        </w:rPr>
        <w:t>《重庆市建设委员会关于发布&lt;建筑工程施工质量验收规范用表（建筑节能分部工程）&gt;和&lt;建设工程技术用表（建筑节能工程）&gt;的通知》（渝建发〔2008〕76号）</w:t>
      </w:r>
      <w:r>
        <w:rPr>
          <w:rFonts w:hint="eastAsia" w:ascii="宋体" w:hAnsi="宋体"/>
          <w:color w:val="auto"/>
          <w:szCs w:val="21"/>
          <w:highlight w:val="none"/>
        </w:rPr>
        <w:t>；</w:t>
      </w:r>
    </w:p>
    <w:p>
      <w:pPr>
        <w:spacing w:line="360" w:lineRule="auto"/>
        <w:ind w:firstLine="420" w:firstLineChars="200"/>
        <w:jc w:val="left"/>
        <w:rPr>
          <w:rFonts w:hint="eastAsia" w:ascii="宋体" w:hAnsi="宋体"/>
          <w:color w:val="auto"/>
          <w:szCs w:val="21"/>
          <w:highlight w:val="none"/>
        </w:rPr>
      </w:pPr>
      <w:r>
        <w:rPr>
          <w:rFonts w:hint="eastAsia" w:ascii="宋体" w:hAnsi="宋体"/>
          <w:color w:val="auto"/>
          <w:szCs w:val="21"/>
          <w:highlight w:val="none"/>
        </w:rPr>
        <w:t>（10）</w:t>
      </w:r>
      <w:r>
        <w:rPr>
          <w:rFonts w:hint="eastAsia" w:ascii="宋体" w:hAnsi="宋体"/>
          <w:color w:val="auto"/>
          <w:szCs w:val="21"/>
          <w:highlight w:val="none"/>
          <w:u w:val="single"/>
        </w:rPr>
        <w:t>国家和本市现行有关建设工程质量验收标准、规范和要求</w:t>
      </w:r>
      <w:r>
        <w:rPr>
          <w:rFonts w:hint="eastAsia" w:ascii="宋体" w:hAnsi="宋体"/>
          <w:color w:val="auto"/>
          <w:szCs w:val="21"/>
          <w:highlight w:val="none"/>
        </w:rPr>
        <w:t>；</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承包人、监理人和发包人在工程建设中，应严格执行国家及重庆市现行标准，如上述标准及规范要求有出入则以较严格者为准。</w:t>
      </w:r>
    </w:p>
    <w:p>
      <w:pPr>
        <w:pStyle w:val="6"/>
        <w:spacing w:before="0" w:beforeAutospacing="0" w:after="0" w:afterAutospacing="0" w:line="360" w:lineRule="auto"/>
        <w:ind w:firstLine="422" w:firstLineChars="200"/>
        <w:rPr>
          <w:color w:val="auto"/>
          <w:sz w:val="21"/>
          <w:szCs w:val="21"/>
          <w:highlight w:val="none"/>
        </w:rPr>
      </w:pPr>
      <w:bookmarkStart w:id="754" w:name="_Toc351203536"/>
      <w:bookmarkStart w:id="755" w:name="_Toc532377347"/>
      <w:bookmarkStart w:id="756" w:name="_Hlk528927873"/>
      <w:r>
        <w:rPr>
          <w:rFonts w:hint="eastAsia"/>
          <w:color w:val="auto"/>
          <w:sz w:val="21"/>
          <w:szCs w:val="21"/>
          <w:highlight w:val="none"/>
        </w:rPr>
        <w:t>5.3隐蔽工程检查</w:t>
      </w:r>
    </w:p>
    <w:p>
      <w:pPr>
        <w:spacing w:line="360" w:lineRule="auto"/>
        <w:ind w:firstLine="420" w:firstLineChars="200"/>
        <w:jc w:val="left"/>
        <w:rPr>
          <w:rFonts w:hint="eastAsia" w:ascii="宋体" w:hAnsi="宋体"/>
          <w:color w:val="auto"/>
          <w:szCs w:val="21"/>
          <w:highlight w:val="none"/>
        </w:rPr>
      </w:pPr>
      <w:r>
        <w:rPr>
          <w:rFonts w:hint="eastAsia" w:ascii="宋体" w:hAnsi="宋体"/>
          <w:color w:val="auto"/>
          <w:szCs w:val="21"/>
          <w:highlight w:val="none"/>
        </w:rPr>
        <w:t>5.3.2检查程序</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工程隐蔽部位经承包人自检确认具备覆盖条件的，承包人应在共同检查前</w:t>
      </w:r>
      <w:r>
        <w:rPr>
          <w:rFonts w:hint="eastAsia" w:ascii="宋体" w:hAnsi="宋体"/>
          <w:color w:val="auto"/>
          <w:szCs w:val="21"/>
          <w:highlight w:val="none"/>
          <w:u w:val="single"/>
        </w:rPr>
        <w:t xml:space="preserve">    </w:t>
      </w:r>
      <w:r>
        <w:rPr>
          <w:rFonts w:hint="eastAsia" w:ascii="宋体" w:hAnsi="宋体"/>
          <w:color w:val="auto"/>
          <w:szCs w:val="21"/>
          <w:highlight w:val="none"/>
        </w:rPr>
        <w:t>小时书面通知监理人检查，通知中应载明隐蔽检查的内容、时间和地点，并应附有自检记录和必要的检查资料。</w:t>
      </w:r>
    </w:p>
    <w:p>
      <w:pPr>
        <w:pStyle w:val="6"/>
        <w:spacing w:before="0" w:beforeAutospacing="0" w:after="0" w:afterAutospacing="0" w:line="360" w:lineRule="auto"/>
        <w:ind w:firstLine="422" w:firstLineChars="200"/>
        <w:rPr>
          <w:color w:val="auto"/>
          <w:sz w:val="21"/>
          <w:szCs w:val="21"/>
          <w:highlight w:val="none"/>
        </w:rPr>
      </w:pPr>
      <w:r>
        <w:rPr>
          <w:rFonts w:hint="eastAsia"/>
          <w:color w:val="auto"/>
          <w:sz w:val="21"/>
          <w:szCs w:val="21"/>
          <w:highlight w:val="none"/>
        </w:rPr>
        <w:t>5</w:t>
      </w:r>
      <w:bookmarkStart w:id="757" w:name="_Toc337558762"/>
      <w:r>
        <w:rPr>
          <w:rFonts w:hint="eastAsia"/>
          <w:color w:val="auto"/>
          <w:sz w:val="21"/>
          <w:szCs w:val="21"/>
          <w:highlight w:val="none"/>
        </w:rPr>
        <w:t>.4 不合格工程的处理</w:t>
      </w:r>
      <w:bookmarkEnd w:id="754"/>
      <w:bookmarkEnd w:id="755"/>
    </w:p>
    <w:bookmarkEnd w:id="757"/>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本款补充5.4.3项：</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5.4.3 承包人在收到监理人发出的《不合格分项报告》或监理通知单后，必须在监理人规定时间内按要求完成整改，未能在限定时间内完成整改的，须承担相应违约责任。</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本条补充5.6款：</w:t>
      </w:r>
    </w:p>
    <w:bookmarkEnd w:id="756"/>
    <w:p>
      <w:pPr>
        <w:pStyle w:val="6"/>
        <w:spacing w:before="0" w:beforeAutospacing="0" w:after="0" w:afterAutospacing="0" w:line="360" w:lineRule="auto"/>
        <w:ind w:firstLine="422" w:firstLineChars="200"/>
        <w:rPr>
          <w:color w:val="auto"/>
          <w:sz w:val="21"/>
          <w:szCs w:val="21"/>
          <w:highlight w:val="none"/>
        </w:rPr>
      </w:pPr>
      <w:bookmarkStart w:id="758" w:name="_Toc532377348"/>
      <w:r>
        <w:rPr>
          <w:rFonts w:hint="eastAsia"/>
          <w:color w:val="auto"/>
          <w:sz w:val="21"/>
          <w:szCs w:val="21"/>
          <w:highlight w:val="none"/>
        </w:rPr>
        <w:t>5.6 质量事故的处理</w:t>
      </w:r>
      <w:bookmarkEnd w:id="758"/>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5.6.1 合同履行过程中，发生工程质量事故的调查处理按照国家及重庆市现行规定处理。</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5.6.2 发包人在对工程质量、安全和环境保护、水土保持等建设全过程管理中发现有技术、质量和其他问题的，可通过监理人责令承包人返工或整改；对存在的隐患，有权责令承包人予以解决，承包人按照合同中其他条款约定承担违约责任。</w:t>
      </w:r>
    </w:p>
    <w:bookmarkEnd w:id="734"/>
    <w:bookmarkEnd w:id="735"/>
    <w:bookmarkEnd w:id="736"/>
    <w:bookmarkEnd w:id="737"/>
    <w:bookmarkEnd w:id="738"/>
    <w:bookmarkEnd w:id="739"/>
    <w:bookmarkEnd w:id="740"/>
    <w:bookmarkEnd w:id="741"/>
    <w:bookmarkEnd w:id="742"/>
    <w:bookmarkEnd w:id="743"/>
    <w:bookmarkEnd w:id="746"/>
    <w:bookmarkEnd w:id="747"/>
    <w:bookmarkEnd w:id="748"/>
    <w:bookmarkEnd w:id="749"/>
    <w:bookmarkEnd w:id="750"/>
    <w:bookmarkEnd w:id="751"/>
    <w:bookmarkEnd w:id="752"/>
    <w:p>
      <w:pPr>
        <w:pStyle w:val="5"/>
        <w:keepNext/>
        <w:keepLines/>
        <w:spacing w:before="156" w:beforeLines="50" w:beforeAutospacing="0" w:after="156" w:afterLines="50" w:afterAutospacing="0" w:line="360" w:lineRule="auto"/>
        <w:jc w:val="both"/>
        <w:rPr>
          <w:bCs w:val="0"/>
          <w:color w:val="auto"/>
          <w:kern w:val="2"/>
          <w:sz w:val="21"/>
          <w:szCs w:val="21"/>
          <w:highlight w:val="none"/>
        </w:rPr>
      </w:pPr>
      <w:bookmarkStart w:id="759" w:name="_Toc532375613"/>
      <w:bookmarkStart w:id="760" w:name="_Toc532377349"/>
      <w:bookmarkStart w:id="761" w:name="_Toc351203638"/>
      <w:bookmarkStart w:id="762" w:name="_Toc296503173"/>
      <w:bookmarkStart w:id="763" w:name="_Toc296891213"/>
      <w:bookmarkStart w:id="764" w:name="_Toc351203642"/>
      <w:bookmarkStart w:id="765" w:name="_Toc296346674"/>
      <w:bookmarkStart w:id="766" w:name="_Toc296347172"/>
      <w:bookmarkStart w:id="767" w:name="_Toc292559883"/>
      <w:bookmarkStart w:id="768" w:name="_Toc292559378"/>
      <w:bookmarkStart w:id="769" w:name="_Toc296944512"/>
      <w:bookmarkStart w:id="770" w:name="_Toc267251427"/>
      <w:bookmarkStart w:id="771" w:name="_Toc297048359"/>
      <w:bookmarkStart w:id="772" w:name="_Toc296891001"/>
      <w:bookmarkStart w:id="773" w:name="_Toc297120473"/>
      <w:bookmarkStart w:id="774" w:name="_Toc267251428"/>
      <w:r>
        <w:rPr>
          <w:rFonts w:hint="eastAsia"/>
          <w:color w:val="auto"/>
          <w:kern w:val="2"/>
          <w:sz w:val="21"/>
          <w:szCs w:val="21"/>
          <w:highlight w:val="none"/>
        </w:rPr>
        <w:t>6. 安全文明施工与环境保护</w:t>
      </w:r>
      <w:bookmarkEnd w:id="759"/>
      <w:bookmarkEnd w:id="760"/>
      <w:bookmarkEnd w:id="761"/>
    </w:p>
    <w:p>
      <w:pPr>
        <w:pStyle w:val="6"/>
        <w:spacing w:before="0" w:beforeAutospacing="0" w:after="0" w:afterAutospacing="0" w:line="360" w:lineRule="auto"/>
        <w:ind w:firstLine="422" w:firstLineChars="200"/>
        <w:rPr>
          <w:color w:val="auto"/>
          <w:sz w:val="21"/>
          <w:szCs w:val="21"/>
          <w:highlight w:val="none"/>
        </w:rPr>
      </w:pPr>
      <w:bookmarkStart w:id="775" w:name="_Toc532377350"/>
      <w:bookmarkStart w:id="776" w:name="_Toc532375614"/>
      <w:r>
        <w:rPr>
          <w:rFonts w:hint="eastAsia"/>
          <w:color w:val="auto"/>
          <w:sz w:val="21"/>
          <w:szCs w:val="21"/>
          <w:highlight w:val="none"/>
        </w:rPr>
        <w:t>6.1 安全文明施工</w:t>
      </w:r>
      <w:bookmarkEnd w:id="775"/>
      <w:bookmarkEnd w:id="776"/>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承包人必须认真贯彻执行国家安全生产法律、法规、规章和标准，按照重庆市现行的质量、安全文明施工有关规定和发包人安全管理的有关规定，建立完善的质量、安全、文明施工管理制度。</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承包人的施工要做到节能、环保，如果通过采用新材料、新设备、新工艺、新技术的手段来提高工程质量或节省工期，则必须保证新材料、新设备、新工艺、新技术是成熟的并获得相关部门正式批准的，同时使用前承包人必须组织专家论证，并得到发包人、监理人的批准。</w:t>
      </w:r>
    </w:p>
    <w:p>
      <w:pPr>
        <w:spacing w:line="360" w:lineRule="auto"/>
        <w:ind w:firstLine="420" w:firstLineChars="200"/>
        <w:jc w:val="left"/>
        <w:rPr>
          <w:rFonts w:ascii="宋体" w:hAnsi="宋体"/>
          <w:color w:val="auto"/>
          <w:szCs w:val="21"/>
          <w:highlight w:val="none"/>
          <w:u w:val="single"/>
        </w:rPr>
      </w:pPr>
      <w:r>
        <w:rPr>
          <w:rFonts w:hint="eastAsia" w:ascii="宋体" w:hAnsi="宋体"/>
          <w:color w:val="auto"/>
          <w:szCs w:val="21"/>
          <w:highlight w:val="none"/>
        </w:rPr>
        <w:t>6.1.1 项目安全生产的达标目标及相应事项的约定：</w:t>
      </w:r>
      <w:r>
        <w:rPr>
          <w:rFonts w:hint="eastAsia" w:ascii="宋体" w:hAnsi="宋体"/>
          <w:color w:val="auto"/>
          <w:szCs w:val="21"/>
          <w:highlight w:val="none"/>
          <w:u w:val="single"/>
        </w:rPr>
        <w:t>达到《建筑施工安全检查标准》（JGJ59-2011）的要求</w:t>
      </w:r>
      <w:r>
        <w:rPr>
          <w:rFonts w:hint="eastAsia" w:ascii="宋体" w:hAnsi="宋体"/>
          <w:color w:val="auto"/>
          <w:szCs w:val="21"/>
          <w:highlight w:val="none"/>
        </w:rPr>
        <w:t>。</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u w:val="single"/>
        </w:rPr>
        <w:t>（1）按现行安全文明施工费计取及使用管理的政策文件规定及发包人制订的安全管理制度执行</w:t>
      </w:r>
      <w:r>
        <w:rPr>
          <w:rFonts w:hint="eastAsia" w:ascii="宋体" w:hAnsi="宋体"/>
          <w:color w:val="auto"/>
          <w:szCs w:val="21"/>
          <w:highlight w:val="none"/>
        </w:rPr>
        <w:t>。</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u w:val="single"/>
        </w:rPr>
        <w:t>（2）承包人的原因造成事故，由此产生的法律责任和事故责任及费用由承包人全部承担</w:t>
      </w:r>
      <w:r>
        <w:rPr>
          <w:rFonts w:hint="eastAsia" w:ascii="宋体" w:hAnsi="宋体"/>
          <w:color w:val="auto"/>
          <w:szCs w:val="21"/>
          <w:highlight w:val="none"/>
        </w:rPr>
        <w:t>。</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u w:val="single"/>
        </w:rPr>
        <w:t>（3）承包人向发包人做出安全承诺，并签订《安全生产目标责任书》和《安全承诺书》</w:t>
      </w:r>
      <w:r>
        <w:rPr>
          <w:rFonts w:hint="eastAsia" w:ascii="宋体" w:hAnsi="宋体"/>
          <w:color w:val="auto"/>
          <w:szCs w:val="21"/>
          <w:highlight w:val="none"/>
        </w:rPr>
        <w:t>。</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u w:val="single"/>
        </w:rPr>
        <w:t>（4）承包人在施工过程中，必须严格执行安全生产法的相关规定，制定切实可靠的安全技术措施</w:t>
      </w:r>
      <w:r>
        <w:rPr>
          <w:rFonts w:hint="eastAsia" w:ascii="宋体" w:hAnsi="宋体"/>
          <w:color w:val="auto"/>
          <w:szCs w:val="21"/>
          <w:highlight w:val="none"/>
        </w:rPr>
        <w:t>。</w:t>
      </w:r>
    </w:p>
    <w:p>
      <w:pPr>
        <w:spacing w:line="360" w:lineRule="auto"/>
        <w:ind w:firstLine="420" w:firstLineChars="200"/>
        <w:jc w:val="left"/>
        <w:rPr>
          <w:rFonts w:ascii="宋体" w:hAnsi="宋体"/>
          <w:color w:val="auto"/>
          <w:szCs w:val="21"/>
          <w:highlight w:val="none"/>
          <w:u w:val="single"/>
        </w:rPr>
      </w:pPr>
      <w:r>
        <w:rPr>
          <w:rFonts w:hint="eastAsia" w:ascii="宋体" w:hAnsi="宋体"/>
          <w:color w:val="auto"/>
          <w:szCs w:val="21"/>
          <w:highlight w:val="none"/>
          <w:u w:val="single"/>
        </w:rPr>
        <w:t>（5）接受发包人安全监督和管理，在施工中违反安全管理规定和操作规程、违章作业的，承担违约责任</w:t>
      </w:r>
      <w:r>
        <w:rPr>
          <w:rFonts w:hint="eastAsia" w:ascii="宋体" w:hAnsi="宋体"/>
          <w:color w:val="auto"/>
          <w:szCs w:val="21"/>
          <w:highlight w:val="none"/>
        </w:rPr>
        <w:t>。</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6.1.4 关于治安保卫的特别约定：</w:t>
      </w:r>
      <w:r>
        <w:rPr>
          <w:rFonts w:hint="eastAsia" w:ascii="宋体" w:hAnsi="宋体"/>
          <w:color w:val="auto"/>
          <w:szCs w:val="21"/>
          <w:highlight w:val="none"/>
          <w:u w:val="single"/>
        </w:rPr>
        <w:t>承包人负责组建施工现场治安管理机构或联防组织；承包人负责编制施工场地治安管理计划和突发治安事件紧急预案</w:t>
      </w:r>
      <w:r>
        <w:rPr>
          <w:rFonts w:hint="eastAsia" w:ascii="宋体" w:hAnsi="宋体"/>
          <w:color w:val="auto"/>
          <w:szCs w:val="21"/>
          <w:highlight w:val="none"/>
        </w:rPr>
        <w:t>。</w:t>
      </w:r>
    </w:p>
    <w:p>
      <w:pPr>
        <w:spacing w:line="360" w:lineRule="auto"/>
        <w:ind w:firstLine="420" w:firstLineChars="200"/>
        <w:jc w:val="left"/>
        <w:rPr>
          <w:rFonts w:ascii="宋体" w:hAnsi="宋体"/>
          <w:color w:val="auto"/>
          <w:szCs w:val="21"/>
          <w:highlight w:val="none"/>
          <w:u w:val="single"/>
        </w:rPr>
      </w:pPr>
      <w:r>
        <w:rPr>
          <w:rFonts w:hint="eastAsia" w:ascii="宋体" w:hAnsi="宋体"/>
          <w:color w:val="auto"/>
          <w:szCs w:val="21"/>
          <w:highlight w:val="none"/>
        </w:rPr>
        <w:t>关于编制施工场地治安管理计划的约定：</w:t>
      </w:r>
      <w:r>
        <w:rPr>
          <w:rFonts w:hint="eastAsia" w:ascii="宋体" w:hAnsi="宋体"/>
          <w:color w:val="auto"/>
          <w:szCs w:val="21"/>
          <w:highlight w:val="none"/>
          <w:u w:val="single"/>
        </w:rPr>
        <w:t>由承包人负责</w:t>
      </w:r>
      <w:r>
        <w:rPr>
          <w:rFonts w:hint="eastAsia" w:ascii="宋体" w:hAnsi="宋体"/>
          <w:color w:val="auto"/>
          <w:szCs w:val="21"/>
          <w:highlight w:val="none"/>
        </w:rPr>
        <w:t>。</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6.1.5 文明施工</w:t>
      </w:r>
    </w:p>
    <w:p>
      <w:pPr>
        <w:spacing w:line="360" w:lineRule="auto"/>
        <w:ind w:firstLine="420" w:firstLineChars="200"/>
        <w:jc w:val="left"/>
        <w:rPr>
          <w:rFonts w:ascii="宋体" w:hAnsi="宋体"/>
          <w:color w:val="auto"/>
          <w:szCs w:val="21"/>
          <w:highlight w:val="none"/>
          <w:u w:val="single"/>
        </w:rPr>
      </w:pPr>
      <w:r>
        <w:rPr>
          <w:rFonts w:hint="eastAsia" w:ascii="宋体" w:hAnsi="宋体"/>
          <w:color w:val="auto"/>
          <w:szCs w:val="21"/>
          <w:highlight w:val="none"/>
        </w:rPr>
        <w:t>合同当事人对文明施工的要求：</w:t>
      </w:r>
      <w:r>
        <w:rPr>
          <w:rFonts w:hint="eastAsia" w:ascii="宋体" w:hAnsi="宋体"/>
          <w:color w:val="auto"/>
          <w:szCs w:val="21"/>
          <w:highlight w:val="none"/>
          <w:u w:val="single"/>
        </w:rPr>
        <w:t>承包人应按照《房屋建筑和市政基础设施工程施工扬尘控制工作方案》（渝建发〔2009〕13号）、《重庆市建设委员会关于印发&lt;重庆市房屋建筑和市政基础设施工程现场文明施工标准&gt;的通知》（渝建发〔2008〕169号）等相关规定履行好施工扬尘控制、文明施工等责任</w:t>
      </w:r>
      <w:r>
        <w:rPr>
          <w:rFonts w:hint="eastAsia" w:ascii="宋体" w:hAnsi="宋体"/>
          <w:color w:val="auto"/>
          <w:szCs w:val="21"/>
          <w:highlight w:val="none"/>
        </w:rPr>
        <w:t>。</w:t>
      </w:r>
    </w:p>
    <w:p>
      <w:pPr>
        <w:spacing w:line="360" w:lineRule="auto"/>
        <w:ind w:firstLine="420" w:firstLineChars="200"/>
        <w:jc w:val="left"/>
        <w:rPr>
          <w:rFonts w:ascii="宋体" w:hAnsi="宋体"/>
          <w:color w:val="auto"/>
          <w:szCs w:val="21"/>
          <w:highlight w:val="none"/>
          <w:u w:val="single"/>
        </w:rPr>
      </w:pPr>
      <w:r>
        <w:rPr>
          <w:rFonts w:hint="eastAsia" w:ascii="宋体" w:hAnsi="宋体"/>
          <w:color w:val="auto"/>
          <w:szCs w:val="21"/>
          <w:highlight w:val="none"/>
          <w:u w:val="single"/>
        </w:rPr>
        <w:t>承包人应按规定设置施工现场围挡，承包人采用的围挡主体形式应从重庆市城乡建委发布的标准图集（DJBT-062、DJBT-063）中选用，做好施工围挡，围挡应整齐美观，承包人按相关要求做好日常维护和保洁，围挡高度满足规范要求，相关费用已包含在签约合同价中</w:t>
      </w:r>
      <w:r>
        <w:rPr>
          <w:rFonts w:hint="eastAsia" w:ascii="宋体" w:hAnsi="宋体"/>
          <w:color w:val="auto"/>
          <w:szCs w:val="21"/>
          <w:highlight w:val="none"/>
        </w:rPr>
        <w:t>。</w:t>
      </w:r>
    </w:p>
    <w:p>
      <w:pPr>
        <w:spacing w:line="360" w:lineRule="auto"/>
        <w:ind w:firstLine="420" w:firstLineChars="200"/>
        <w:jc w:val="left"/>
        <w:rPr>
          <w:rFonts w:ascii="宋体" w:hAnsi="宋体"/>
          <w:color w:val="auto"/>
          <w:szCs w:val="21"/>
          <w:highlight w:val="none"/>
          <w:u w:val="single"/>
        </w:rPr>
      </w:pPr>
      <w:r>
        <w:rPr>
          <w:rFonts w:hint="eastAsia" w:ascii="宋体" w:hAnsi="宋体"/>
          <w:color w:val="auto"/>
          <w:szCs w:val="21"/>
          <w:highlight w:val="none"/>
        </w:rPr>
        <w:t>6.1.6 关于安全文明施工费支付比例和支付期限的约定：按照行业主管部门相关规定</w:t>
      </w:r>
      <w:r>
        <w:rPr>
          <w:rFonts w:hint="eastAsia" w:ascii="宋体" w:hAnsi="宋体"/>
          <w:color w:val="auto"/>
          <w:szCs w:val="21"/>
          <w:highlight w:val="none"/>
          <w:u w:val="single"/>
        </w:rPr>
        <w:t xml:space="preserve">                 </w:t>
      </w:r>
      <w:r>
        <w:rPr>
          <w:rFonts w:hint="eastAsia" w:ascii="宋体" w:hAnsi="宋体"/>
          <w:color w:val="auto"/>
          <w:szCs w:val="21"/>
          <w:highlight w:val="none"/>
        </w:rPr>
        <w:t>执行。</w:t>
      </w:r>
    </w:p>
    <w:p>
      <w:pPr>
        <w:spacing w:line="360" w:lineRule="auto"/>
        <w:ind w:firstLine="420" w:firstLineChars="200"/>
        <w:jc w:val="left"/>
        <w:rPr>
          <w:rFonts w:ascii="宋体" w:hAnsi="宋体"/>
          <w:color w:val="auto"/>
          <w:szCs w:val="21"/>
          <w:highlight w:val="none"/>
          <w:u w:val="single"/>
        </w:rPr>
      </w:pPr>
      <w:r>
        <w:rPr>
          <w:rFonts w:hint="eastAsia" w:ascii="宋体" w:hAnsi="宋体"/>
          <w:color w:val="auto"/>
          <w:szCs w:val="21"/>
          <w:highlight w:val="none"/>
          <w:u w:val="single"/>
        </w:rPr>
        <w:t>安全文明施工费的要求与内容、提取支付方法以及违反约定造成损失的赔偿等条款，按照现行规范要求执行，做到专款专用</w:t>
      </w:r>
      <w:r>
        <w:rPr>
          <w:rFonts w:hint="eastAsia" w:ascii="宋体" w:hAnsi="宋体"/>
          <w:color w:val="auto"/>
          <w:szCs w:val="21"/>
          <w:highlight w:val="none"/>
        </w:rPr>
        <w:t>。</w:t>
      </w:r>
    </w:p>
    <w:p>
      <w:pPr>
        <w:pStyle w:val="6"/>
        <w:spacing w:before="0" w:beforeAutospacing="0" w:after="0" w:afterAutospacing="0" w:line="360" w:lineRule="auto"/>
        <w:ind w:firstLine="422" w:firstLineChars="200"/>
        <w:rPr>
          <w:color w:val="auto"/>
          <w:sz w:val="21"/>
          <w:szCs w:val="21"/>
          <w:highlight w:val="none"/>
        </w:rPr>
      </w:pPr>
      <w:bookmarkStart w:id="777" w:name="_Toc532377351"/>
      <w:bookmarkStart w:id="778" w:name="_Toc532375615"/>
      <w:r>
        <w:rPr>
          <w:rFonts w:hint="eastAsia"/>
          <w:color w:val="auto"/>
          <w:sz w:val="21"/>
          <w:szCs w:val="21"/>
          <w:highlight w:val="none"/>
        </w:rPr>
        <w:t>6.3 环境保护</w:t>
      </w:r>
      <w:bookmarkEnd w:id="777"/>
      <w:bookmarkEnd w:id="778"/>
    </w:p>
    <w:p>
      <w:pPr>
        <w:tabs>
          <w:tab w:val="left" w:pos="711"/>
          <w:tab w:val="left" w:pos="2580"/>
        </w:tabs>
        <w:spacing w:line="360" w:lineRule="auto"/>
        <w:ind w:firstLine="420" w:firstLineChars="200"/>
        <w:jc w:val="left"/>
        <w:textAlignment w:val="baseline"/>
        <w:rPr>
          <w:rFonts w:ascii="宋体" w:hAnsi="宋体"/>
          <w:color w:val="auto"/>
          <w:szCs w:val="21"/>
          <w:highlight w:val="none"/>
        </w:rPr>
      </w:pPr>
      <w:r>
        <w:rPr>
          <w:rFonts w:hint="eastAsia" w:ascii="宋体" w:hAnsi="宋体"/>
          <w:color w:val="auto"/>
          <w:szCs w:val="21"/>
          <w:highlight w:val="none"/>
        </w:rPr>
        <w:t>本款补充6.3.1～6.3.8项：</w:t>
      </w:r>
    </w:p>
    <w:p>
      <w:pPr>
        <w:tabs>
          <w:tab w:val="left" w:pos="711"/>
          <w:tab w:val="left" w:pos="2580"/>
        </w:tabs>
        <w:spacing w:line="360" w:lineRule="auto"/>
        <w:ind w:firstLine="420" w:firstLineChars="200"/>
        <w:jc w:val="left"/>
        <w:textAlignment w:val="baseline"/>
        <w:rPr>
          <w:rFonts w:ascii="宋体" w:hAnsi="宋体"/>
          <w:color w:val="auto"/>
          <w:szCs w:val="21"/>
          <w:highlight w:val="none"/>
        </w:rPr>
      </w:pPr>
      <w:r>
        <w:rPr>
          <w:rFonts w:hint="eastAsia" w:ascii="宋体" w:hAnsi="宋体"/>
          <w:color w:val="auto"/>
          <w:szCs w:val="21"/>
          <w:highlight w:val="none"/>
        </w:rPr>
        <w:t>6.3.1 承包人应严格按照项目环境影响评价文件批准书结合发包人报送的环境影响报告书的要求进行环境保护的相关工作。如行政主管部门有新标准，则按最新标准执行，执行新标准增加的费用由发包人承担。</w:t>
      </w:r>
    </w:p>
    <w:p>
      <w:pPr>
        <w:tabs>
          <w:tab w:val="left" w:pos="711"/>
          <w:tab w:val="left" w:pos="2580"/>
        </w:tabs>
        <w:spacing w:line="360" w:lineRule="auto"/>
        <w:ind w:firstLine="420" w:firstLineChars="200"/>
        <w:jc w:val="left"/>
        <w:textAlignment w:val="baseline"/>
        <w:rPr>
          <w:rFonts w:ascii="宋体" w:hAnsi="宋体"/>
          <w:color w:val="auto"/>
          <w:szCs w:val="21"/>
          <w:highlight w:val="none"/>
        </w:rPr>
      </w:pPr>
      <w:r>
        <w:rPr>
          <w:rFonts w:hint="eastAsia" w:ascii="宋体" w:hAnsi="宋体"/>
          <w:color w:val="auto"/>
          <w:szCs w:val="21"/>
          <w:highlight w:val="none"/>
        </w:rPr>
        <w:t>6.3.2 承包人应做好对周边环境的调查工作，认真编制施工组织设计，严格按照施工方案组织施工，涉及交通、绿化、市政、环保、生态、公共安全等的施工方案应达到相关标准要求并在施工前得到相关行政主管部门和单位的同意，否则不得施工，因施工原因引起的一切投诉及处罚由承包人自行负责。</w:t>
      </w:r>
    </w:p>
    <w:p>
      <w:pPr>
        <w:tabs>
          <w:tab w:val="left" w:pos="711"/>
          <w:tab w:val="left" w:pos="2580"/>
        </w:tabs>
        <w:spacing w:line="360" w:lineRule="auto"/>
        <w:ind w:firstLine="420" w:firstLineChars="200"/>
        <w:jc w:val="left"/>
        <w:textAlignment w:val="baseline"/>
        <w:rPr>
          <w:rFonts w:ascii="宋体" w:hAnsi="宋体"/>
          <w:color w:val="auto"/>
          <w:szCs w:val="21"/>
          <w:highlight w:val="none"/>
        </w:rPr>
      </w:pPr>
      <w:r>
        <w:rPr>
          <w:rFonts w:hint="eastAsia" w:ascii="宋体" w:hAnsi="宋体"/>
          <w:color w:val="auto"/>
          <w:szCs w:val="21"/>
          <w:highlight w:val="none"/>
        </w:rPr>
        <w:t>6.3.3 承包人应加强生态环境保护工作。施工期间，采取边坡防护，挡渣坝、排水沟、沉淀池、表土剥离和绿化恢复等水土保持措施减少水土流失量，绿化恢复宜采用适于当地生长的植物。</w:t>
      </w:r>
    </w:p>
    <w:p>
      <w:pPr>
        <w:tabs>
          <w:tab w:val="left" w:pos="711"/>
          <w:tab w:val="left" w:pos="2580"/>
        </w:tabs>
        <w:spacing w:line="360" w:lineRule="auto"/>
        <w:ind w:firstLine="420" w:firstLineChars="200"/>
        <w:jc w:val="left"/>
        <w:textAlignment w:val="baseline"/>
        <w:rPr>
          <w:rFonts w:ascii="宋体" w:hAnsi="宋体"/>
          <w:color w:val="auto"/>
          <w:szCs w:val="21"/>
          <w:highlight w:val="none"/>
        </w:rPr>
      </w:pPr>
      <w:r>
        <w:rPr>
          <w:rFonts w:hint="eastAsia" w:ascii="宋体" w:hAnsi="宋体"/>
          <w:color w:val="auto"/>
          <w:szCs w:val="21"/>
          <w:highlight w:val="none"/>
        </w:rPr>
        <w:t>6.3.4 承包人应认真落实水污染防治措施。施工期间，加强机械设备维护，减少跑冒滴漏等现象；做好含油废水处理措施；施工场地生活污水经生化处理后达到《污水综合排放标准》（GB8978-1996）一级标准后排放。</w:t>
      </w:r>
    </w:p>
    <w:p>
      <w:pPr>
        <w:tabs>
          <w:tab w:val="left" w:pos="711"/>
          <w:tab w:val="left" w:pos="2580"/>
        </w:tabs>
        <w:spacing w:line="360" w:lineRule="auto"/>
        <w:ind w:firstLine="420" w:firstLineChars="200"/>
        <w:jc w:val="left"/>
        <w:textAlignment w:val="baseline"/>
        <w:rPr>
          <w:rFonts w:ascii="宋体" w:hAnsi="宋体"/>
          <w:color w:val="auto"/>
          <w:szCs w:val="21"/>
          <w:highlight w:val="none"/>
        </w:rPr>
      </w:pPr>
      <w:r>
        <w:rPr>
          <w:rFonts w:hint="eastAsia" w:ascii="宋体" w:hAnsi="宋体"/>
          <w:color w:val="auto"/>
          <w:szCs w:val="21"/>
          <w:highlight w:val="none"/>
        </w:rPr>
        <w:t>6.3.5 承包人应重视大气污染物污染防治措施。施工期间，严格执行市政府“蓝天行动”方案等有关规定，通过洒水防尘，严格控制施工场地扬尘和运输扬尘污染。</w:t>
      </w:r>
    </w:p>
    <w:p>
      <w:pPr>
        <w:tabs>
          <w:tab w:val="left" w:pos="711"/>
          <w:tab w:val="left" w:pos="2580"/>
        </w:tabs>
        <w:spacing w:line="360" w:lineRule="auto"/>
        <w:ind w:firstLine="420" w:firstLineChars="200"/>
        <w:jc w:val="left"/>
        <w:textAlignment w:val="baseline"/>
        <w:rPr>
          <w:rFonts w:ascii="宋体" w:hAnsi="宋体"/>
          <w:color w:val="auto"/>
          <w:szCs w:val="21"/>
          <w:highlight w:val="none"/>
        </w:rPr>
      </w:pPr>
      <w:r>
        <w:rPr>
          <w:rFonts w:hint="eastAsia" w:ascii="宋体" w:hAnsi="宋体"/>
          <w:color w:val="auto"/>
          <w:szCs w:val="21"/>
          <w:highlight w:val="none"/>
        </w:rPr>
        <w:t>6.3.6 承包人应落实固体废物污染防治措施。施工期间，项目产生的弃方不可合理</w:t>
      </w:r>
      <w:r>
        <w:rPr>
          <w:rFonts w:ascii="宋体" w:hAnsi="宋体"/>
          <w:color w:val="auto"/>
          <w:szCs w:val="21"/>
          <w:highlight w:val="none"/>
        </w:rPr>
        <w:t>利用的</w:t>
      </w:r>
      <w:r>
        <w:rPr>
          <w:rFonts w:hint="eastAsia" w:ascii="宋体" w:hAnsi="宋体"/>
          <w:color w:val="auto"/>
          <w:szCs w:val="21"/>
          <w:highlight w:val="none"/>
        </w:rPr>
        <w:t>，应运往指定的弃渣场内堆存；建筑垃圾运至指定的建筑垃圾消纳场处置；生活垃圾由当地环卫部门统一处置。</w:t>
      </w:r>
    </w:p>
    <w:p>
      <w:pPr>
        <w:tabs>
          <w:tab w:val="left" w:pos="711"/>
          <w:tab w:val="left" w:pos="2580"/>
        </w:tabs>
        <w:spacing w:line="360" w:lineRule="auto"/>
        <w:ind w:firstLine="420" w:firstLineChars="200"/>
        <w:jc w:val="left"/>
        <w:textAlignment w:val="baseline"/>
        <w:rPr>
          <w:rFonts w:ascii="宋体" w:hAnsi="宋体"/>
          <w:color w:val="auto"/>
          <w:szCs w:val="21"/>
          <w:highlight w:val="none"/>
        </w:rPr>
      </w:pPr>
      <w:r>
        <w:rPr>
          <w:rFonts w:hint="eastAsia" w:ascii="宋体" w:hAnsi="宋体"/>
          <w:color w:val="auto"/>
          <w:szCs w:val="21"/>
          <w:highlight w:val="none"/>
        </w:rPr>
        <w:t>6.3.7 承包人应认真落实噪声污染防治措施。施工期间，优选低噪声设备，合理安排施工时间，严格控制夜间施工，昼、夜施工场界需满足《建筑施工场界环境噪声排放标准》（GB12523-2011）。</w:t>
      </w:r>
    </w:p>
    <w:p>
      <w:pPr>
        <w:spacing w:line="360" w:lineRule="auto"/>
        <w:ind w:firstLine="420" w:firstLineChars="200"/>
        <w:jc w:val="left"/>
        <w:rPr>
          <w:rFonts w:hint="eastAsia" w:ascii="宋体" w:hAnsi="宋体"/>
          <w:color w:val="auto"/>
          <w:szCs w:val="21"/>
          <w:highlight w:val="none"/>
        </w:rPr>
      </w:pPr>
      <w:r>
        <w:rPr>
          <w:rFonts w:hint="eastAsia" w:ascii="宋体" w:hAnsi="宋体"/>
          <w:color w:val="auto"/>
          <w:szCs w:val="21"/>
          <w:highlight w:val="none"/>
        </w:rPr>
        <w:t>6.3.8 承包人自行负责办理有关施工场地交通、环卫和施工噪音管理等手续，并应按要求结合自身实际和重庆市相关规定，考虑不低于以上标准的此类工作。</w:t>
      </w:r>
    </w:p>
    <w:p>
      <w:pPr>
        <w:pStyle w:val="5"/>
        <w:keepNext/>
        <w:keepLines/>
        <w:spacing w:before="156" w:beforeLines="50" w:beforeAutospacing="0" w:after="156" w:afterLines="50" w:afterAutospacing="0" w:line="360" w:lineRule="auto"/>
        <w:jc w:val="both"/>
        <w:rPr>
          <w:bCs w:val="0"/>
          <w:color w:val="auto"/>
          <w:kern w:val="2"/>
          <w:sz w:val="21"/>
          <w:szCs w:val="21"/>
          <w:highlight w:val="none"/>
        </w:rPr>
      </w:pPr>
      <w:bookmarkStart w:id="779" w:name="_Toc532377352"/>
      <w:bookmarkStart w:id="780" w:name="_Toc532375616"/>
      <w:bookmarkStart w:id="781" w:name="_Toc351203639"/>
      <w:r>
        <w:rPr>
          <w:rFonts w:hint="eastAsia"/>
          <w:color w:val="auto"/>
          <w:kern w:val="2"/>
          <w:sz w:val="21"/>
          <w:szCs w:val="21"/>
          <w:highlight w:val="none"/>
        </w:rPr>
        <w:t>7. 工期和进度</w:t>
      </w:r>
      <w:bookmarkEnd w:id="779"/>
      <w:bookmarkEnd w:id="780"/>
      <w:bookmarkEnd w:id="781"/>
    </w:p>
    <w:p>
      <w:pPr>
        <w:pStyle w:val="6"/>
        <w:spacing w:before="0" w:beforeAutospacing="0" w:after="0" w:afterAutospacing="0" w:line="360" w:lineRule="auto"/>
        <w:ind w:firstLine="422" w:firstLineChars="200"/>
        <w:rPr>
          <w:color w:val="auto"/>
          <w:sz w:val="21"/>
          <w:szCs w:val="21"/>
          <w:highlight w:val="none"/>
        </w:rPr>
      </w:pPr>
      <w:bookmarkStart w:id="782" w:name="_Toc532375617"/>
      <w:bookmarkStart w:id="783" w:name="_Toc532377353"/>
      <w:r>
        <w:rPr>
          <w:rFonts w:hint="eastAsia"/>
          <w:color w:val="auto"/>
          <w:sz w:val="21"/>
          <w:szCs w:val="21"/>
          <w:highlight w:val="none"/>
        </w:rPr>
        <w:t>7.1 施工组织设计</w:t>
      </w:r>
      <w:bookmarkEnd w:id="782"/>
      <w:bookmarkEnd w:id="783"/>
    </w:p>
    <w:p>
      <w:pPr>
        <w:autoSpaceDE w:val="0"/>
        <w:autoSpaceDN w:val="0"/>
        <w:spacing w:line="360" w:lineRule="auto"/>
        <w:ind w:firstLine="420" w:firstLineChars="200"/>
        <w:jc w:val="left"/>
        <w:rPr>
          <w:rFonts w:ascii="宋体" w:hAnsi="宋体"/>
          <w:color w:val="auto"/>
          <w:szCs w:val="21"/>
          <w:highlight w:val="none"/>
          <w:u w:val="single"/>
        </w:rPr>
      </w:pPr>
      <w:r>
        <w:rPr>
          <w:rFonts w:hint="eastAsia" w:ascii="宋体" w:hAnsi="宋体"/>
          <w:color w:val="auto"/>
          <w:szCs w:val="21"/>
          <w:highlight w:val="none"/>
        </w:rPr>
        <w:t>7.1.1 合同当事人约定的施工组织设计应包括的其他内容：</w:t>
      </w:r>
      <w:r>
        <w:rPr>
          <w:rFonts w:hint="eastAsia" w:ascii="宋体" w:hAnsi="宋体"/>
          <w:color w:val="auto"/>
          <w:szCs w:val="21"/>
          <w:highlight w:val="none"/>
          <w:u w:val="single"/>
        </w:rPr>
        <w:t>应采用文字并结合图表形式说明施工方法；拟投入工程的主要施工设备情况、拟配备工程的试验和检测仪器设备情况、劳动力计划等；结合工程特点提出切实可行的工程质量、安全生产、文明施工、工程进度、技术组织措施，同时应对关键工序、复杂环节重点提出相应技术措施，如冬雨季施工技术、减少噪音、降低环境污染、地下管线及其他地上地下设施的保护加固措施等按发包人要求提供</w:t>
      </w:r>
      <w:r>
        <w:rPr>
          <w:rFonts w:hint="eastAsia" w:ascii="宋体" w:hAnsi="宋体"/>
          <w:color w:val="auto"/>
          <w:szCs w:val="21"/>
          <w:highlight w:val="none"/>
        </w:rPr>
        <w:t>。</w:t>
      </w:r>
    </w:p>
    <w:p>
      <w:pPr>
        <w:autoSpaceDE w:val="0"/>
        <w:autoSpaceDN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7.1.2 施工组织设计的提交和修改</w:t>
      </w:r>
    </w:p>
    <w:p>
      <w:pPr>
        <w:autoSpaceDE w:val="0"/>
        <w:autoSpaceDN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承包人提交详细施工组织设计的期限的约定：</w:t>
      </w:r>
      <w:r>
        <w:rPr>
          <w:rFonts w:hint="eastAsia" w:ascii="宋体" w:hAnsi="宋体"/>
          <w:color w:val="auto"/>
          <w:szCs w:val="21"/>
          <w:highlight w:val="none"/>
          <w:u w:val="single"/>
        </w:rPr>
        <w:t>合同签订后  天内，但最迟不得晚于开工通知载明的开工日期前7天</w:t>
      </w:r>
      <w:r>
        <w:rPr>
          <w:rFonts w:hint="eastAsia" w:ascii="宋体" w:hAnsi="宋体"/>
          <w:color w:val="auto"/>
          <w:szCs w:val="21"/>
          <w:highlight w:val="none"/>
        </w:rPr>
        <w:t>。</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发包人和监理人在收到详细的施工组织设计后确认或提出修改意见的期限：</w:t>
      </w:r>
      <w:r>
        <w:rPr>
          <w:rFonts w:hint="eastAsia" w:ascii="宋体" w:hAnsi="宋体"/>
          <w:color w:val="auto"/>
          <w:szCs w:val="21"/>
          <w:highlight w:val="none"/>
          <w:u w:val="single"/>
        </w:rPr>
        <w:t>收到施工组织设计后  天内</w:t>
      </w:r>
      <w:r>
        <w:rPr>
          <w:rFonts w:hint="eastAsia" w:ascii="宋体" w:hAnsi="宋体"/>
          <w:color w:val="auto"/>
          <w:szCs w:val="21"/>
          <w:highlight w:val="none"/>
        </w:rPr>
        <w:t>。</w:t>
      </w:r>
    </w:p>
    <w:p>
      <w:pPr>
        <w:pStyle w:val="6"/>
        <w:spacing w:before="0" w:beforeAutospacing="0" w:after="0" w:afterAutospacing="0" w:line="360" w:lineRule="auto"/>
        <w:ind w:firstLine="422" w:firstLineChars="200"/>
        <w:rPr>
          <w:color w:val="auto"/>
          <w:sz w:val="21"/>
          <w:szCs w:val="21"/>
          <w:highlight w:val="none"/>
        </w:rPr>
      </w:pPr>
      <w:bookmarkStart w:id="784" w:name="_Toc532377354"/>
      <w:bookmarkStart w:id="785" w:name="_Toc532375618"/>
      <w:r>
        <w:rPr>
          <w:rFonts w:hint="eastAsia"/>
          <w:color w:val="auto"/>
          <w:sz w:val="21"/>
          <w:szCs w:val="21"/>
          <w:highlight w:val="none"/>
        </w:rPr>
        <w:t>7.2 施工进度计划</w:t>
      </w:r>
      <w:bookmarkEnd w:id="784"/>
      <w:bookmarkEnd w:id="785"/>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7.2.2 施工进度计划的修订</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发包人和监理人在收到修订的施工进度计划后确认或提出修改意见的期限：</w:t>
      </w:r>
      <w:r>
        <w:rPr>
          <w:rFonts w:hint="eastAsia" w:ascii="宋体" w:hAnsi="宋体"/>
          <w:color w:val="auto"/>
          <w:szCs w:val="21"/>
          <w:highlight w:val="none"/>
          <w:u w:val="single"/>
        </w:rPr>
        <w:t>收到修订的施工进度计划后</w:t>
      </w:r>
      <w:r>
        <w:rPr>
          <w:rFonts w:hint="eastAsia" w:ascii="宋体" w:hAnsi="宋体"/>
          <w:color w:val="auto"/>
          <w:szCs w:val="21"/>
          <w:highlight w:val="none"/>
          <w:u w:val="single"/>
          <w:lang w:val="en-US" w:eastAsia="zh-CN"/>
        </w:rPr>
        <w:t>3</w:t>
      </w:r>
      <w:r>
        <w:rPr>
          <w:rFonts w:hint="eastAsia" w:ascii="宋体" w:hAnsi="宋体"/>
          <w:color w:val="auto"/>
          <w:szCs w:val="21"/>
          <w:highlight w:val="none"/>
          <w:u w:val="single"/>
        </w:rPr>
        <w:t>天内</w:t>
      </w:r>
      <w:r>
        <w:rPr>
          <w:rFonts w:hint="eastAsia" w:ascii="宋体" w:hAnsi="宋体"/>
          <w:color w:val="auto"/>
          <w:szCs w:val="21"/>
          <w:highlight w:val="none"/>
        </w:rPr>
        <w:t>。</w:t>
      </w:r>
    </w:p>
    <w:p>
      <w:pPr>
        <w:pStyle w:val="6"/>
        <w:spacing w:before="0" w:beforeAutospacing="0" w:after="0" w:afterAutospacing="0" w:line="360" w:lineRule="auto"/>
        <w:ind w:firstLine="422" w:firstLineChars="200"/>
        <w:rPr>
          <w:color w:val="auto"/>
          <w:sz w:val="21"/>
          <w:szCs w:val="21"/>
          <w:highlight w:val="none"/>
        </w:rPr>
      </w:pPr>
      <w:bookmarkStart w:id="786" w:name="_Toc532377355"/>
      <w:bookmarkStart w:id="787" w:name="_Toc532375619"/>
      <w:bookmarkStart w:id="788" w:name="_Toc297216173"/>
      <w:bookmarkStart w:id="789" w:name="_Toc297123514"/>
      <w:bookmarkStart w:id="790" w:name="_Toc312678005"/>
      <w:bookmarkStart w:id="791" w:name="_Toc312677479"/>
      <w:bookmarkStart w:id="792" w:name="_Toc300934966"/>
      <w:bookmarkStart w:id="793" w:name="_Toc304295541"/>
      <w:bookmarkStart w:id="794" w:name="_Toc303539123"/>
      <w:r>
        <w:rPr>
          <w:rFonts w:hint="eastAsia"/>
          <w:color w:val="auto"/>
          <w:sz w:val="21"/>
          <w:szCs w:val="21"/>
          <w:highlight w:val="none"/>
        </w:rPr>
        <w:t>7.3 开工</w:t>
      </w:r>
      <w:bookmarkEnd w:id="786"/>
      <w:bookmarkEnd w:id="787"/>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7.3.1 开工准备</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关于承包人提交工程开工报审表的期限：</w:t>
      </w:r>
      <w:r>
        <w:rPr>
          <w:rFonts w:hint="eastAsia" w:ascii="宋体" w:hAnsi="宋体"/>
          <w:color w:val="auto"/>
          <w:szCs w:val="21"/>
          <w:highlight w:val="none"/>
          <w:u w:val="single"/>
        </w:rPr>
        <w:t>不晚于开工前  天</w:t>
      </w:r>
      <w:r>
        <w:rPr>
          <w:rFonts w:hint="eastAsia" w:ascii="宋体" w:hAnsi="宋体"/>
          <w:color w:val="auto"/>
          <w:szCs w:val="21"/>
          <w:highlight w:val="none"/>
        </w:rPr>
        <w:t>。</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关于发包人应完成的其他开工准备工作及期限：</w:t>
      </w:r>
      <w:r>
        <w:rPr>
          <w:rFonts w:hint="eastAsia" w:ascii="宋体" w:hAnsi="宋体"/>
          <w:color w:val="auto"/>
          <w:szCs w:val="21"/>
          <w:highlight w:val="none"/>
          <w:u w:val="single"/>
        </w:rPr>
        <w:t>不晚于开工前  天</w:t>
      </w:r>
      <w:r>
        <w:rPr>
          <w:rFonts w:hint="eastAsia" w:ascii="宋体" w:hAnsi="宋体"/>
          <w:color w:val="auto"/>
          <w:szCs w:val="21"/>
          <w:highlight w:val="none"/>
        </w:rPr>
        <w:t>。</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关于承包人应完成的其他开工准备工作及期限：</w:t>
      </w:r>
      <w:r>
        <w:rPr>
          <w:rFonts w:hint="eastAsia" w:ascii="宋体" w:hAnsi="宋体"/>
          <w:color w:val="auto"/>
          <w:szCs w:val="21"/>
          <w:highlight w:val="none"/>
          <w:u w:val="single"/>
        </w:rPr>
        <w:t>不晚于开工前  天</w:t>
      </w:r>
      <w:r>
        <w:rPr>
          <w:rFonts w:hint="eastAsia" w:ascii="宋体" w:hAnsi="宋体"/>
          <w:color w:val="auto"/>
          <w:szCs w:val="21"/>
          <w:highlight w:val="none"/>
        </w:rPr>
        <w:t>。</w:t>
      </w:r>
    </w:p>
    <w:bookmarkEnd w:id="788"/>
    <w:bookmarkEnd w:id="789"/>
    <w:bookmarkEnd w:id="790"/>
    <w:bookmarkEnd w:id="791"/>
    <w:bookmarkEnd w:id="792"/>
    <w:bookmarkEnd w:id="793"/>
    <w:bookmarkEnd w:id="794"/>
    <w:p>
      <w:pPr>
        <w:pStyle w:val="6"/>
        <w:spacing w:before="0" w:beforeAutospacing="0" w:after="0" w:afterAutospacing="0" w:line="360" w:lineRule="auto"/>
        <w:ind w:firstLine="422" w:firstLineChars="200"/>
        <w:rPr>
          <w:color w:val="auto"/>
          <w:sz w:val="21"/>
          <w:szCs w:val="21"/>
          <w:highlight w:val="none"/>
        </w:rPr>
      </w:pPr>
      <w:bookmarkStart w:id="795" w:name="_Toc532377356"/>
      <w:bookmarkStart w:id="796" w:name="_Toc532375620"/>
      <w:r>
        <w:rPr>
          <w:rFonts w:hint="eastAsia"/>
          <w:color w:val="auto"/>
          <w:sz w:val="21"/>
          <w:szCs w:val="21"/>
          <w:highlight w:val="none"/>
        </w:rPr>
        <w:t>7.4 测量放线</w:t>
      </w:r>
      <w:bookmarkEnd w:id="795"/>
      <w:bookmarkEnd w:id="796"/>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7.4.1 发包人通过监理人向承包人提供测量基准点、基准线和水准点及其书面资料的期限：</w:t>
      </w:r>
      <w:r>
        <w:rPr>
          <w:rFonts w:hint="eastAsia" w:ascii="宋体" w:hAnsi="宋体"/>
          <w:color w:val="auto"/>
          <w:szCs w:val="21"/>
          <w:highlight w:val="none"/>
          <w:u w:val="single"/>
        </w:rPr>
        <w:t>不晚于开工前  天</w:t>
      </w:r>
      <w:r>
        <w:rPr>
          <w:rFonts w:hint="eastAsia" w:ascii="宋体" w:hAnsi="宋体"/>
          <w:color w:val="auto"/>
          <w:szCs w:val="21"/>
          <w:highlight w:val="none"/>
        </w:rPr>
        <w:t>。</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承包人报监理人审批施工控制网资料的期限：</w:t>
      </w:r>
      <w:r>
        <w:rPr>
          <w:rFonts w:hint="eastAsia" w:ascii="宋体" w:hAnsi="宋体"/>
          <w:color w:val="auto"/>
          <w:szCs w:val="21"/>
          <w:highlight w:val="none"/>
          <w:u w:val="single"/>
        </w:rPr>
        <w:t>发出开工通知后  天。</w:t>
      </w:r>
      <w:r>
        <w:rPr>
          <w:rFonts w:hint="eastAsia" w:ascii="宋体" w:hAnsi="宋体"/>
          <w:color w:val="auto"/>
          <w:szCs w:val="21"/>
          <w:highlight w:val="none"/>
          <w:u w:val="single"/>
        </w:rPr>
        <w:t>承包人发现发包人提供的测量基准点、基准线和水准点及其书面资料存在错误或疏漏的，应及时通知监理人并报告发包人，承包人应会同监理人、发包人核实，发包人就如何处理和是否继续施工作出决定，并通过监理人通知承包人</w:t>
      </w:r>
      <w:r>
        <w:rPr>
          <w:rFonts w:hint="eastAsia" w:ascii="宋体" w:hAnsi="宋体"/>
          <w:color w:val="auto"/>
          <w:szCs w:val="21"/>
          <w:highlight w:val="none"/>
        </w:rPr>
        <w:t>。</w:t>
      </w:r>
    </w:p>
    <w:p>
      <w:pPr>
        <w:pStyle w:val="6"/>
        <w:spacing w:before="0" w:beforeAutospacing="0" w:after="0" w:afterAutospacing="0" w:line="360" w:lineRule="auto"/>
        <w:ind w:firstLine="422" w:firstLineChars="200"/>
        <w:rPr>
          <w:color w:val="auto"/>
          <w:sz w:val="21"/>
          <w:szCs w:val="21"/>
          <w:highlight w:val="none"/>
        </w:rPr>
      </w:pPr>
      <w:bookmarkStart w:id="797" w:name="_Toc532375621"/>
      <w:bookmarkStart w:id="798" w:name="_Toc532377357"/>
      <w:r>
        <w:rPr>
          <w:rFonts w:hint="eastAsia"/>
          <w:color w:val="auto"/>
          <w:sz w:val="21"/>
          <w:szCs w:val="21"/>
          <w:highlight w:val="none"/>
        </w:rPr>
        <w:t>7</w:t>
      </w:r>
      <w:bookmarkStart w:id="799" w:name="_Toc304295546"/>
      <w:bookmarkStart w:id="800" w:name="_Toc297123516"/>
      <w:bookmarkStart w:id="801" w:name="_Toc303539125"/>
      <w:bookmarkStart w:id="802" w:name="_Toc312677484"/>
      <w:bookmarkStart w:id="803" w:name="_Toc300934968"/>
      <w:bookmarkStart w:id="804" w:name="_Toc312678010"/>
      <w:bookmarkStart w:id="805" w:name="_Toc297216175"/>
      <w:r>
        <w:rPr>
          <w:rFonts w:hint="eastAsia"/>
          <w:color w:val="auto"/>
          <w:sz w:val="21"/>
          <w:szCs w:val="21"/>
          <w:highlight w:val="none"/>
        </w:rPr>
        <w:t>.5 工期延误</w:t>
      </w:r>
      <w:bookmarkEnd w:id="797"/>
      <w:bookmarkEnd w:id="798"/>
    </w:p>
    <w:bookmarkEnd w:id="799"/>
    <w:bookmarkEnd w:id="800"/>
    <w:bookmarkEnd w:id="801"/>
    <w:bookmarkEnd w:id="802"/>
    <w:bookmarkEnd w:id="803"/>
    <w:bookmarkEnd w:id="804"/>
    <w:bookmarkEnd w:id="805"/>
    <w:p>
      <w:pPr>
        <w:spacing w:line="360" w:lineRule="auto"/>
        <w:ind w:firstLine="420" w:firstLineChars="200"/>
        <w:jc w:val="left"/>
        <w:rPr>
          <w:rFonts w:ascii="宋体" w:hAnsi="宋体"/>
          <w:color w:val="auto"/>
          <w:szCs w:val="21"/>
          <w:highlight w:val="none"/>
        </w:rPr>
      </w:pPr>
      <w:bookmarkStart w:id="806" w:name="_Hlk528927940"/>
      <w:r>
        <w:rPr>
          <w:rFonts w:hint="eastAsia" w:ascii="宋体" w:hAnsi="宋体"/>
          <w:color w:val="auto"/>
          <w:szCs w:val="21"/>
          <w:highlight w:val="none"/>
        </w:rPr>
        <w:t>7.5.1 因发包人原因导致工期延误：</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在合同履行过程中，除通用条款约定外，因下列情况导致工期延误和（或）费用增加的，由发包人承担由此延误的工期和（或）增加的费用：</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（1）发包人未能按合同约定提供施工场地，且该未提供开工条件直接影响项目关键线路的；</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（2）发包人提供的测量基准点、基准线和水准点及其书面资料存在错误或疏漏，且该错误或疏漏直接影响项目关键线路的；</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（3）监理人未按合同约定发出指示、批准等文件，且该未按合同约定发出指示、批准直接影响项目关键线路的；</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（4）变更未及时审批，直接影响项目关键线路的；</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（5）实施变更直接影响项目关键线路的；</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（6）因发包人原因导致工程暂停施工、停建、缓建的；</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（7）因征地拆迁、当地群众阻工等情形的；</w:t>
      </w:r>
    </w:p>
    <w:p>
      <w:pPr>
        <w:spacing w:line="360" w:lineRule="auto"/>
        <w:ind w:firstLine="420" w:firstLineChars="200"/>
        <w:jc w:val="left"/>
        <w:rPr>
          <w:rFonts w:ascii="宋体" w:hAnsi="宋体"/>
          <w:color w:val="auto"/>
          <w:szCs w:val="21"/>
          <w:highlight w:val="none"/>
          <w:u w:val="single"/>
        </w:rPr>
      </w:pPr>
      <w:r>
        <w:rPr>
          <w:rFonts w:hint="eastAsia" w:ascii="宋体" w:hAnsi="宋体"/>
          <w:color w:val="auto"/>
          <w:szCs w:val="21"/>
          <w:highlight w:val="none"/>
        </w:rPr>
        <w:t>（8）</w:t>
      </w:r>
      <w:r>
        <w:rPr>
          <w:rFonts w:hint="eastAsia" w:ascii="宋体" w:hAnsi="宋体"/>
          <w:color w:val="auto"/>
          <w:szCs w:val="21"/>
          <w:highlight w:val="none"/>
          <w:u w:val="single"/>
        </w:rPr>
        <w:t>合同约定的其他情形</w:t>
      </w:r>
      <w:r>
        <w:rPr>
          <w:rFonts w:hint="eastAsia" w:ascii="宋体" w:hAnsi="宋体"/>
          <w:color w:val="auto"/>
          <w:szCs w:val="21"/>
          <w:highlight w:val="none"/>
        </w:rPr>
        <w:t>。</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u w:val="single"/>
        </w:rPr>
        <w:t>因发包人原因未按计划开工日期开工的，发包人应按实际开工日期顺延竣工日期。因发包人原因导致工期延误需要修订施工进度计划的，按照第7.2.2项〔施工进度计划的修订〕执行</w:t>
      </w:r>
      <w:r>
        <w:rPr>
          <w:rFonts w:hint="eastAsia" w:ascii="宋体" w:hAnsi="宋体"/>
          <w:color w:val="auto"/>
          <w:szCs w:val="21"/>
          <w:highlight w:val="none"/>
        </w:rPr>
        <w:t>。</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7.5.2 因承包人原因导致工期延误</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u w:val="single"/>
        </w:rPr>
        <w:t>因承包人原因造成工期延误，逾期竣工按16.2.2（6）目执行。</w:t>
      </w:r>
    </w:p>
    <w:bookmarkEnd w:id="806"/>
    <w:p>
      <w:pPr>
        <w:pStyle w:val="6"/>
        <w:spacing w:before="0" w:beforeAutospacing="0" w:after="0" w:afterAutospacing="0" w:line="360" w:lineRule="auto"/>
        <w:ind w:firstLine="422" w:firstLineChars="200"/>
        <w:rPr>
          <w:color w:val="auto"/>
          <w:sz w:val="21"/>
          <w:szCs w:val="21"/>
          <w:highlight w:val="none"/>
        </w:rPr>
      </w:pPr>
      <w:bookmarkStart w:id="807" w:name="_Toc532377358"/>
      <w:bookmarkStart w:id="808" w:name="_Toc532375622"/>
      <w:bookmarkStart w:id="809" w:name="_Hlk528927997"/>
      <w:r>
        <w:rPr>
          <w:rFonts w:hint="eastAsia"/>
          <w:color w:val="auto"/>
          <w:sz w:val="21"/>
          <w:szCs w:val="21"/>
          <w:highlight w:val="none"/>
        </w:rPr>
        <w:t>7</w:t>
      </w:r>
      <w:bookmarkStart w:id="810" w:name="_Toc300934971"/>
      <w:bookmarkStart w:id="811" w:name="_Toc304295549"/>
      <w:bookmarkStart w:id="812" w:name="_Toc312678015"/>
      <w:bookmarkStart w:id="813" w:name="_Toc297216178"/>
      <w:bookmarkStart w:id="814" w:name="_Toc297123519"/>
      <w:bookmarkStart w:id="815" w:name="_Toc303539128"/>
      <w:r>
        <w:rPr>
          <w:rFonts w:hint="eastAsia"/>
          <w:color w:val="auto"/>
          <w:sz w:val="21"/>
          <w:szCs w:val="21"/>
          <w:highlight w:val="none"/>
        </w:rPr>
        <w:t>.6 不</w:t>
      </w:r>
      <w:bookmarkEnd w:id="810"/>
      <w:bookmarkEnd w:id="811"/>
      <w:bookmarkEnd w:id="812"/>
      <w:bookmarkEnd w:id="813"/>
      <w:bookmarkEnd w:id="814"/>
      <w:bookmarkEnd w:id="815"/>
      <w:r>
        <w:rPr>
          <w:rFonts w:hint="eastAsia"/>
          <w:color w:val="auto"/>
          <w:sz w:val="21"/>
          <w:szCs w:val="21"/>
          <w:highlight w:val="none"/>
        </w:rPr>
        <w:t>利物质条件</w:t>
      </w:r>
      <w:bookmarkEnd w:id="807"/>
      <w:bookmarkEnd w:id="808"/>
    </w:p>
    <w:bookmarkEnd w:id="809"/>
    <w:p>
      <w:pPr>
        <w:spacing w:line="360" w:lineRule="auto"/>
        <w:ind w:firstLine="420" w:firstLineChars="200"/>
        <w:jc w:val="left"/>
        <w:rPr>
          <w:rFonts w:ascii="宋体" w:hAnsi="宋体"/>
          <w:bCs/>
          <w:color w:val="auto"/>
          <w:szCs w:val="21"/>
          <w:highlight w:val="none"/>
        </w:rPr>
      </w:pPr>
      <w:bookmarkStart w:id="816" w:name="_Toc318581172"/>
      <w:bookmarkStart w:id="817" w:name="_Toc297216179"/>
      <w:bookmarkStart w:id="818" w:name="_Toc303539129"/>
      <w:bookmarkStart w:id="819" w:name="_Toc300934972"/>
      <w:bookmarkStart w:id="820" w:name="_Toc297123520"/>
      <w:bookmarkStart w:id="821" w:name="_Toc312678016"/>
      <w:bookmarkStart w:id="822" w:name="_Toc304295550"/>
      <w:r>
        <w:rPr>
          <w:rFonts w:hint="eastAsia" w:ascii="宋体" w:hAnsi="宋体"/>
          <w:color w:val="auto"/>
          <w:szCs w:val="21"/>
          <w:highlight w:val="none"/>
        </w:rPr>
        <w:t>不利物质条件的其他情形和有关约定：</w:t>
      </w:r>
      <w:bookmarkStart w:id="823" w:name="_Hlk528910274"/>
      <w:r>
        <w:rPr>
          <w:rFonts w:hint="eastAsia" w:ascii="宋体" w:hAnsi="宋体"/>
          <w:color w:val="auto"/>
          <w:szCs w:val="21"/>
          <w:highlight w:val="none"/>
          <w:u w:val="single"/>
        </w:rPr>
        <w:t xml:space="preserve">    </w:t>
      </w:r>
      <w:r>
        <w:rPr>
          <w:rFonts w:hint="eastAsia" w:ascii="宋体" w:hAnsi="宋体"/>
          <w:color w:val="auto"/>
          <w:szCs w:val="21"/>
          <w:highlight w:val="none"/>
        </w:rPr>
        <w:t>。</w:t>
      </w:r>
    </w:p>
    <w:bookmarkEnd w:id="816"/>
    <w:bookmarkEnd w:id="817"/>
    <w:bookmarkEnd w:id="818"/>
    <w:bookmarkEnd w:id="819"/>
    <w:bookmarkEnd w:id="820"/>
    <w:bookmarkEnd w:id="821"/>
    <w:bookmarkEnd w:id="822"/>
    <w:bookmarkEnd w:id="823"/>
    <w:p>
      <w:pPr>
        <w:pStyle w:val="6"/>
        <w:spacing w:before="0" w:beforeAutospacing="0" w:after="0" w:afterAutospacing="0" w:line="360" w:lineRule="auto"/>
        <w:ind w:firstLine="422" w:firstLineChars="200"/>
        <w:rPr>
          <w:color w:val="auto"/>
          <w:sz w:val="21"/>
          <w:szCs w:val="21"/>
          <w:highlight w:val="none"/>
        </w:rPr>
      </w:pPr>
      <w:bookmarkStart w:id="824" w:name="_Toc532375623"/>
      <w:bookmarkStart w:id="825" w:name="_Toc532377359"/>
      <w:r>
        <w:rPr>
          <w:rFonts w:hint="eastAsia"/>
          <w:color w:val="auto"/>
          <w:sz w:val="21"/>
          <w:szCs w:val="21"/>
          <w:highlight w:val="none"/>
        </w:rPr>
        <w:t>7</w:t>
      </w:r>
      <w:bookmarkStart w:id="826" w:name="_Toc297123521"/>
      <w:bookmarkStart w:id="827" w:name="_Toc303539130"/>
      <w:bookmarkStart w:id="828" w:name="_Toc304295551"/>
      <w:bookmarkStart w:id="829" w:name="_Toc297216180"/>
      <w:bookmarkStart w:id="830" w:name="_Toc300934973"/>
      <w:bookmarkStart w:id="831" w:name="_Toc312678017"/>
      <w:r>
        <w:rPr>
          <w:rFonts w:hint="eastAsia"/>
          <w:color w:val="auto"/>
          <w:sz w:val="21"/>
          <w:szCs w:val="21"/>
          <w:highlight w:val="none"/>
        </w:rPr>
        <w:t>.7异常恶劣的气候条件</w:t>
      </w:r>
      <w:bookmarkEnd w:id="824"/>
      <w:bookmarkEnd w:id="825"/>
    </w:p>
    <w:bookmarkEnd w:id="826"/>
    <w:bookmarkEnd w:id="827"/>
    <w:bookmarkEnd w:id="828"/>
    <w:bookmarkEnd w:id="829"/>
    <w:bookmarkEnd w:id="830"/>
    <w:bookmarkEnd w:id="831"/>
    <w:p>
      <w:pPr>
        <w:spacing w:line="360" w:lineRule="auto"/>
        <w:ind w:firstLine="420" w:firstLineChars="200"/>
        <w:jc w:val="left"/>
        <w:rPr>
          <w:rFonts w:ascii="宋体" w:hAnsi="宋体"/>
          <w:color w:val="auto"/>
          <w:szCs w:val="21"/>
          <w:highlight w:val="none"/>
          <w:u w:val="single"/>
        </w:rPr>
      </w:pPr>
      <w:r>
        <w:rPr>
          <w:rFonts w:hint="eastAsia" w:ascii="宋体" w:hAnsi="宋体"/>
          <w:color w:val="auto"/>
          <w:szCs w:val="21"/>
          <w:highlight w:val="none"/>
        </w:rPr>
        <w:t>发包人和承包人同意以下情形视为异常恶劣的气候条件：</w:t>
      </w:r>
      <w:r>
        <w:rPr>
          <w:rFonts w:hint="eastAsia" w:ascii="宋体" w:hAnsi="宋体"/>
          <w:color w:val="auto"/>
          <w:szCs w:val="21"/>
          <w:highlight w:val="none"/>
          <w:u w:val="single"/>
        </w:rPr>
        <w:t xml:space="preserve">    （异常气候是指项目所在地50年以上一遇的罕见气候现象）</w:t>
      </w:r>
      <w:r>
        <w:rPr>
          <w:rFonts w:hint="eastAsia" w:ascii="宋体" w:hAnsi="宋体"/>
          <w:color w:val="auto"/>
          <w:szCs w:val="21"/>
          <w:highlight w:val="none"/>
        </w:rPr>
        <w:t>。</w:t>
      </w:r>
    </w:p>
    <w:p>
      <w:pPr>
        <w:pStyle w:val="6"/>
        <w:spacing w:before="0" w:beforeAutospacing="0" w:after="0" w:afterAutospacing="0" w:line="360" w:lineRule="auto"/>
        <w:ind w:firstLine="422" w:firstLineChars="200"/>
        <w:rPr>
          <w:color w:val="auto"/>
          <w:sz w:val="21"/>
          <w:szCs w:val="21"/>
          <w:highlight w:val="none"/>
        </w:rPr>
      </w:pPr>
      <w:bookmarkStart w:id="832" w:name="_Toc532375624"/>
      <w:bookmarkStart w:id="833" w:name="_Toc532377360"/>
      <w:r>
        <w:rPr>
          <w:rFonts w:hint="eastAsia"/>
          <w:color w:val="auto"/>
          <w:sz w:val="21"/>
          <w:szCs w:val="21"/>
          <w:highlight w:val="none"/>
        </w:rPr>
        <w:t>7.9 提前竣工</w:t>
      </w:r>
      <w:bookmarkEnd w:id="832"/>
      <w:bookmarkEnd w:id="833"/>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7.9.1项细化为：</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当项目需要提前竣工或项目工期按照第7.5款〔工期延误〕约定顺延后需要提前竣工的，发包人应通过监理人向承包人下达提前竣工指示。承包人同意提前竣工的，应向发包人和监理人提交提前竣工方案，提前竣工方案经监理人和发包人审批后生效。由此增加的费用按照第10.4.1项〔变更估价原则〕约定执行。</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（2）发包人不得随意要求承包人提前竣工，承包人也不得随意提出提前竣工的建议。如遇特殊情况，确需将工期提前的，发包人和承包人必须采取有效措施，确保工程质量。</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（3）如果承包人提前竣工，发包人支付奖金的计算方法在合同条款中约定，时间自竣工验收证书中写明的实际竣工日期起至预定的竣工日期止，按天计算。但奖金最高限额不超过项目7.9.2项的限额。</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7.9.2 提前竣工的奖励：</w:t>
      </w:r>
      <w:r>
        <w:rPr>
          <w:rFonts w:hint="eastAsia" w:ascii="宋体" w:hAnsi="宋体"/>
          <w:color w:val="auto"/>
          <w:szCs w:val="21"/>
          <w:highlight w:val="none"/>
          <w:u w:val="single"/>
        </w:rPr>
        <w:t xml:space="preserve">    元/天，不超过签约合同价的  %</w:t>
      </w:r>
      <w:r>
        <w:rPr>
          <w:rFonts w:hint="eastAsia" w:ascii="宋体" w:hAnsi="宋体"/>
          <w:color w:val="auto"/>
          <w:szCs w:val="21"/>
          <w:highlight w:val="none"/>
        </w:rPr>
        <w:t>。</w:t>
      </w:r>
    </w:p>
    <w:p>
      <w:pPr>
        <w:pStyle w:val="5"/>
        <w:keepNext/>
        <w:keepLines/>
        <w:spacing w:before="156" w:beforeLines="50" w:beforeAutospacing="0" w:after="156" w:afterLines="50" w:afterAutospacing="0" w:line="360" w:lineRule="auto"/>
        <w:jc w:val="both"/>
        <w:rPr>
          <w:bCs w:val="0"/>
          <w:color w:val="auto"/>
          <w:kern w:val="2"/>
          <w:sz w:val="21"/>
          <w:szCs w:val="21"/>
          <w:highlight w:val="none"/>
        </w:rPr>
      </w:pPr>
      <w:bookmarkStart w:id="834" w:name="_Toc351203640"/>
      <w:bookmarkStart w:id="835" w:name="_Toc532375625"/>
      <w:bookmarkStart w:id="836" w:name="_Toc532377361"/>
      <w:r>
        <w:rPr>
          <w:rFonts w:hint="eastAsia"/>
          <w:color w:val="auto"/>
          <w:kern w:val="2"/>
          <w:sz w:val="21"/>
          <w:szCs w:val="21"/>
          <w:highlight w:val="none"/>
        </w:rPr>
        <w:t>8. 材料与设备</w:t>
      </w:r>
      <w:bookmarkEnd w:id="834"/>
      <w:bookmarkEnd w:id="835"/>
      <w:bookmarkEnd w:id="836"/>
    </w:p>
    <w:p>
      <w:pPr>
        <w:pStyle w:val="6"/>
        <w:spacing w:before="0" w:beforeAutospacing="0" w:after="0" w:afterAutospacing="0" w:line="360" w:lineRule="auto"/>
        <w:ind w:firstLine="422" w:firstLineChars="200"/>
        <w:rPr>
          <w:color w:val="auto"/>
          <w:sz w:val="21"/>
          <w:szCs w:val="21"/>
          <w:highlight w:val="none"/>
        </w:rPr>
      </w:pPr>
      <w:bookmarkStart w:id="837" w:name="_Toc532375626"/>
      <w:bookmarkStart w:id="838" w:name="_Toc532377362"/>
      <w:r>
        <w:rPr>
          <w:rFonts w:hint="eastAsia"/>
          <w:color w:val="auto"/>
          <w:sz w:val="21"/>
          <w:szCs w:val="21"/>
          <w:highlight w:val="none"/>
        </w:rPr>
        <w:t>8.1发包人供应材料与工程设备</w:t>
      </w:r>
      <w:bookmarkEnd w:id="837"/>
      <w:bookmarkEnd w:id="838"/>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材料的名称、规格、数量和价格：</w:t>
      </w:r>
      <w:r>
        <w:rPr>
          <w:rFonts w:hint="eastAsia" w:ascii="宋体" w:hAnsi="宋体"/>
          <w:color w:val="auto"/>
          <w:szCs w:val="21"/>
          <w:highlight w:val="none"/>
          <w:u w:val="single"/>
        </w:rPr>
        <w:t>发包人应提供甲供材料的明细表，结算时按经监理人、承包人共同确认的供应数量乘以招标时甲供材料暂定价格，在支付工程款时扣除</w:t>
      </w:r>
      <w:r>
        <w:rPr>
          <w:rFonts w:hint="eastAsia" w:ascii="宋体" w:hAnsi="宋体"/>
          <w:color w:val="auto"/>
          <w:szCs w:val="21"/>
          <w:highlight w:val="none"/>
        </w:rPr>
        <w:t>。</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u w:val="single"/>
        </w:rPr>
        <w:t>发包人按约定的内容提供材料设备并对提供的材料设备质量负责，承包人按施工规范和检测规范对一切进场材料进行质量检验，承包人有权退回检验不合格的材料；承包人对投入使用的材料质量负责</w:t>
      </w:r>
      <w:r>
        <w:rPr>
          <w:rFonts w:hint="eastAsia" w:ascii="宋体" w:hAnsi="宋体"/>
          <w:color w:val="auto"/>
          <w:szCs w:val="21"/>
          <w:highlight w:val="none"/>
        </w:rPr>
        <w:t>。</w:t>
      </w:r>
    </w:p>
    <w:p>
      <w:pPr>
        <w:pStyle w:val="6"/>
        <w:spacing w:before="0" w:beforeAutospacing="0" w:after="0" w:afterAutospacing="0" w:line="360" w:lineRule="auto"/>
        <w:ind w:firstLine="422" w:firstLineChars="200"/>
        <w:rPr>
          <w:color w:val="auto"/>
          <w:sz w:val="21"/>
          <w:szCs w:val="21"/>
          <w:highlight w:val="none"/>
        </w:rPr>
      </w:pPr>
      <w:bookmarkStart w:id="839" w:name="_Toc532377363"/>
      <w:bookmarkStart w:id="840" w:name="_Toc351203554"/>
      <w:bookmarkStart w:id="841" w:name="_Toc532375627"/>
      <w:r>
        <w:rPr>
          <w:rFonts w:hint="eastAsia"/>
          <w:color w:val="auto"/>
          <w:sz w:val="21"/>
          <w:szCs w:val="21"/>
          <w:highlight w:val="none"/>
        </w:rPr>
        <w:t>8</w:t>
      </w:r>
      <w:bookmarkStart w:id="842" w:name="_Toc296503060"/>
      <w:bookmarkStart w:id="843" w:name="_Toc296346561"/>
      <w:bookmarkStart w:id="844" w:name="_Toc337558778"/>
      <w:r>
        <w:rPr>
          <w:rFonts w:hint="eastAsia"/>
          <w:color w:val="auto"/>
          <w:sz w:val="21"/>
          <w:szCs w:val="21"/>
          <w:highlight w:val="none"/>
        </w:rPr>
        <w:t>.2 承包人采购材料与工程设备</w:t>
      </w:r>
      <w:bookmarkEnd w:id="839"/>
      <w:bookmarkEnd w:id="840"/>
      <w:bookmarkEnd w:id="841"/>
    </w:p>
    <w:bookmarkEnd w:id="842"/>
    <w:bookmarkEnd w:id="843"/>
    <w:bookmarkEnd w:id="844"/>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8.2.1承包人负责采购、运输和保管的材料、工程设备：</w:t>
      </w:r>
      <w:r>
        <w:rPr>
          <w:rFonts w:hint="eastAsia" w:ascii="宋体" w:hAnsi="宋体"/>
          <w:color w:val="auto"/>
          <w:szCs w:val="21"/>
          <w:highlight w:val="none"/>
          <w:u w:val="single"/>
        </w:rPr>
        <w:t>由承包人自行采购。承包人采购材料设备必须经监理人和发包人批准，结算时由监理人和发包人按招标文件规定审核的数量和合同约定</w:t>
      </w:r>
      <w:r>
        <w:rPr>
          <w:rFonts w:ascii="宋体" w:hAnsi="宋体"/>
          <w:color w:val="auto"/>
          <w:szCs w:val="21"/>
          <w:highlight w:val="none"/>
          <w:u w:val="single"/>
        </w:rPr>
        <w:t>价格</w:t>
      </w:r>
      <w:r>
        <w:rPr>
          <w:rFonts w:hint="eastAsia" w:ascii="宋体" w:hAnsi="宋体"/>
          <w:color w:val="auto"/>
          <w:szCs w:val="21"/>
          <w:highlight w:val="none"/>
          <w:u w:val="single"/>
        </w:rPr>
        <w:t>计算</w:t>
      </w:r>
      <w:r>
        <w:rPr>
          <w:rFonts w:hint="eastAsia" w:ascii="宋体" w:hAnsi="宋体"/>
          <w:color w:val="auto"/>
          <w:szCs w:val="21"/>
          <w:highlight w:val="none"/>
        </w:rPr>
        <w:t>。</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8.2.2承包人报送监理人审批的时间：</w:t>
      </w:r>
      <w:r>
        <w:rPr>
          <w:rFonts w:hint="eastAsia" w:ascii="宋体" w:hAnsi="宋体"/>
          <w:color w:val="auto"/>
          <w:szCs w:val="21"/>
          <w:highlight w:val="none"/>
          <w:u w:val="single"/>
        </w:rPr>
        <w:t>按发包人及监理单位的相关规定执行</w:t>
      </w:r>
      <w:r>
        <w:rPr>
          <w:rFonts w:hint="eastAsia" w:ascii="宋体" w:hAnsi="宋体"/>
          <w:color w:val="auto"/>
          <w:szCs w:val="21"/>
          <w:highlight w:val="none"/>
        </w:rPr>
        <w:t>。</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8.2.3承包人选择的生产厂家或供应商满足下列条件：</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A.承包人选择的混凝土供应商应满足下列条件：</w:t>
      </w:r>
      <w:r>
        <w:rPr>
          <w:rFonts w:hint="eastAsia" w:ascii="宋体" w:hAnsi="宋体"/>
          <w:color w:val="auto"/>
          <w:szCs w:val="21"/>
          <w:highlight w:val="none"/>
          <w:u w:val="single"/>
        </w:rPr>
        <w:t xml:space="preserve">        </w:t>
      </w:r>
      <w:r>
        <w:rPr>
          <w:rFonts w:hint="eastAsia" w:ascii="宋体" w:hAnsi="宋体"/>
          <w:color w:val="auto"/>
          <w:szCs w:val="21"/>
          <w:highlight w:val="none"/>
        </w:rPr>
        <w:t>；</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B.承包人选择的钢材供应商应满足下列条件：</w:t>
      </w:r>
      <w:r>
        <w:rPr>
          <w:rFonts w:hint="eastAsia" w:ascii="宋体" w:hAnsi="宋体"/>
          <w:color w:val="auto"/>
          <w:szCs w:val="21"/>
          <w:highlight w:val="none"/>
          <w:u w:val="single"/>
        </w:rPr>
        <w:t xml:space="preserve">        </w:t>
      </w:r>
      <w:r>
        <w:rPr>
          <w:rFonts w:hint="eastAsia" w:ascii="宋体" w:hAnsi="宋体"/>
          <w:color w:val="auto"/>
          <w:szCs w:val="21"/>
          <w:highlight w:val="none"/>
        </w:rPr>
        <w:t>；</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C.承包人选择的水泥供应商应满足下列条件：</w:t>
      </w:r>
      <w:r>
        <w:rPr>
          <w:rFonts w:hint="eastAsia" w:ascii="宋体" w:hAnsi="宋体"/>
          <w:color w:val="auto"/>
          <w:szCs w:val="21"/>
          <w:highlight w:val="none"/>
          <w:u w:val="single"/>
        </w:rPr>
        <w:t xml:space="preserve">        </w:t>
      </w:r>
      <w:r>
        <w:rPr>
          <w:rFonts w:hint="eastAsia" w:ascii="宋体" w:hAnsi="宋体"/>
          <w:color w:val="auto"/>
          <w:szCs w:val="21"/>
          <w:highlight w:val="none"/>
        </w:rPr>
        <w:t>；</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D.承包人采购的材料与设计或标准要求不符时，承包人应按发包人和监理人要求的时间运出施工场地，并重新采购符合要求的产品，并承担由此发生的费用，因此延误的工期不予顺延。</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E.承包人采购的材料在使用前，应按发包人和监理人的要求进行检验或试验，不合格的不得使用。</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F.</w:t>
      </w:r>
      <w:r>
        <w:rPr>
          <w:rFonts w:hint="eastAsia" w:ascii="宋体" w:hAnsi="宋体"/>
          <w:color w:val="auto"/>
          <w:szCs w:val="21"/>
          <w:highlight w:val="none"/>
          <w:u w:val="single"/>
        </w:rPr>
        <w:t xml:space="preserve">        </w:t>
      </w:r>
      <w:r>
        <w:rPr>
          <w:rFonts w:hint="eastAsia" w:ascii="宋体" w:hAnsi="宋体"/>
          <w:color w:val="auto"/>
          <w:szCs w:val="21"/>
          <w:highlight w:val="none"/>
        </w:rPr>
        <w:t>。</w:t>
      </w:r>
    </w:p>
    <w:p>
      <w:pPr>
        <w:pStyle w:val="6"/>
        <w:spacing w:before="0" w:beforeAutospacing="0" w:after="0" w:afterAutospacing="0" w:line="360" w:lineRule="auto"/>
        <w:ind w:firstLine="422" w:firstLineChars="200"/>
        <w:rPr>
          <w:color w:val="auto"/>
          <w:sz w:val="21"/>
          <w:szCs w:val="21"/>
          <w:highlight w:val="none"/>
        </w:rPr>
      </w:pPr>
      <w:bookmarkStart w:id="845" w:name="_Toc532375628"/>
      <w:bookmarkStart w:id="846" w:name="_Toc532377364"/>
      <w:r>
        <w:rPr>
          <w:rFonts w:hint="eastAsia"/>
          <w:color w:val="auto"/>
          <w:sz w:val="21"/>
          <w:szCs w:val="21"/>
          <w:highlight w:val="none"/>
        </w:rPr>
        <w:t>8</w:t>
      </w:r>
      <w:bookmarkStart w:id="847" w:name="_Toc296347166"/>
      <w:bookmarkStart w:id="848" w:name="_Toc300934979"/>
      <w:bookmarkStart w:id="849" w:name="_Toc297120467"/>
      <w:bookmarkStart w:id="850" w:name="_Toc296346668"/>
      <w:bookmarkStart w:id="851" w:name="_Toc297216186"/>
      <w:bookmarkStart w:id="852" w:name="_Toc296503167"/>
      <w:bookmarkStart w:id="853" w:name="_Toc296891207"/>
      <w:bookmarkStart w:id="854" w:name="_Toc292559877"/>
      <w:bookmarkStart w:id="855" w:name="_Toc297123527"/>
      <w:bookmarkStart w:id="856" w:name="_Toc296890995"/>
      <w:bookmarkStart w:id="857" w:name="_Toc312677493"/>
      <w:bookmarkStart w:id="858" w:name="_Toc303539136"/>
      <w:bookmarkStart w:id="859" w:name="_Toc280868654"/>
      <w:bookmarkStart w:id="860" w:name="_Toc304295556"/>
      <w:bookmarkStart w:id="861" w:name="_Toc312678019"/>
      <w:bookmarkStart w:id="862" w:name="_Toc297048353"/>
      <w:bookmarkStart w:id="863" w:name="_Toc292559372"/>
      <w:bookmarkStart w:id="864" w:name="_Toc296944506"/>
      <w:bookmarkStart w:id="865" w:name="_Toc267251424"/>
      <w:bookmarkStart w:id="866" w:name="_Toc280868656"/>
      <w:bookmarkStart w:id="867" w:name="_Toc280868655"/>
      <w:r>
        <w:rPr>
          <w:rFonts w:hint="eastAsia"/>
          <w:color w:val="auto"/>
          <w:sz w:val="21"/>
          <w:szCs w:val="21"/>
          <w:highlight w:val="none"/>
        </w:rPr>
        <w:t>.4 材料与工程设备的保管与使用</w:t>
      </w:r>
      <w:bookmarkEnd w:id="845"/>
      <w:bookmarkEnd w:id="846"/>
    </w:p>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8</w:t>
      </w:r>
      <w:bookmarkStart w:id="868" w:name="_Toc292559878"/>
      <w:bookmarkStart w:id="869" w:name="_Toc292559373"/>
      <w:bookmarkStart w:id="870" w:name="_Toc312678020"/>
      <w:bookmarkStart w:id="871" w:name="_Toc318581173"/>
      <w:bookmarkStart w:id="872" w:name="_Toc297120468"/>
      <w:bookmarkStart w:id="873" w:name="_Toc297216187"/>
      <w:bookmarkStart w:id="874" w:name="_Toc312677494"/>
      <w:bookmarkStart w:id="875" w:name="_Toc304295557"/>
      <w:bookmarkStart w:id="876" w:name="_Toc296346669"/>
      <w:bookmarkStart w:id="877" w:name="_Toc296890996"/>
      <w:bookmarkStart w:id="878" w:name="_Toc296891208"/>
      <w:bookmarkStart w:id="879" w:name="_Toc297123528"/>
      <w:bookmarkStart w:id="880" w:name="_Toc297048354"/>
      <w:bookmarkStart w:id="881" w:name="_Toc300934980"/>
      <w:bookmarkStart w:id="882" w:name="_Toc303539137"/>
      <w:bookmarkStart w:id="883" w:name="_Toc296944507"/>
      <w:bookmarkStart w:id="884" w:name="_Toc296503168"/>
      <w:bookmarkStart w:id="885" w:name="_Toc296347167"/>
      <w:r>
        <w:rPr>
          <w:rFonts w:hint="eastAsia" w:ascii="宋体" w:hAnsi="宋体"/>
          <w:color w:val="auto"/>
          <w:szCs w:val="21"/>
          <w:highlight w:val="none"/>
        </w:rPr>
        <w:t>.4.1 发包人供应的材料设备的保管费用的承担：</w:t>
      </w:r>
      <w:r>
        <w:rPr>
          <w:rFonts w:hint="eastAsia" w:ascii="宋体" w:hAnsi="宋体"/>
          <w:color w:val="auto"/>
          <w:szCs w:val="21"/>
          <w:highlight w:val="none"/>
          <w:u w:val="single"/>
        </w:rPr>
        <w:t xml:space="preserve">           </w:t>
      </w:r>
      <w:r>
        <w:rPr>
          <w:rFonts w:hint="eastAsia" w:ascii="宋体" w:hAnsi="宋体"/>
          <w:color w:val="auto"/>
          <w:szCs w:val="21"/>
          <w:highlight w:val="none"/>
        </w:rPr>
        <w:t>。</w:t>
      </w:r>
      <w:bookmarkEnd w:id="868"/>
      <w:bookmarkEnd w:id="869"/>
    </w:p>
    <w:p>
      <w:pPr>
        <w:pStyle w:val="6"/>
        <w:spacing w:before="0" w:beforeAutospacing="0" w:after="0" w:afterAutospacing="0" w:line="360" w:lineRule="auto"/>
        <w:ind w:firstLine="422" w:firstLineChars="200"/>
        <w:rPr>
          <w:color w:val="auto"/>
          <w:sz w:val="21"/>
          <w:szCs w:val="21"/>
          <w:highlight w:val="none"/>
        </w:rPr>
      </w:pPr>
      <w:bookmarkStart w:id="886" w:name="_Toc532375629"/>
      <w:bookmarkStart w:id="887" w:name="_Toc532377365"/>
      <w:r>
        <w:rPr>
          <w:rFonts w:hint="eastAsia"/>
          <w:color w:val="auto"/>
          <w:sz w:val="21"/>
          <w:szCs w:val="21"/>
          <w:highlight w:val="none"/>
        </w:rPr>
        <w:t>8.6 样品</w:t>
      </w:r>
      <w:bookmarkEnd w:id="886"/>
      <w:bookmarkEnd w:id="887"/>
    </w:p>
    <w:p>
      <w:pPr>
        <w:autoSpaceDE w:val="0"/>
        <w:autoSpaceDN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8.6.1 样品的报送与封存</w:t>
      </w:r>
    </w:p>
    <w:p>
      <w:pPr>
        <w:autoSpaceDE w:val="0"/>
        <w:autoSpaceDN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需要承包人报送样品的材料或工程设备，样品的种类、名称、规格、数量要求：</w:t>
      </w:r>
      <w:r>
        <w:rPr>
          <w:rFonts w:hint="eastAsia" w:ascii="宋体" w:hAnsi="宋体"/>
          <w:color w:val="auto"/>
          <w:szCs w:val="21"/>
          <w:highlight w:val="none"/>
          <w:u w:val="single"/>
        </w:rPr>
        <w:t xml:space="preserve">        </w:t>
      </w:r>
      <w:r>
        <w:rPr>
          <w:rFonts w:hint="eastAsia" w:ascii="宋体" w:hAnsi="宋体"/>
          <w:color w:val="auto"/>
          <w:szCs w:val="21"/>
          <w:highlight w:val="none"/>
        </w:rPr>
        <w:t>。</w:t>
      </w:r>
    </w:p>
    <w:p>
      <w:pPr>
        <w:pStyle w:val="6"/>
        <w:spacing w:before="0" w:beforeAutospacing="0" w:after="0" w:afterAutospacing="0" w:line="360" w:lineRule="auto"/>
        <w:ind w:firstLine="422" w:firstLineChars="200"/>
        <w:rPr>
          <w:color w:val="auto"/>
          <w:sz w:val="21"/>
          <w:szCs w:val="21"/>
          <w:highlight w:val="none"/>
        </w:rPr>
      </w:pPr>
      <w:bookmarkStart w:id="888" w:name="_Toc532375630"/>
      <w:bookmarkStart w:id="889" w:name="_Toc532377366"/>
      <w:r>
        <w:rPr>
          <w:rFonts w:hint="eastAsia"/>
          <w:color w:val="auto"/>
          <w:sz w:val="21"/>
          <w:szCs w:val="21"/>
          <w:highlight w:val="none"/>
        </w:rPr>
        <w:t>8.8 施工设备和临时设施</w:t>
      </w:r>
      <w:bookmarkEnd w:id="888"/>
      <w:bookmarkEnd w:id="889"/>
    </w:p>
    <w:p>
      <w:pPr>
        <w:autoSpaceDE w:val="0"/>
        <w:autoSpaceDN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8.8.1 承包人提供的施工设备和临时设施</w:t>
      </w:r>
    </w:p>
    <w:p>
      <w:pPr>
        <w:autoSpaceDE w:val="0"/>
        <w:autoSpaceDN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关于修建临时设施费用承担的约定：</w:t>
      </w:r>
      <w:r>
        <w:rPr>
          <w:rFonts w:hint="eastAsia" w:ascii="宋体" w:hAnsi="宋体"/>
          <w:color w:val="auto"/>
          <w:szCs w:val="21"/>
          <w:highlight w:val="none"/>
          <w:u w:val="single"/>
        </w:rPr>
        <w:t>由承包人承担</w:t>
      </w:r>
      <w:r>
        <w:rPr>
          <w:rFonts w:hint="eastAsia" w:ascii="宋体" w:hAnsi="宋体"/>
          <w:color w:val="auto"/>
          <w:szCs w:val="21"/>
          <w:highlight w:val="none"/>
        </w:rPr>
        <w:t>。</w:t>
      </w:r>
    </w:p>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p>
      <w:pPr>
        <w:pStyle w:val="5"/>
        <w:keepNext/>
        <w:keepLines/>
        <w:spacing w:before="156" w:beforeLines="50" w:beforeAutospacing="0" w:after="156" w:afterLines="50" w:afterAutospacing="0" w:line="360" w:lineRule="auto"/>
        <w:jc w:val="both"/>
        <w:rPr>
          <w:bCs w:val="0"/>
          <w:color w:val="auto"/>
          <w:kern w:val="2"/>
          <w:sz w:val="21"/>
          <w:szCs w:val="21"/>
          <w:highlight w:val="none"/>
        </w:rPr>
      </w:pPr>
      <w:bookmarkStart w:id="890" w:name="_Toc532375631"/>
      <w:bookmarkStart w:id="891" w:name="_Toc532377367"/>
      <w:bookmarkStart w:id="892" w:name="_Toc351203641"/>
      <w:r>
        <w:rPr>
          <w:rFonts w:hint="eastAsia"/>
          <w:color w:val="auto"/>
          <w:kern w:val="2"/>
          <w:sz w:val="21"/>
          <w:szCs w:val="21"/>
          <w:highlight w:val="none"/>
        </w:rPr>
        <w:t>9</w:t>
      </w:r>
      <w:bookmarkEnd w:id="865"/>
      <w:bookmarkEnd w:id="866"/>
      <w:bookmarkEnd w:id="867"/>
      <w:bookmarkStart w:id="893" w:name="_Toc312677495"/>
      <w:bookmarkStart w:id="894" w:name="_Toc312678021"/>
      <w:bookmarkStart w:id="895" w:name="_Toc303539139"/>
      <w:bookmarkStart w:id="896" w:name="_Toc304295559"/>
      <w:bookmarkStart w:id="897" w:name="_Toc300934982"/>
      <w:bookmarkStart w:id="898" w:name="_Toc297123533"/>
      <w:bookmarkStart w:id="899" w:name="_Toc297216192"/>
      <w:r>
        <w:rPr>
          <w:rFonts w:hint="eastAsia"/>
          <w:color w:val="auto"/>
          <w:kern w:val="2"/>
          <w:sz w:val="21"/>
          <w:szCs w:val="21"/>
          <w:highlight w:val="none"/>
        </w:rPr>
        <w:t>. 试验与检验</w:t>
      </w:r>
      <w:bookmarkEnd w:id="890"/>
      <w:bookmarkEnd w:id="891"/>
      <w:bookmarkEnd w:id="892"/>
    </w:p>
    <w:bookmarkEnd w:id="893"/>
    <w:bookmarkEnd w:id="894"/>
    <w:bookmarkEnd w:id="895"/>
    <w:bookmarkEnd w:id="896"/>
    <w:bookmarkEnd w:id="897"/>
    <w:bookmarkEnd w:id="898"/>
    <w:bookmarkEnd w:id="899"/>
    <w:p>
      <w:pPr>
        <w:pStyle w:val="6"/>
        <w:spacing w:before="0" w:beforeAutospacing="0" w:after="0" w:afterAutospacing="0" w:line="360" w:lineRule="auto"/>
        <w:ind w:firstLine="422" w:firstLineChars="200"/>
        <w:rPr>
          <w:color w:val="auto"/>
          <w:sz w:val="21"/>
          <w:szCs w:val="21"/>
          <w:highlight w:val="none"/>
        </w:rPr>
      </w:pPr>
      <w:bookmarkStart w:id="900" w:name="_Toc532375632"/>
      <w:bookmarkStart w:id="901" w:name="_Toc532377368"/>
      <w:r>
        <w:rPr>
          <w:rFonts w:hint="eastAsia"/>
          <w:color w:val="auto"/>
          <w:sz w:val="21"/>
          <w:szCs w:val="21"/>
          <w:highlight w:val="none"/>
        </w:rPr>
        <w:t>9</w:t>
      </w:r>
      <w:bookmarkStart w:id="902" w:name="_Toc303539140"/>
      <w:bookmarkStart w:id="903" w:name="_Toc312678022"/>
      <w:bookmarkStart w:id="904" w:name="_Toc297216193"/>
      <w:bookmarkStart w:id="905" w:name="_Toc300934983"/>
      <w:bookmarkStart w:id="906" w:name="_Toc297123534"/>
      <w:bookmarkStart w:id="907" w:name="_Toc304295560"/>
      <w:bookmarkStart w:id="908" w:name="_Toc312677496"/>
      <w:r>
        <w:rPr>
          <w:rFonts w:hint="eastAsia"/>
          <w:color w:val="auto"/>
          <w:sz w:val="21"/>
          <w:szCs w:val="21"/>
          <w:highlight w:val="none"/>
        </w:rPr>
        <w:t>.1 试验设备与试验人员</w:t>
      </w:r>
      <w:bookmarkEnd w:id="900"/>
      <w:bookmarkEnd w:id="901"/>
    </w:p>
    <w:bookmarkEnd w:id="902"/>
    <w:bookmarkEnd w:id="903"/>
    <w:bookmarkEnd w:id="904"/>
    <w:bookmarkEnd w:id="905"/>
    <w:bookmarkEnd w:id="906"/>
    <w:bookmarkEnd w:id="907"/>
    <w:bookmarkEnd w:id="908"/>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9</w:t>
      </w:r>
      <w:bookmarkStart w:id="909" w:name="_Toc312678023"/>
      <w:bookmarkStart w:id="910" w:name="_Toc303539141"/>
      <w:bookmarkStart w:id="911" w:name="_Toc300934984"/>
      <w:bookmarkStart w:id="912" w:name="_Toc297123535"/>
      <w:bookmarkStart w:id="913" w:name="_Toc312677497"/>
      <w:bookmarkStart w:id="914" w:name="_Toc304295561"/>
      <w:bookmarkStart w:id="915" w:name="_Toc297216194"/>
      <w:bookmarkStart w:id="916" w:name="_Toc318581174"/>
      <w:r>
        <w:rPr>
          <w:rFonts w:hint="eastAsia" w:ascii="宋体" w:hAnsi="宋体"/>
          <w:color w:val="auto"/>
          <w:szCs w:val="21"/>
          <w:highlight w:val="none"/>
        </w:rPr>
        <w:t>.1.2 试验设备</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施工现场需要配置的试验场所：</w:t>
      </w:r>
      <w:bookmarkEnd w:id="909"/>
      <w:bookmarkEnd w:id="910"/>
      <w:bookmarkEnd w:id="911"/>
      <w:bookmarkEnd w:id="912"/>
      <w:bookmarkEnd w:id="913"/>
      <w:bookmarkEnd w:id="914"/>
      <w:bookmarkEnd w:id="915"/>
      <w:bookmarkStart w:id="917" w:name="_Toc303539142"/>
      <w:bookmarkStart w:id="918" w:name="_Toc297216195"/>
      <w:bookmarkStart w:id="919" w:name="_Toc300934985"/>
      <w:bookmarkStart w:id="920" w:name="_Toc312677498"/>
      <w:bookmarkStart w:id="921" w:name="_Toc304295562"/>
      <w:bookmarkStart w:id="922" w:name="_Toc297123536"/>
      <w:bookmarkStart w:id="923" w:name="_Toc312678024"/>
      <w:r>
        <w:rPr>
          <w:rFonts w:hint="eastAsia" w:ascii="宋体" w:hAnsi="宋体"/>
          <w:color w:val="auto"/>
          <w:szCs w:val="21"/>
          <w:highlight w:val="none"/>
          <w:u w:val="single"/>
        </w:rPr>
        <w:t>满足工程施工的需要</w:t>
      </w:r>
      <w:r>
        <w:rPr>
          <w:rFonts w:hint="eastAsia" w:ascii="宋体" w:hAnsi="宋体"/>
          <w:color w:val="auto"/>
          <w:szCs w:val="21"/>
          <w:highlight w:val="none"/>
        </w:rPr>
        <w:t>。</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施工现场需要配备的试验设备：</w:t>
      </w:r>
      <w:r>
        <w:rPr>
          <w:rFonts w:hint="eastAsia" w:ascii="宋体" w:hAnsi="宋体"/>
          <w:color w:val="auto"/>
          <w:szCs w:val="21"/>
          <w:highlight w:val="none"/>
          <w:u w:val="single"/>
        </w:rPr>
        <w:t>满足工程施工的需要</w:t>
      </w:r>
      <w:r>
        <w:rPr>
          <w:rFonts w:hint="eastAsia" w:ascii="宋体" w:hAnsi="宋体"/>
          <w:color w:val="auto"/>
          <w:szCs w:val="21"/>
          <w:highlight w:val="none"/>
        </w:rPr>
        <w:t>。</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施工现场需要具备的其他试验条件：</w:t>
      </w:r>
      <w:r>
        <w:rPr>
          <w:rFonts w:hint="eastAsia" w:ascii="宋体" w:hAnsi="宋体"/>
          <w:color w:val="auto"/>
          <w:szCs w:val="21"/>
          <w:highlight w:val="none"/>
          <w:u w:val="single"/>
        </w:rPr>
        <w:t xml:space="preserve">        </w:t>
      </w:r>
      <w:r>
        <w:rPr>
          <w:rFonts w:hint="eastAsia" w:ascii="宋体" w:hAnsi="宋体"/>
          <w:color w:val="auto"/>
          <w:szCs w:val="21"/>
          <w:highlight w:val="none"/>
        </w:rPr>
        <w:t>。</w:t>
      </w:r>
    </w:p>
    <w:p>
      <w:pPr>
        <w:pStyle w:val="6"/>
        <w:spacing w:before="0" w:beforeAutospacing="0" w:after="0" w:afterAutospacing="0" w:line="360" w:lineRule="auto"/>
        <w:ind w:firstLine="422" w:firstLineChars="200"/>
        <w:rPr>
          <w:color w:val="auto"/>
          <w:sz w:val="21"/>
          <w:szCs w:val="21"/>
          <w:highlight w:val="none"/>
        </w:rPr>
      </w:pPr>
      <w:bookmarkStart w:id="924" w:name="_Toc532375633"/>
      <w:bookmarkStart w:id="925" w:name="_Toc532377369"/>
      <w:r>
        <w:rPr>
          <w:rFonts w:hint="eastAsia"/>
          <w:color w:val="auto"/>
          <w:sz w:val="21"/>
          <w:szCs w:val="21"/>
          <w:highlight w:val="none"/>
        </w:rPr>
        <w:t>9.4 现场工艺试验</w:t>
      </w:r>
      <w:bookmarkEnd w:id="924"/>
      <w:bookmarkEnd w:id="925"/>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本款补充9.4.1～9.4.5项：</w:t>
      </w:r>
    </w:p>
    <w:bookmarkEnd w:id="916"/>
    <w:bookmarkEnd w:id="917"/>
    <w:bookmarkEnd w:id="918"/>
    <w:bookmarkEnd w:id="919"/>
    <w:bookmarkEnd w:id="920"/>
    <w:bookmarkEnd w:id="921"/>
    <w:bookmarkEnd w:id="922"/>
    <w:bookmarkEnd w:id="923"/>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9.4.1一般检验试验：</w:t>
      </w:r>
    </w:p>
    <w:p>
      <w:pPr>
        <w:tabs>
          <w:tab w:val="left" w:pos="711"/>
          <w:tab w:val="left" w:pos="2580"/>
        </w:tabs>
        <w:spacing w:line="360" w:lineRule="auto"/>
        <w:ind w:firstLine="420" w:firstLineChars="200"/>
        <w:jc w:val="left"/>
        <w:textAlignment w:val="baseline"/>
        <w:rPr>
          <w:rFonts w:ascii="宋体" w:hAnsi="宋体"/>
          <w:color w:val="auto"/>
          <w:szCs w:val="21"/>
          <w:highlight w:val="none"/>
        </w:rPr>
      </w:pPr>
      <w:r>
        <w:rPr>
          <w:rFonts w:hint="eastAsia" w:ascii="宋体" w:hAnsi="宋体"/>
          <w:color w:val="auto"/>
          <w:szCs w:val="21"/>
          <w:highlight w:val="none"/>
        </w:rPr>
        <w:t>根据《建设工程质量检测管理办法》（建设部令第141号）、关于实施《建设工程质量检测管理办法》有关问题的通知（建质〔2009〕25号）、《重庆市建设工程质量检测管理规定》（渝建发〔2009〕123号）、《关于加强我市建设工程质量检测委托管理的通知》（渝建〔2015〕420号）和有关施工规范、验收标准及施工图的规定或要求，对工程材料、构件、建筑安装物、半成品、成品进行的一般质量鉴定、检测和试验，由发包人委托的第三方检测试验机构实施，所发生的鉴定、检测和试验费用由发包人承担，不包含在合同价格中。</w:t>
      </w:r>
    </w:p>
    <w:p>
      <w:pPr>
        <w:tabs>
          <w:tab w:val="left" w:pos="711"/>
          <w:tab w:val="left" w:pos="2580"/>
        </w:tabs>
        <w:spacing w:line="360" w:lineRule="auto"/>
        <w:ind w:firstLine="420" w:firstLineChars="200"/>
        <w:jc w:val="left"/>
        <w:textAlignment w:val="baseline"/>
        <w:rPr>
          <w:rFonts w:ascii="宋体" w:hAnsi="宋体"/>
          <w:color w:val="auto"/>
          <w:szCs w:val="21"/>
          <w:highlight w:val="none"/>
        </w:rPr>
      </w:pPr>
      <w:r>
        <w:rPr>
          <w:rFonts w:hint="eastAsia" w:ascii="宋体" w:hAnsi="宋体"/>
          <w:color w:val="auto"/>
          <w:szCs w:val="21"/>
          <w:highlight w:val="none"/>
        </w:rPr>
        <w:t>实施前，由发包人、承包人和第三方检测试验机构签订三方合同，第三方检测试验机构分别向承包人和发包人出具相应的检测试验报告。根据渝建〔2015〕420号文和有关施工规范、验收标准及施工图的规定或要求，所做的上述检测试验所需的试件取样、制作、送检，试件制作需要提供的材料以及检测、试验的配合工作由承包人负责完成并承担由此产生的所有相关费用。</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9.4.2特殊检验试验：</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（1）除“施工措施的检测、试验”外，包括但不限于路基弯沉值试验、路面承载力试验、桥梁荷载试验、锚固试验、桩基检测、锚杆抗拔检验、锚索预应力检测、外墙面砖抗粘接试验、室内有害物质检测、门窗 （幕墙）三性检测、石材放射性检测、石膏板阻燃检测、挡土墙抗渗试验、保温层隔热检测等（根据项目实际情况增减）设计施工规范及其他法律法规规范规定的特殊检验试验项目，根据渝建〔2015〕420号文的规定，均由发包人委托相应的第三方检测试验机构进行检测，所发生的特殊检验试验费由发包人承担，不包含在合同价格中。</w:t>
      </w:r>
    </w:p>
    <w:p>
      <w:pPr>
        <w:tabs>
          <w:tab w:val="left" w:pos="711"/>
          <w:tab w:val="left" w:pos="2580"/>
        </w:tabs>
        <w:spacing w:line="360" w:lineRule="auto"/>
        <w:ind w:firstLine="420" w:firstLineChars="200"/>
        <w:jc w:val="left"/>
        <w:textAlignment w:val="baseline"/>
        <w:rPr>
          <w:rFonts w:ascii="宋体" w:hAnsi="宋体"/>
          <w:color w:val="auto"/>
          <w:szCs w:val="21"/>
          <w:highlight w:val="none"/>
        </w:rPr>
      </w:pPr>
      <w:r>
        <w:rPr>
          <w:rFonts w:hint="eastAsia" w:ascii="宋体" w:hAnsi="宋体"/>
          <w:color w:val="auto"/>
          <w:szCs w:val="21"/>
          <w:highlight w:val="none"/>
        </w:rPr>
        <w:t>发包人委托的第三方检测试验机构检测试验的试件所需的材料、取样、送检及相关配合工作由承包人负责完成并承担由此产生的所有相关费用。</w:t>
      </w:r>
    </w:p>
    <w:p>
      <w:pPr>
        <w:tabs>
          <w:tab w:val="left" w:pos="711"/>
          <w:tab w:val="left" w:pos="2580"/>
        </w:tabs>
        <w:spacing w:line="360" w:lineRule="auto"/>
        <w:ind w:firstLine="420" w:firstLineChars="200"/>
        <w:jc w:val="left"/>
        <w:textAlignment w:val="baseline"/>
        <w:rPr>
          <w:rFonts w:ascii="宋体" w:hAnsi="宋体"/>
          <w:color w:val="auto"/>
          <w:szCs w:val="21"/>
          <w:highlight w:val="none"/>
        </w:rPr>
      </w:pPr>
      <w:r>
        <w:rPr>
          <w:rFonts w:hint="eastAsia" w:ascii="宋体" w:hAnsi="宋体"/>
          <w:color w:val="auto"/>
          <w:szCs w:val="21"/>
          <w:highlight w:val="none"/>
        </w:rPr>
        <w:t>（2）施工措施的检测、试验：因施工措施需要而做的相关检测、试验由承包人负责实施，其费用由承包人承担。</w:t>
      </w:r>
    </w:p>
    <w:p>
      <w:pPr>
        <w:tabs>
          <w:tab w:val="left" w:pos="711"/>
          <w:tab w:val="left" w:pos="2580"/>
        </w:tabs>
        <w:spacing w:line="360" w:lineRule="auto"/>
        <w:ind w:firstLine="420" w:firstLineChars="200"/>
        <w:jc w:val="left"/>
        <w:textAlignment w:val="baseline"/>
        <w:rPr>
          <w:rFonts w:ascii="宋体" w:hAnsi="宋体"/>
          <w:color w:val="auto"/>
          <w:szCs w:val="21"/>
          <w:highlight w:val="none"/>
        </w:rPr>
      </w:pPr>
      <w:r>
        <w:rPr>
          <w:rFonts w:hint="eastAsia" w:ascii="宋体" w:hAnsi="宋体"/>
          <w:color w:val="auto"/>
          <w:szCs w:val="21"/>
          <w:highlight w:val="none"/>
        </w:rPr>
        <w:t>9.4.3专项检测：</w:t>
      </w:r>
      <w:r>
        <w:rPr>
          <w:rFonts w:hint="eastAsia" w:ascii="宋体" w:hAnsi="宋体"/>
          <w:color w:val="auto"/>
          <w:szCs w:val="21"/>
          <w:highlight w:val="none"/>
          <w:u w:val="single"/>
        </w:rPr>
        <w:t xml:space="preserve">       </w:t>
      </w:r>
      <w:r>
        <w:rPr>
          <w:rFonts w:hint="eastAsia" w:ascii="宋体" w:hAnsi="宋体"/>
          <w:color w:val="auto"/>
          <w:szCs w:val="21"/>
          <w:highlight w:val="none"/>
        </w:rPr>
        <w:t>。</w:t>
      </w:r>
    </w:p>
    <w:p>
      <w:pPr>
        <w:tabs>
          <w:tab w:val="left" w:pos="711"/>
          <w:tab w:val="left" w:pos="2580"/>
        </w:tabs>
        <w:spacing w:line="360" w:lineRule="auto"/>
        <w:ind w:firstLine="420" w:firstLineChars="200"/>
        <w:jc w:val="left"/>
        <w:textAlignment w:val="baseline"/>
        <w:rPr>
          <w:rFonts w:ascii="宋体" w:hAnsi="宋体"/>
          <w:color w:val="auto"/>
          <w:szCs w:val="21"/>
          <w:highlight w:val="none"/>
        </w:rPr>
      </w:pPr>
      <w:r>
        <w:rPr>
          <w:rFonts w:hint="eastAsia" w:ascii="宋体" w:hAnsi="宋体"/>
          <w:color w:val="auto"/>
          <w:szCs w:val="21"/>
          <w:highlight w:val="none"/>
        </w:rPr>
        <w:t>9.4.4若因承包人取样、制样、送检及相关配合不及时而导致工程的工期和费用增加，影响的工期不予延长，增加费用由承包人承担。</w:t>
      </w:r>
    </w:p>
    <w:p>
      <w:pPr>
        <w:tabs>
          <w:tab w:val="left" w:pos="711"/>
          <w:tab w:val="left" w:pos="2580"/>
        </w:tabs>
        <w:spacing w:line="360" w:lineRule="auto"/>
        <w:ind w:firstLine="420" w:firstLineChars="200"/>
        <w:jc w:val="left"/>
        <w:textAlignment w:val="baseline"/>
        <w:rPr>
          <w:rFonts w:ascii="宋体" w:hAnsi="宋体"/>
          <w:color w:val="auto"/>
          <w:szCs w:val="21"/>
          <w:highlight w:val="none"/>
          <w:u w:val="single"/>
        </w:rPr>
      </w:pPr>
      <w:r>
        <w:rPr>
          <w:rFonts w:hint="eastAsia" w:ascii="宋体" w:hAnsi="宋体"/>
          <w:color w:val="auto"/>
          <w:szCs w:val="21"/>
          <w:highlight w:val="none"/>
        </w:rPr>
        <w:t>9.4.5检测试验不合格的项目，其缺陷处理和复测费用由承包人承担，工期不予延长。</w:t>
      </w:r>
    </w:p>
    <w:bookmarkEnd w:id="762"/>
    <w:bookmarkEnd w:id="763"/>
    <w:bookmarkEnd w:id="764"/>
    <w:bookmarkEnd w:id="765"/>
    <w:bookmarkEnd w:id="766"/>
    <w:bookmarkEnd w:id="767"/>
    <w:bookmarkEnd w:id="768"/>
    <w:bookmarkEnd w:id="769"/>
    <w:bookmarkEnd w:id="770"/>
    <w:bookmarkEnd w:id="771"/>
    <w:bookmarkEnd w:id="772"/>
    <w:bookmarkEnd w:id="773"/>
    <w:bookmarkEnd w:id="774"/>
    <w:p>
      <w:pPr>
        <w:pStyle w:val="5"/>
        <w:keepNext/>
        <w:keepLines/>
        <w:spacing w:before="156" w:beforeLines="50" w:beforeAutospacing="0" w:after="156" w:afterLines="50" w:afterAutospacing="0" w:line="360" w:lineRule="auto"/>
        <w:jc w:val="both"/>
        <w:rPr>
          <w:bCs w:val="0"/>
          <w:color w:val="auto"/>
          <w:kern w:val="2"/>
          <w:sz w:val="21"/>
          <w:szCs w:val="21"/>
          <w:highlight w:val="none"/>
        </w:rPr>
      </w:pPr>
      <w:bookmarkStart w:id="926" w:name="_Toc532377370"/>
      <w:bookmarkStart w:id="927" w:name="_Toc532375634"/>
      <w:bookmarkStart w:id="928" w:name="_Toc267251484"/>
      <w:bookmarkStart w:id="929" w:name="_Hlk524298112"/>
      <w:bookmarkStart w:id="930" w:name="_Toc267251486"/>
      <w:bookmarkStart w:id="931" w:name="_Toc267251488"/>
      <w:bookmarkStart w:id="932" w:name="_Toc267251489"/>
      <w:bookmarkStart w:id="933" w:name="_Toc267251490"/>
      <w:bookmarkStart w:id="934" w:name="_Toc267251485"/>
      <w:bookmarkStart w:id="935" w:name="_Toc267251482"/>
      <w:bookmarkStart w:id="936" w:name="_Toc267251506"/>
      <w:bookmarkStart w:id="937" w:name="_Toc267251513"/>
      <w:bookmarkStart w:id="938" w:name="_Toc267251515"/>
      <w:bookmarkStart w:id="939" w:name="_Toc267251511"/>
      <w:bookmarkStart w:id="940" w:name="_Toc267251498"/>
      <w:bookmarkStart w:id="941" w:name="_Toc267251510"/>
      <w:bookmarkStart w:id="942" w:name="_Toc267251502"/>
      <w:bookmarkStart w:id="943" w:name="_Toc267251495"/>
      <w:bookmarkStart w:id="944" w:name="_Toc267251503"/>
      <w:bookmarkStart w:id="945" w:name="_Toc267251501"/>
      <w:bookmarkStart w:id="946" w:name="_Toc267251497"/>
      <w:bookmarkStart w:id="947" w:name="_Toc267251508"/>
      <w:bookmarkStart w:id="948" w:name="_Toc267251492"/>
      <w:bookmarkStart w:id="949" w:name="_Toc267251504"/>
      <w:bookmarkStart w:id="950" w:name="_Toc267251514"/>
      <w:bookmarkStart w:id="951" w:name="_Toc267251493"/>
      <w:bookmarkStart w:id="952" w:name="_Toc267251499"/>
      <w:bookmarkStart w:id="953" w:name="_Toc267251496"/>
      <w:bookmarkStart w:id="954" w:name="_Toc267251491"/>
      <w:bookmarkStart w:id="955" w:name="_Toc267251494"/>
      <w:bookmarkStart w:id="956" w:name="_Toc267251507"/>
      <w:bookmarkStart w:id="957" w:name="_Toc267251509"/>
      <w:r>
        <w:rPr>
          <w:rFonts w:hint="eastAsia"/>
          <w:color w:val="auto"/>
          <w:kern w:val="2"/>
          <w:sz w:val="21"/>
          <w:szCs w:val="21"/>
          <w:highlight w:val="none"/>
        </w:rPr>
        <w:t>1</w:t>
      </w:r>
      <w:bookmarkStart w:id="958" w:name="_Toc296891233"/>
      <w:bookmarkStart w:id="959" w:name="_Toc296944532"/>
      <w:bookmarkStart w:id="960" w:name="_Toc297216199"/>
      <w:bookmarkStart w:id="961" w:name="_Toc297048379"/>
      <w:bookmarkStart w:id="962" w:name="_Toc297120493"/>
      <w:bookmarkStart w:id="963" w:name="_Toc292559903"/>
      <w:bookmarkStart w:id="964" w:name="_Toc304295566"/>
      <w:bookmarkStart w:id="965" w:name="_Toc297123540"/>
      <w:bookmarkStart w:id="966" w:name="_Toc296503193"/>
      <w:bookmarkStart w:id="967" w:name="_Toc296346694"/>
      <w:bookmarkStart w:id="968" w:name="_Toc296347192"/>
      <w:bookmarkStart w:id="969" w:name="_Toc300934989"/>
      <w:bookmarkStart w:id="970" w:name="_Toc303539146"/>
      <w:bookmarkStart w:id="971" w:name="_Toc296891021"/>
      <w:bookmarkStart w:id="972" w:name="_Toc292559398"/>
      <w:bookmarkStart w:id="973" w:name="_Toc312678025"/>
      <w:bookmarkStart w:id="974" w:name="_Toc312677499"/>
      <w:bookmarkStart w:id="975" w:name="_Toc267251439"/>
      <w:bookmarkStart w:id="976" w:name="_Toc267251433"/>
      <w:bookmarkStart w:id="977" w:name="_Toc267251437"/>
      <w:bookmarkStart w:id="978" w:name="_Toc267251435"/>
      <w:bookmarkStart w:id="979" w:name="_Toc267251441"/>
      <w:bookmarkStart w:id="980" w:name="_Toc267251440"/>
      <w:r>
        <w:rPr>
          <w:rFonts w:hint="eastAsia"/>
          <w:color w:val="auto"/>
          <w:kern w:val="2"/>
          <w:sz w:val="21"/>
          <w:szCs w:val="21"/>
          <w:highlight w:val="none"/>
        </w:rPr>
        <w:t>0. 变更</w:t>
      </w:r>
      <w:bookmarkEnd w:id="926"/>
      <w:bookmarkEnd w:id="92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p>
    <w:bookmarkEnd w:id="973"/>
    <w:bookmarkEnd w:id="974"/>
    <w:p>
      <w:pPr>
        <w:pStyle w:val="6"/>
        <w:spacing w:before="0" w:beforeAutospacing="0" w:after="0" w:afterAutospacing="0" w:line="360" w:lineRule="auto"/>
        <w:ind w:firstLine="422" w:firstLineChars="200"/>
        <w:rPr>
          <w:color w:val="auto"/>
          <w:sz w:val="21"/>
          <w:szCs w:val="21"/>
          <w:highlight w:val="none"/>
        </w:rPr>
      </w:pPr>
      <w:bookmarkStart w:id="981" w:name="_Toc532377371"/>
      <w:bookmarkStart w:id="982" w:name="_Toc532375635"/>
      <w:r>
        <w:rPr>
          <w:rFonts w:hint="eastAsia"/>
          <w:color w:val="auto"/>
          <w:sz w:val="21"/>
          <w:szCs w:val="21"/>
          <w:highlight w:val="none"/>
        </w:rPr>
        <w:t>1</w:t>
      </w:r>
      <w:bookmarkStart w:id="983" w:name="_Toc297216200"/>
      <w:bookmarkStart w:id="984" w:name="_Toc297120494"/>
      <w:bookmarkStart w:id="985" w:name="_Toc296891022"/>
      <w:bookmarkStart w:id="986" w:name="_Toc304295567"/>
      <w:bookmarkStart w:id="987" w:name="_Toc296347193"/>
      <w:bookmarkStart w:id="988" w:name="_Toc292559399"/>
      <w:bookmarkStart w:id="989" w:name="_Toc297048380"/>
      <w:bookmarkStart w:id="990" w:name="_Toc312678026"/>
      <w:bookmarkStart w:id="991" w:name="_Toc296891234"/>
      <w:bookmarkStart w:id="992" w:name="_Toc312677500"/>
      <w:bookmarkStart w:id="993" w:name="_Toc303539147"/>
      <w:bookmarkStart w:id="994" w:name="_Toc297123541"/>
      <w:bookmarkStart w:id="995" w:name="_Toc300934990"/>
      <w:bookmarkStart w:id="996" w:name="_Toc296346695"/>
      <w:bookmarkStart w:id="997" w:name="_Toc296944533"/>
      <w:bookmarkStart w:id="998" w:name="_Toc296503194"/>
      <w:bookmarkStart w:id="999" w:name="_Toc292559904"/>
      <w:r>
        <w:rPr>
          <w:rFonts w:hint="eastAsia"/>
          <w:color w:val="auto"/>
          <w:sz w:val="21"/>
          <w:szCs w:val="21"/>
          <w:highlight w:val="none"/>
        </w:rPr>
        <w:t>0.1变更的范围</w:t>
      </w:r>
      <w:bookmarkEnd w:id="981"/>
      <w:bookmarkEnd w:id="982"/>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关于变更范围的约定：</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（1）增加或减少合同中任何工作，或追加额外的工作；</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（2）取消合同中任何工作；</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（3）改变合同中任何工作的质量标准或其他特性；</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（4）改变工程的基线、标高、位置和尺寸；</w:t>
      </w:r>
    </w:p>
    <w:p>
      <w:pPr>
        <w:spacing w:line="360" w:lineRule="auto"/>
        <w:ind w:firstLine="420" w:firstLineChars="200"/>
        <w:jc w:val="left"/>
        <w:rPr>
          <w:rFonts w:hint="eastAsia" w:ascii="宋体" w:hAnsi="宋体"/>
          <w:color w:val="auto"/>
          <w:szCs w:val="21"/>
          <w:highlight w:val="none"/>
        </w:rPr>
      </w:pPr>
      <w:r>
        <w:rPr>
          <w:rFonts w:hint="eastAsia" w:ascii="宋体" w:hAnsi="宋体"/>
          <w:color w:val="auto"/>
          <w:szCs w:val="21"/>
          <w:highlight w:val="none"/>
        </w:rPr>
        <w:t>（5）适用于工程的标准和（或）规范变化导致需要对工程进行改变，且该改变导致工期和（或）费用变化的；</w:t>
      </w:r>
    </w:p>
    <w:p>
      <w:pPr>
        <w:spacing w:line="360" w:lineRule="auto"/>
        <w:ind w:firstLine="420" w:firstLineChars="200"/>
        <w:jc w:val="left"/>
        <w:rPr>
          <w:rFonts w:hint="eastAsia" w:ascii="宋体" w:hAnsi="宋体"/>
          <w:color w:val="auto"/>
          <w:szCs w:val="21"/>
          <w:highlight w:val="none"/>
        </w:rPr>
      </w:pPr>
      <w:r>
        <w:rPr>
          <w:rFonts w:hint="eastAsia" w:ascii="宋体" w:hAnsi="宋体"/>
          <w:color w:val="auto"/>
          <w:szCs w:val="21"/>
          <w:highlight w:val="none"/>
        </w:rPr>
        <w:t>（6）勘察设计变更；</w:t>
      </w:r>
    </w:p>
    <w:p>
      <w:pPr>
        <w:spacing w:line="360" w:lineRule="auto"/>
        <w:ind w:firstLine="420" w:firstLineChars="200"/>
        <w:jc w:val="left"/>
        <w:rPr>
          <w:rFonts w:hint="eastAsia" w:ascii="宋体" w:hAnsi="宋体"/>
          <w:color w:val="auto"/>
          <w:szCs w:val="21"/>
          <w:highlight w:val="none"/>
        </w:rPr>
      </w:pPr>
      <w:r>
        <w:rPr>
          <w:rFonts w:hint="eastAsia" w:ascii="宋体" w:hAnsi="宋体"/>
          <w:color w:val="auto"/>
          <w:szCs w:val="21"/>
          <w:highlight w:val="none"/>
        </w:rPr>
        <w:t>（7）实施内容变更，包括因设计变更和非设计变更引起的实施地点、投资规模、结构型式、采购数量、服务内容等进行的调整，以及因此导致的合同价格、工期变更；</w:t>
      </w:r>
    </w:p>
    <w:p>
      <w:pPr>
        <w:spacing w:line="360" w:lineRule="auto"/>
        <w:ind w:firstLine="420" w:firstLineChars="200"/>
        <w:jc w:val="left"/>
        <w:rPr>
          <w:rFonts w:hint="eastAsia" w:ascii="宋体" w:hAnsi="宋体"/>
          <w:color w:val="auto"/>
          <w:szCs w:val="21"/>
          <w:highlight w:val="none"/>
        </w:rPr>
      </w:pPr>
      <w:r>
        <w:rPr>
          <w:rFonts w:hint="eastAsia" w:ascii="宋体" w:hAnsi="宋体"/>
          <w:color w:val="auto"/>
          <w:szCs w:val="21"/>
          <w:highlight w:val="none"/>
        </w:rPr>
        <w:t>（8）项目管理人员变更；</w:t>
      </w:r>
    </w:p>
    <w:p>
      <w:pPr>
        <w:spacing w:line="360" w:lineRule="auto"/>
        <w:ind w:firstLine="420" w:firstLineChars="200"/>
        <w:jc w:val="left"/>
        <w:rPr>
          <w:rFonts w:hint="eastAsia" w:ascii="宋体" w:hAnsi="宋体"/>
          <w:color w:val="auto"/>
          <w:szCs w:val="21"/>
          <w:highlight w:val="none"/>
        </w:rPr>
      </w:pPr>
      <w:r>
        <w:rPr>
          <w:rFonts w:hint="eastAsia" w:ascii="宋体" w:hAnsi="宋体"/>
          <w:color w:val="auto"/>
          <w:szCs w:val="21"/>
          <w:highlight w:val="none"/>
        </w:rPr>
        <w:t>（9）因人工、原材料等价格变化导致的合同总价变更；</w:t>
      </w:r>
    </w:p>
    <w:p>
      <w:pPr>
        <w:spacing w:line="360" w:lineRule="auto"/>
        <w:ind w:firstLine="420" w:firstLineChars="200"/>
        <w:jc w:val="left"/>
        <w:rPr>
          <w:rFonts w:hint="eastAsia" w:ascii="宋体" w:hAnsi="宋体"/>
          <w:color w:val="auto"/>
          <w:szCs w:val="21"/>
          <w:highlight w:val="none"/>
        </w:rPr>
      </w:pPr>
      <w:r>
        <w:rPr>
          <w:rFonts w:hint="eastAsia" w:ascii="宋体" w:hAnsi="宋体"/>
          <w:color w:val="auto"/>
          <w:szCs w:val="21"/>
          <w:highlight w:val="none"/>
        </w:rPr>
        <w:t>（10）非实施内容变化导致的工期变更；</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（11）</w:t>
      </w:r>
      <w:r>
        <w:rPr>
          <w:rFonts w:hint="eastAsia" w:ascii="宋体" w:hAnsi="宋体"/>
          <w:color w:val="auto"/>
          <w:szCs w:val="21"/>
          <w:highlight w:val="none"/>
          <w:u w:val="single"/>
        </w:rPr>
        <w:t xml:space="preserve">        </w:t>
      </w:r>
      <w:r>
        <w:rPr>
          <w:rFonts w:hint="eastAsia" w:ascii="宋体" w:hAnsi="宋体"/>
          <w:color w:val="auto"/>
          <w:szCs w:val="21"/>
          <w:highlight w:val="none"/>
        </w:rPr>
        <w:t>。</w:t>
      </w:r>
    </w:p>
    <w:p>
      <w:pPr>
        <w:spacing w:line="360" w:lineRule="auto"/>
        <w:ind w:firstLine="420" w:firstLineChars="200"/>
        <w:jc w:val="left"/>
        <w:rPr>
          <w:rFonts w:hint="eastAsia" w:ascii="宋体" w:hAnsi="宋体"/>
          <w:color w:val="auto"/>
          <w:szCs w:val="21"/>
          <w:highlight w:val="none"/>
        </w:rPr>
      </w:pPr>
      <w:r>
        <w:rPr>
          <w:rFonts w:hint="eastAsia" w:ascii="宋体" w:hAnsi="宋体"/>
          <w:color w:val="auto"/>
          <w:szCs w:val="21"/>
          <w:highlight w:val="none"/>
        </w:rPr>
        <w:t>合同变更应当符合国家法律法规、强制标准和技术规范的要求，且合同变更后更加有利于工程的建设、运营、安全、节约资金、保护生态环境或者实现功能要求。发包人对项目合同变更承担主体责任。项目合同变更后，发包人应当与承包人签订补充协议。项目合同变更应当按照《重庆市政府投资项目合同变更管理暂行办法》要求进行信息公开。项目合同变更未获得通过的，发包人和承包人均不得擅自变更原合同约定事项，且不得就同一理由同一事项再提出变更。</w:t>
      </w:r>
    </w:p>
    <w:p>
      <w:pPr>
        <w:spacing w:line="360" w:lineRule="auto"/>
        <w:ind w:firstLine="420" w:firstLineChars="200"/>
        <w:jc w:val="left"/>
        <w:rPr>
          <w:rFonts w:ascii="宋体" w:hAnsi="宋体"/>
          <w:color w:val="auto"/>
          <w:szCs w:val="21"/>
          <w:highlight w:val="none"/>
          <w:u w:val="single"/>
        </w:rPr>
      </w:pPr>
      <w:r>
        <w:rPr>
          <w:rFonts w:hint="eastAsia" w:ascii="宋体" w:hAnsi="宋体"/>
          <w:color w:val="auto"/>
          <w:szCs w:val="21"/>
          <w:highlight w:val="none"/>
        </w:rPr>
        <w:t>承包人对其提供的材料、工程设备、施工、无负荷试车、热负荷试车及图纸参数存在的缺陷，自费修正、调整和完善，不属于变更。</w:t>
      </w:r>
    </w:p>
    <w:p>
      <w:pPr>
        <w:pStyle w:val="6"/>
        <w:spacing w:before="0" w:beforeAutospacing="0" w:after="0" w:afterAutospacing="0" w:line="360" w:lineRule="auto"/>
        <w:ind w:firstLine="422" w:firstLineChars="200"/>
        <w:rPr>
          <w:color w:val="auto"/>
          <w:sz w:val="21"/>
          <w:szCs w:val="21"/>
          <w:highlight w:val="none"/>
        </w:rPr>
      </w:pPr>
      <w:bookmarkStart w:id="1000" w:name="_Toc532375636"/>
      <w:bookmarkStart w:id="1001" w:name="_Toc532377372"/>
      <w:bookmarkStart w:id="1002" w:name="_Toc351203569"/>
      <w:r>
        <w:rPr>
          <w:rFonts w:hint="eastAsia"/>
          <w:color w:val="auto"/>
          <w:sz w:val="21"/>
          <w:szCs w:val="21"/>
          <w:highlight w:val="none"/>
        </w:rPr>
        <w:t>1</w:t>
      </w:r>
      <w:bookmarkStart w:id="1003" w:name="_Toc337558789"/>
      <w:bookmarkStart w:id="1004" w:name="_Toc296503085"/>
      <w:bookmarkStart w:id="1005" w:name="_Toc296346586"/>
      <w:r>
        <w:rPr>
          <w:rFonts w:hint="eastAsia"/>
          <w:color w:val="auto"/>
          <w:sz w:val="21"/>
          <w:szCs w:val="21"/>
          <w:highlight w:val="none"/>
        </w:rPr>
        <w:t>0.2变更权</w:t>
      </w:r>
      <w:bookmarkEnd w:id="1000"/>
      <w:bookmarkEnd w:id="1001"/>
      <w:bookmarkEnd w:id="1002"/>
    </w:p>
    <w:bookmarkEnd w:id="1003"/>
    <w:bookmarkEnd w:id="1004"/>
    <w:bookmarkEnd w:id="1005"/>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10.2.1发包人和监理人提出变更</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发包人和监理人均可以提出变更。变更指示均通过监理人以书面形式发出，监理人发出变更指示前应征得发包人同意。承包人收到经发包人签认的变更指示后，方可实施变更。未取得经发包人签认的变更指示，承包人不得实施任何变更。</w:t>
      </w:r>
    </w:p>
    <w:p>
      <w:pPr>
        <w:spacing w:line="360" w:lineRule="auto"/>
        <w:ind w:firstLine="420" w:firstLineChars="200"/>
        <w:jc w:val="left"/>
        <w:rPr>
          <w:rFonts w:ascii="宋体" w:hAnsi="宋体"/>
          <w:color w:val="auto"/>
          <w:szCs w:val="21"/>
          <w:highlight w:val="none"/>
          <w:u w:val="single"/>
        </w:rPr>
      </w:pPr>
      <w:r>
        <w:rPr>
          <w:rFonts w:hint="eastAsia" w:ascii="宋体" w:hAnsi="宋体"/>
          <w:color w:val="auto"/>
          <w:szCs w:val="21"/>
          <w:highlight w:val="none"/>
        </w:rPr>
        <w:t>涉及设计变更的，应由设计人提供变更后的图纸和说明，交由发包人同意后由监理人以书面形式发出。如变更超过原设计标准或批准的建设规模时，由发包人及时办理规划、设计变更等审批手续。</w:t>
      </w:r>
    </w:p>
    <w:p>
      <w:pPr>
        <w:spacing w:line="360" w:lineRule="auto"/>
        <w:ind w:firstLine="420" w:firstLineChars="200"/>
        <w:jc w:val="left"/>
        <w:rPr>
          <w:rFonts w:hint="eastAsia" w:ascii="宋体" w:hAnsi="宋体"/>
          <w:color w:val="auto"/>
          <w:szCs w:val="21"/>
          <w:highlight w:val="none"/>
        </w:rPr>
      </w:pPr>
      <w:r>
        <w:rPr>
          <w:rFonts w:hint="eastAsia" w:ascii="宋体" w:hAnsi="宋体"/>
          <w:color w:val="auto"/>
          <w:szCs w:val="21"/>
          <w:highlight w:val="none"/>
        </w:rPr>
        <w:t>若出现重大设计变更，变更后的内容超出承包人资质或能力范围的，发包人将另行依法招标选择承包单位，无需征得承包人同意。</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10.2.2 承包人提出变更建议</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承包人可以向发包人提交书面变更建议，应当以承包人单位名义书面向发包人提出申请，详细说明变更的内容、理由，以及该变更对项目的工期、投资、质量、安全、运营管理、生态环境等的影响，客观反映项目合同变更的必要性和可行性，包括：</w:t>
      </w:r>
      <w:r>
        <w:rPr>
          <w:rFonts w:hint="eastAsia" w:ascii="宋体" w:hAnsi="宋体"/>
          <w:color w:val="auto"/>
          <w:szCs w:val="21"/>
          <w:highlight w:val="none"/>
          <w:u w:val="single"/>
        </w:rPr>
        <w:t>缩短工期，降低发包人的工程、施工、维护、营运的费用，提高竣工工程的效率或价值，给发包人带来的长远利益和其他利益。发包人接到此类建议后，可以选择：不采纳/采纳/补充进一步资料的书面通知</w:t>
      </w:r>
      <w:r>
        <w:rPr>
          <w:rFonts w:hint="eastAsia" w:ascii="宋体" w:hAnsi="宋体"/>
          <w:color w:val="auto"/>
          <w:szCs w:val="21"/>
          <w:highlight w:val="none"/>
        </w:rPr>
        <w:t>。</w:t>
      </w:r>
    </w:p>
    <w:p>
      <w:pPr>
        <w:autoSpaceDE w:val="0"/>
        <w:autoSpaceDN w:val="0"/>
        <w:spacing w:line="360" w:lineRule="auto"/>
        <w:ind w:firstLine="420" w:firstLineChars="200"/>
        <w:jc w:val="left"/>
        <w:rPr>
          <w:rFonts w:ascii="宋体" w:hAnsi="宋体"/>
          <w:color w:val="auto"/>
          <w:szCs w:val="21"/>
          <w:highlight w:val="none"/>
          <w:u w:val="single"/>
        </w:rPr>
      </w:pPr>
      <w:r>
        <w:rPr>
          <w:rFonts w:hint="eastAsia" w:ascii="宋体" w:hAnsi="宋体"/>
          <w:color w:val="auto"/>
          <w:szCs w:val="21"/>
          <w:highlight w:val="none"/>
        </w:rPr>
        <w:t>如果发包人对承包人已实施的施工项目在发出重大设计变更之前要求承包人提出一份建议，那么，承包人应尽快提出：</w:t>
      </w:r>
    </w:p>
    <w:p>
      <w:pPr>
        <w:autoSpaceDE w:val="0"/>
        <w:autoSpaceDN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u w:val="single"/>
        </w:rPr>
        <w:t>（1）对所提方案和（或）待做工作及其实施计划的说明</w:t>
      </w:r>
      <w:r>
        <w:rPr>
          <w:rFonts w:hint="eastAsia" w:ascii="宋体" w:hAnsi="宋体"/>
          <w:color w:val="auto"/>
          <w:szCs w:val="21"/>
          <w:highlight w:val="none"/>
        </w:rPr>
        <w:t>；</w:t>
      </w:r>
    </w:p>
    <w:p>
      <w:pPr>
        <w:autoSpaceDE w:val="0"/>
        <w:autoSpaceDN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u w:val="single"/>
        </w:rPr>
        <w:t>（2）承包人按照对工程进度计划进行必要修改的建议</w:t>
      </w:r>
      <w:r>
        <w:rPr>
          <w:rFonts w:hint="eastAsia" w:ascii="宋体" w:hAnsi="宋体"/>
          <w:color w:val="auto"/>
          <w:szCs w:val="21"/>
          <w:highlight w:val="none"/>
        </w:rPr>
        <w:t>；</w:t>
      </w:r>
    </w:p>
    <w:p>
      <w:pPr>
        <w:autoSpaceDE w:val="0"/>
        <w:autoSpaceDN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u w:val="single"/>
        </w:rPr>
        <w:t>（3）承包人发生较大返工损失增加费用的建议</w:t>
      </w:r>
      <w:r>
        <w:rPr>
          <w:rFonts w:hint="eastAsia" w:ascii="宋体" w:hAnsi="宋体"/>
          <w:color w:val="auto"/>
          <w:szCs w:val="21"/>
          <w:highlight w:val="none"/>
        </w:rPr>
        <w:t>。</w:t>
      </w:r>
    </w:p>
    <w:p>
      <w:pPr>
        <w:autoSpaceDE w:val="0"/>
        <w:autoSpaceDN w:val="0"/>
        <w:spacing w:line="360" w:lineRule="auto"/>
        <w:ind w:firstLine="420" w:firstLineChars="200"/>
        <w:jc w:val="left"/>
        <w:rPr>
          <w:rFonts w:ascii="宋体" w:hAnsi="宋体"/>
          <w:color w:val="auto"/>
          <w:szCs w:val="21"/>
          <w:highlight w:val="none"/>
          <w:u w:val="single"/>
        </w:rPr>
      </w:pPr>
      <w:r>
        <w:rPr>
          <w:rFonts w:hint="eastAsia" w:ascii="宋体" w:hAnsi="宋体"/>
          <w:color w:val="auto"/>
          <w:szCs w:val="21"/>
          <w:highlight w:val="none"/>
          <w:u w:val="single"/>
        </w:rPr>
        <w:t>发包人在收到上述建议书后，应尽快给予批准、否决或提出意见</w:t>
      </w:r>
      <w:r>
        <w:rPr>
          <w:rFonts w:hint="eastAsia" w:ascii="宋体" w:hAnsi="宋体"/>
          <w:color w:val="auto"/>
          <w:szCs w:val="21"/>
          <w:highlight w:val="none"/>
        </w:rPr>
        <w:t>。</w:t>
      </w:r>
    </w:p>
    <w:p>
      <w:pPr>
        <w:pStyle w:val="6"/>
        <w:spacing w:before="0" w:beforeAutospacing="0" w:after="0" w:afterAutospacing="0" w:line="360" w:lineRule="auto"/>
        <w:ind w:firstLine="422" w:firstLineChars="200"/>
        <w:rPr>
          <w:color w:val="auto"/>
          <w:sz w:val="21"/>
          <w:szCs w:val="21"/>
          <w:highlight w:val="none"/>
        </w:rPr>
      </w:pPr>
      <w:bookmarkStart w:id="1006" w:name="_Toc532377373"/>
      <w:bookmarkStart w:id="1007" w:name="_Toc532375637"/>
      <w:bookmarkStart w:id="1008" w:name="_Toc351203570"/>
      <w:bookmarkStart w:id="1009" w:name="_Hlk528928195"/>
      <w:r>
        <w:rPr>
          <w:rFonts w:hint="eastAsia"/>
          <w:color w:val="auto"/>
          <w:sz w:val="21"/>
          <w:szCs w:val="21"/>
          <w:highlight w:val="none"/>
        </w:rPr>
        <w:t>1</w:t>
      </w:r>
      <w:bookmarkStart w:id="1010" w:name="_Toc296503086"/>
      <w:bookmarkStart w:id="1011" w:name="_Toc296346587"/>
      <w:bookmarkStart w:id="1012" w:name="_Toc337558790"/>
      <w:r>
        <w:rPr>
          <w:rFonts w:hint="eastAsia"/>
          <w:color w:val="auto"/>
          <w:sz w:val="21"/>
          <w:szCs w:val="21"/>
          <w:highlight w:val="none"/>
        </w:rPr>
        <w:t>0.3变更程序</w:t>
      </w:r>
      <w:bookmarkEnd w:id="1006"/>
      <w:bookmarkEnd w:id="1007"/>
    </w:p>
    <w:bookmarkEnd w:id="1010"/>
    <w:bookmarkEnd w:id="1011"/>
    <w:bookmarkEnd w:id="1012"/>
    <w:p>
      <w:pPr>
        <w:autoSpaceDE w:val="0"/>
        <w:autoSpaceDN w:val="0"/>
        <w:spacing w:line="360" w:lineRule="auto"/>
        <w:ind w:firstLine="420" w:firstLineChars="200"/>
        <w:jc w:val="left"/>
        <w:rPr>
          <w:rFonts w:ascii="宋体" w:hAnsi="宋体"/>
          <w:color w:val="auto"/>
          <w:szCs w:val="21"/>
          <w:highlight w:val="none"/>
        </w:rPr>
      </w:pPr>
      <w:bookmarkStart w:id="1013" w:name="_Hlk524353972"/>
      <w:r>
        <w:rPr>
          <w:rFonts w:hint="eastAsia" w:ascii="宋体" w:hAnsi="宋体"/>
          <w:color w:val="auto"/>
          <w:szCs w:val="21"/>
          <w:highlight w:val="none"/>
        </w:rPr>
        <w:t>10.3.3 变更执行</w:t>
      </w:r>
    </w:p>
    <w:p>
      <w:pPr>
        <w:autoSpaceDE w:val="0"/>
        <w:autoSpaceDN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一般设计变更：承包人收到监理人下达的变更指示后，应按照监理人下达的变更指示执行，并书面说明实施该变更指示对合同价格和工期的影响，按照第10.4.1项〔变更估价原则〕约定执行。</w:t>
      </w:r>
    </w:p>
    <w:p>
      <w:pPr>
        <w:autoSpaceDE w:val="0"/>
        <w:autoSpaceDN w:val="0"/>
        <w:spacing w:line="360" w:lineRule="auto"/>
        <w:ind w:firstLine="420" w:firstLineChars="200"/>
        <w:jc w:val="left"/>
        <w:rPr>
          <w:rFonts w:hint="eastAsia" w:ascii="宋体" w:hAnsi="宋体"/>
          <w:color w:val="auto"/>
          <w:szCs w:val="21"/>
          <w:highlight w:val="none"/>
        </w:rPr>
      </w:pPr>
      <w:r>
        <w:rPr>
          <w:rFonts w:hint="eastAsia" w:ascii="宋体" w:hAnsi="宋体"/>
          <w:color w:val="auto"/>
          <w:szCs w:val="21"/>
          <w:highlight w:val="none"/>
        </w:rPr>
        <w:t>重大设计变更：需经设计人、监理人和发包人三方签字认可并报相关行业部门审查同意后实施。</w:t>
      </w:r>
    </w:p>
    <w:p>
      <w:pPr>
        <w:autoSpaceDE w:val="0"/>
        <w:autoSpaceDN w:val="0"/>
        <w:spacing w:line="360" w:lineRule="auto"/>
        <w:ind w:firstLine="420" w:firstLineChars="200"/>
        <w:jc w:val="left"/>
        <w:rPr>
          <w:rFonts w:hint="eastAsia" w:ascii="宋体" w:hAnsi="宋体"/>
          <w:color w:val="auto"/>
          <w:szCs w:val="21"/>
          <w:highlight w:val="none"/>
          <w:u w:val="single"/>
        </w:rPr>
      </w:pPr>
      <w:r>
        <w:rPr>
          <w:rFonts w:hint="eastAsia" w:ascii="宋体" w:hAnsi="宋体"/>
          <w:color w:val="auto"/>
          <w:szCs w:val="21"/>
          <w:highlight w:val="none"/>
          <w:u w:val="single"/>
        </w:rPr>
        <w:t>10.3.3 项增加以下内容：</w:t>
      </w:r>
    </w:p>
    <w:p>
      <w:pPr>
        <w:autoSpaceDE w:val="0"/>
        <w:autoSpaceDN w:val="0"/>
        <w:spacing w:line="360" w:lineRule="auto"/>
        <w:ind w:firstLine="420" w:firstLineChars="200"/>
        <w:jc w:val="left"/>
        <w:rPr>
          <w:rFonts w:hint="eastAsia" w:ascii="宋体" w:hAnsi="宋体"/>
          <w:color w:val="auto"/>
          <w:szCs w:val="21"/>
          <w:highlight w:val="none"/>
          <w:u w:val="single"/>
        </w:rPr>
      </w:pPr>
      <w:r>
        <w:rPr>
          <w:rFonts w:hint="eastAsia" w:ascii="宋体" w:hAnsi="宋体"/>
          <w:color w:val="auto"/>
          <w:szCs w:val="21"/>
          <w:highlight w:val="none"/>
          <w:u w:val="single"/>
        </w:rPr>
        <w:t>合同变更提出后，应当首先由发包人组织相关单位、专家进行论证。经论证确需变更的，发包人按照《重庆市政府投资项目合同变更管理暂行办法》规定的程序自行决策或者报批；经论证不需要变更的，继续按合同执行。</w:t>
      </w:r>
    </w:p>
    <w:p>
      <w:pPr>
        <w:autoSpaceDE w:val="0"/>
        <w:autoSpaceDN w:val="0"/>
        <w:spacing w:line="360" w:lineRule="auto"/>
        <w:ind w:firstLine="420" w:firstLineChars="200"/>
        <w:jc w:val="left"/>
        <w:rPr>
          <w:rFonts w:hint="eastAsia" w:ascii="宋体" w:hAnsi="宋体"/>
          <w:color w:val="auto"/>
          <w:szCs w:val="21"/>
          <w:highlight w:val="none"/>
          <w:u w:val="single"/>
        </w:rPr>
      </w:pPr>
      <w:r>
        <w:rPr>
          <w:rFonts w:hint="eastAsia" w:ascii="宋体" w:hAnsi="宋体"/>
          <w:color w:val="auto"/>
          <w:szCs w:val="21"/>
          <w:highlight w:val="none"/>
          <w:u w:val="single"/>
        </w:rPr>
        <w:t>项目的勘察设计、实施内容等作较大变更的，应当按照规定的程序报原审批部门审批；变更导致总投资超概的，应当报原投资概算核定部门核定。</w:t>
      </w:r>
    </w:p>
    <w:p>
      <w:pPr>
        <w:autoSpaceDE w:val="0"/>
        <w:autoSpaceDN w:val="0"/>
        <w:spacing w:line="360" w:lineRule="auto"/>
        <w:ind w:firstLine="420" w:firstLineChars="200"/>
        <w:jc w:val="left"/>
        <w:rPr>
          <w:rFonts w:hint="eastAsia" w:ascii="宋体" w:hAnsi="宋体"/>
          <w:color w:val="auto"/>
          <w:szCs w:val="21"/>
          <w:highlight w:val="none"/>
          <w:u w:val="single"/>
        </w:rPr>
      </w:pPr>
      <w:r>
        <w:rPr>
          <w:rFonts w:hint="eastAsia" w:ascii="宋体" w:hAnsi="宋体"/>
          <w:color w:val="auto"/>
          <w:szCs w:val="21"/>
          <w:highlight w:val="none"/>
          <w:u w:val="single"/>
        </w:rPr>
        <w:t>项目管理人员变更的，应当经发包人领导班子集体决策同意，并将变更信息推送给行业主管部门。变更后的项目管理人员应当符合招标文件和行业主管部门的相关规定。</w:t>
      </w:r>
    </w:p>
    <w:p>
      <w:pPr>
        <w:autoSpaceDE w:val="0"/>
        <w:autoSpaceDN w:val="0"/>
        <w:spacing w:line="360" w:lineRule="auto"/>
        <w:ind w:firstLine="420" w:firstLineChars="200"/>
        <w:jc w:val="left"/>
        <w:rPr>
          <w:rFonts w:hint="eastAsia" w:ascii="宋体" w:hAnsi="宋体"/>
          <w:color w:val="auto"/>
          <w:szCs w:val="21"/>
          <w:highlight w:val="none"/>
          <w:u w:val="single"/>
        </w:rPr>
      </w:pPr>
      <w:r>
        <w:rPr>
          <w:rFonts w:hint="eastAsia" w:ascii="宋体" w:hAnsi="宋体"/>
          <w:color w:val="auto"/>
          <w:szCs w:val="21"/>
          <w:highlight w:val="none"/>
          <w:u w:val="single"/>
        </w:rPr>
        <w:t>因人工、原材料市场价格发生大幅度变化导致的合同总价变更，由发包人与承包人按照合同进行变更，并将变更信息推送给行业主管部门。</w:t>
      </w:r>
    </w:p>
    <w:p>
      <w:pPr>
        <w:autoSpaceDE w:val="0"/>
        <w:autoSpaceDN w:val="0"/>
        <w:spacing w:line="360" w:lineRule="auto"/>
        <w:ind w:firstLine="420" w:firstLineChars="200"/>
        <w:jc w:val="left"/>
        <w:rPr>
          <w:rFonts w:hint="eastAsia" w:ascii="宋体" w:hAnsi="宋体"/>
          <w:color w:val="auto"/>
          <w:szCs w:val="21"/>
          <w:highlight w:val="none"/>
          <w:u w:val="single"/>
        </w:rPr>
      </w:pPr>
      <w:r>
        <w:rPr>
          <w:rFonts w:hint="eastAsia" w:ascii="宋体" w:hAnsi="宋体"/>
          <w:color w:val="auto"/>
          <w:szCs w:val="21"/>
          <w:highlight w:val="none"/>
          <w:u w:val="single"/>
        </w:rPr>
        <w:t>项目实施内容无变更，因不可抗力导致的工期变更，由发包人领导班子集体决策同意，并将变更信息推送给行业主管部门；因项目实施内容变更导致的工期变更，与项目实施内容变更一并办理。</w:t>
      </w:r>
    </w:p>
    <w:p>
      <w:pPr>
        <w:autoSpaceDE w:val="0"/>
        <w:autoSpaceDN w:val="0"/>
        <w:spacing w:line="360" w:lineRule="auto"/>
        <w:ind w:firstLine="420" w:firstLineChars="200"/>
        <w:jc w:val="left"/>
        <w:rPr>
          <w:rFonts w:ascii="宋体" w:hAnsi="宋体"/>
          <w:color w:val="auto"/>
          <w:szCs w:val="21"/>
          <w:highlight w:val="none"/>
          <w:u w:val="single"/>
        </w:rPr>
      </w:pPr>
      <w:r>
        <w:rPr>
          <w:rFonts w:hint="eastAsia" w:ascii="宋体" w:hAnsi="宋体"/>
          <w:color w:val="auto"/>
          <w:szCs w:val="21"/>
          <w:highlight w:val="none"/>
          <w:u w:val="single"/>
        </w:rPr>
        <w:t>项目合同变更后，增加的实施内容达到依法必须招标的规模标准的，增加的部分应当依法通过招标选择承包单位。</w:t>
      </w:r>
    </w:p>
    <w:bookmarkEnd w:id="1008"/>
    <w:bookmarkEnd w:id="1009"/>
    <w:bookmarkEnd w:id="1013"/>
    <w:p>
      <w:pPr>
        <w:pStyle w:val="6"/>
        <w:spacing w:before="0" w:beforeAutospacing="0" w:after="0" w:afterAutospacing="0" w:line="360" w:lineRule="auto"/>
        <w:ind w:firstLine="422" w:firstLineChars="200"/>
        <w:rPr>
          <w:color w:val="auto"/>
          <w:sz w:val="21"/>
          <w:szCs w:val="21"/>
          <w:highlight w:val="none"/>
        </w:rPr>
      </w:pPr>
      <w:bookmarkStart w:id="1014" w:name="_Toc532377374"/>
      <w:bookmarkStart w:id="1015" w:name="_Toc532375638"/>
      <w:r>
        <w:rPr>
          <w:rFonts w:hint="eastAsia"/>
          <w:color w:val="auto"/>
          <w:sz w:val="21"/>
          <w:szCs w:val="21"/>
          <w:highlight w:val="none"/>
        </w:rPr>
        <w:t>10.4 变更估价</w:t>
      </w:r>
      <w:bookmarkEnd w:id="1014"/>
      <w:bookmarkEnd w:id="1015"/>
    </w:p>
    <w:p>
      <w:pPr>
        <w:spacing w:line="360" w:lineRule="auto"/>
        <w:ind w:firstLine="420" w:firstLineChars="200"/>
        <w:jc w:val="left"/>
        <w:rPr>
          <w:rFonts w:ascii="宋体" w:hAnsi="宋体"/>
          <w:color w:val="auto"/>
          <w:szCs w:val="21"/>
          <w:highlight w:val="none"/>
        </w:rPr>
      </w:pPr>
      <w:bookmarkStart w:id="1016" w:name="_Hlk524296629"/>
      <w:r>
        <w:rPr>
          <w:rFonts w:hint="eastAsia" w:ascii="宋体" w:hAnsi="宋体"/>
          <w:color w:val="auto"/>
          <w:szCs w:val="21"/>
          <w:highlight w:val="none"/>
        </w:rPr>
        <w:t>10.4.1 变更估价原则</w:t>
      </w:r>
    </w:p>
    <w:p>
      <w:pPr>
        <w:pStyle w:val="2"/>
        <w:spacing w:after="0" w:line="360" w:lineRule="auto"/>
        <w:ind w:firstLine="420" w:firstLineChars="200"/>
        <w:jc w:val="left"/>
        <w:rPr>
          <w:rFonts w:ascii="宋体" w:hAnsi="宋体"/>
          <w:color w:val="auto"/>
          <w:szCs w:val="21"/>
          <w:highlight w:val="none"/>
          <w:u w:val="single"/>
        </w:rPr>
      </w:pPr>
      <w:r>
        <w:rPr>
          <w:rFonts w:hint="eastAsia" w:ascii="宋体" w:hAnsi="宋体"/>
          <w:color w:val="auto"/>
          <w:szCs w:val="21"/>
          <w:highlight w:val="none"/>
        </w:rPr>
        <w:t>当发生工程变更时，工程量按</w:t>
      </w:r>
      <w:r>
        <w:rPr>
          <w:rFonts w:hint="eastAsia" w:ascii="宋体" w:hAnsi="宋体"/>
          <w:color w:val="auto"/>
          <w:szCs w:val="21"/>
          <w:highlight w:val="none"/>
          <w:u w:val="single"/>
        </w:rPr>
        <w:t xml:space="preserve">        </w:t>
      </w:r>
      <w:r>
        <w:rPr>
          <w:rFonts w:hint="eastAsia" w:ascii="宋体" w:hAnsi="宋体"/>
          <w:color w:val="auto"/>
          <w:szCs w:val="21"/>
          <w:highlight w:val="none"/>
        </w:rPr>
        <w:t>规定的计算规则及已标价工程量清单规定的工程量计算规则计量，按以下办法计价：</w:t>
      </w:r>
      <w:bookmarkStart w:id="1017" w:name="_Hlk524770102"/>
    </w:p>
    <w:bookmarkEnd w:id="1017"/>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10.4.1.1已标价工程量清单中有相同项目的，按照相同项目单价计算；</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10.4.1.2已标价工程量清单中有类似项目的，参考类似项目单价计算；</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10.4.1.3已标价工程量清单中无相同项目亦无类似项目的，按照以下原则执行：</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u w:val="single"/>
        </w:rPr>
        <w:t>按《重庆市市政工程计价定额》（CQSZDE-2018）、《重庆市园林绿化工程计价定额》（CQYLLHDE-2018）、《重庆市构筑物工程计价定额》（CQGZWDE-2018）、《重庆市建设工程施工机械台班定额》（CQJXDE-2018）、《重庆市建设工程施工仪器仪表台班定额》（CQYQYBDE-2018）、《重庆市建设工程混凝土及砂浆配合比表》（CQPHBB-2018）、《重庆市建设工程费用定额》（CQFYDE-2018）及相关配套文件进行组价并按承包人报价浮动率下浮（认质核价的设备和材料不参与浮动），经监理人、跟审单位、发包人审定后执行</w:t>
      </w:r>
      <w:r>
        <w:rPr>
          <w:rFonts w:hint="eastAsia" w:ascii="宋体" w:hAnsi="宋体"/>
          <w:color w:val="auto"/>
          <w:szCs w:val="21"/>
          <w:highlight w:val="none"/>
        </w:rPr>
        <w:t>。</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承包人报价浮动率按下列公式计算：承包人报价浮动率=（1-中标价/最高限价）×100%。</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（1）人工单价：按开标当期《重庆工程造价信息》发布的项目所在地的人工单价执行。</w:t>
      </w:r>
    </w:p>
    <w:p>
      <w:pPr>
        <w:spacing w:line="360" w:lineRule="auto"/>
        <w:ind w:firstLine="420" w:firstLineChars="200"/>
        <w:jc w:val="left"/>
        <w:rPr>
          <w:rFonts w:ascii="宋体" w:hAnsi="宋体"/>
          <w:color w:val="auto"/>
          <w:szCs w:val="21"/>
          <w:highlight w:val="none"/>
        </w:rPr>
      </w:pPr>
      <w:bookmarkStart w:id="1018" w:name="_Hlk529023896"/>
      <w:r>
        <w:rPr>
          <w:rFonts w:hint="eastAsia" w:ascii="宋体" w:hAnsi="宋体"/>
          <w:color w:val="auto"/>
          <w:szCs w:val="21"/>
          <w:highlight w:val="none"/>
        </w:rPr>
        <w:t>（2）材料单价：</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①按</w:t>
      </w:r>
      <w:bookmarkStart w:id="1019" w:name="_Hlk529023354"/>
      <w:r>
        <w:rPr>
          <w:rFonts w:hint="eastAsia" w:ascii="宋体" w:hAnsi="宋体"/>
          <w:color w:val="auto"/>
          <w:szCs w:val="21"/>
          <w:highlight w:val="none"/>
        </w:rPr>
        <w:t>开标当期《重庆工程造价信息》发布的项目所在地的信息价</w:t>
      </w:r>
      <w:bookmarkEnd w:id="1019"/>
      <w:r>
        <w:rPr>
          <w:rFonts w:hint="eastAsia" w:ascii="宋体" w:hAnsi="宋体"/>
          <w:color w:val="auto"/>
          <w:szCs w:val="21"/>
          <w:highlight w:val="none"/>
        </w:rPr>
        <w:t>执行；</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②开标当期《重庆工程造价信息》中没有的，承包人投标报价中有的，按承包人投标报价中相同材料单价的最低值执行；</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③开标当期《重庆工程造价信息》和承包人投标报价没有的，由承包人申报、监理人会同跟审单位、发包人根据市场行情认质核价确定。</w:t>
      </w:r>
    </w:p>
    <w:bookmarkEnd w:id="1018"/>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3）企业管理费和利润：按承包人投标报价中相同工程分类的费用标准执行（投标报价中费用标准高于《重庆市建设工程费用定额》（CQFYDE-2018）费用标准的，按《重庆市建设工程费用定额》（CQFYDE-2018）费用标准执行）。</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（4）规费：按《重庆市建设工程费用定额》（CQFYDE-2018）费用标准进行计算。</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（5）税金：包含增值税、城市维护建设税、教育费附加、地方教育附加以及环境保护税。其中增值税按《重庆市建设工程费用定额》（CQFYDE-2018）规定及配套文件执行。</w:t>
      </w:r>
    </w:p>
    <w:p>
      <w:pPr>
        <w:spacing w:line="360" w:lineRule="auto"/>
        <w:ind w:firstLine="420" w:firstLineChars="200"/>
        <w:jc w:val="left"/>
        <w:rPr>
          <w:rFonts w:ascii="宋体" w:hAnsi="宋体"/>
          <w:color w:val="auto"/>
          <w:szCs w:val="21"/>
          <w:highlight w:val="none"/>
          <w:u w:val="single"/>
        </w:rPr>
      </w:pPr>
      <w:r>
        <w:rPr>
          <w:rFonts w:hint="eastAsia" w:ascii="宋体" w:hAnsi="宋体"/>
          <w:color w:val="auto"/>
          <w:szCs w:val="21"/>
          <w:highlight w:val="none"/>
        </w:rPr>
        <w:t>10.4.1.4已标价工程量清单中无相同项目亦无类似项目，也无定额可套用的，由承包人会同监理人、跟审单位、发包人按相关原则、编制方法编制补充定额（人工、材料、机械基价执行2018年计价定额的基价，2018年计价定额没有的基价，按市场价计），按照第10.4.1.3目约定执行；或参照重庆市场相同工作的市场价格上报监理人，最终价格按承包人、监理人、跟审单位、发包人共同询价确认的价格执行。</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本款补充10.4.3项：</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10.4.3工程变更引起施工方案改变并使措施项目发生变化时，承包人提出调整措施项目费的，应事前将拟实施的方案提交监理人审核报发包人确认，并应详细说明与原方案措施项目相比的变化情况。拟实施的方案经发承包双方确认后执行，并应按照下列规定调整措施项目费：</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w:t>
      </w:r>
      <w:r>
        <w:rPr>
          <w:rFonts w:hint="eastAsia" w:ascii="宋体" w:hAnsi="宋体"/>
          <w:color w:val="auto"/>
          <w:szCs w:val="21"/>
          <w:highlight w:val="none"/>
          <w:u w:val="single"/>
        </w:rPr>
        <w:t>安全文明施工费应按照实际发生变化的措施项目依据现行安全文明施工费计取及管理政策规定及《重庆市建设工程费用定额》（CQFYDE-2018）规定执行</w:t>
      </w:r>
      <w:r>
        <w:rPr>
          <w:rFonts w:hint="eastAsia" w:ascii="宋体" w:hAnsi="宋体"/>
          <w:color w:val="auto"/>
          <w:szCs w:val="21"/>
          <w:highlight w:val="none"/>
        </w:rPr>
        <w:t>；</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（2）</w:t>
      </w:r>
      <w:r>
        <w:rPr>
          <w:rFonts w:hint="eastAsia" w:ascii="宋体" w:hAnsi="宋体"/>
          <w:color w:val="auto"/>
          <w:szCs w:val="21"/>
          <w:highlight w:val="none"/>
          <w:u w:val="single"/>
        </w:rPr>
        <w:t>按照单价计算的措施项目费，应按照实际发生变化的措施项目，按照第10.4.1项〔变更估价原则〕约定执行</w:t>
      </w:r>
      <w:r>
        <w:rPr>
          <w:rFonts w:hint="eastAsia" w:ascii="宋体" w:hAnsi="宋体"/>
          <w:color w:val="auto"/>
          <w:szCs w:val="21"/>
          <w:highlight w:val="none"/>
        </w:rPr>
        <w:t>；</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（3）</w:t>
      </w:r>
      <w:r>
        <w:rPr>
          <w:rFonts w:hint="eastAsia" w:ascii="宋体" w:hAnsi="宋体"/>
          <w:color w:val="auto"/>
          <w:szCs w:val="21"/>
          <w:highlight w:val="none"/>
          <w:u w:val="single"/>
        </w:rPr>
        <w:t>按总价（或系数）计算的措施项目费，应按照实际发生变化的措施项目费按承包人报价浮动率下浮后的金额计算</w:t>
      </w:r>
      <w:r>
        <w:rPr>
          <w:rFonts w:hint="eastAsia" w:ascii="宋体" w:hAnsi="宋体"/>
          <w:color w:val="auto"/>
          <w:szCs w:val="21"/>
          <w:highlight w:val="none"/>
        </w:rPr>
        <w:t>；</w:t>
      </w:r>
    </w:p>
    <w:p>
      <w:pPr>
        <w:spacing w:line="360" w:lineRule="auto"/>
        <w:ind w:firstLine="420" w:firstLineChars="200"/>
        <w:jc w:val="left"/>
        <w:rPr>
          <w:rFonts w:ascii="宋体" w:hAnsi="宋体"/>
          <w:color w:val="auto"/>
          <w:szCs w:val="21"/>
          <w:highlight w:val="none"/>
          <w:u w:val="single"/>
        </w:rPr>
      </w:pPr>
      <w:r>
        <w:rPr>
          <w:rFonts w:hint="eastAsia" w:ascii="宋体" w:hAnsi="宋体"/>
          <w:color w:val="auto"/>
          <w:szCs w:val="21"/>
          <w:highlight w:val="none"/>
        </w:rPr>
        <w:t>（4）</w:t>
      </w:r>
      <w:r>
        <w:rPr>
          <w:rFonts w:hint="eastAsia" w:ascii="宋体" w:hAnsi="宋体"/>
          <w:color w:val="auto"/>
          <w:szCs w:val="21"/>
          <w:highlight w:val="none"/>
          <w:u w:val="single"/>
        </w:rPr>
        <w:t>如果承包人未事前将拟实施的方案提交给发包人确认，则应视为工程变更不引起措施项目费的调整或承包人放弃调整措施项目费的权利</w:t>
      </w:r>
      <w:r>
        <w:rPr>
          <w:rFonts w:hint="eastAsia" w:ascii="宋体" w:hAnsi="宋体"/>
          <w:color w:val="auto"/>
          <w:szCs w:val="21"/>
          <w:highlight w:val="none"/>
        </w:rPr>
        <w:t>。</w:t>
      </w:r>
    </w:p>
    <w:bookmarkEnd w:id="1016"/>
    <w:p>
      <w:pPr>
        <w:pStyle w:val="6"/>
        <w:spacing w:before="0" w:beforeAutospacing="0" w:after="0" w:afterAutospacing="0" w:line="360" w:lineRule="auto"/>
        <w:ind w:firstLine="422" w:firstLineChars="200"/>
        <w:rPr>
          <w:color w:val="auto"/>
          <w:sz w:val="21"/>
          <w:szCs w:val="21"/>
          <w:highlight w:val="none"/>
        </w:rPr>
      </w:pPr>
      <w:bookmarkStart w:id="1020" w:name="_Toc532375639"/>
      <w:bookmarkStart w:id="1021" w:name="_Toc532377375"/>
      <w:r>
        <w:rPr>
          <w:rFonts w:hint="eastAsia"/>
          <w:color w:val="auto"/>
          <w:sz w:val="21"/>
          <w:szCs w:val="21"/>
          <w:highlight w:val="none"/>
        </w:rPr>
        <w:t>1</w:t>
      </w:r>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Start w:id="1022" w:name="_Toc303539150"/>
      <w:bookmarkStart w:id="1023" w:name="_Toc300934993"/>
      <w:bookmarkStart w:id="1024" w:name="_Toc296346698"/>
      <w:bookmarkStart w:id="1025" w:name="_Toc296944536"/>
      <w:bookmarkStart w:id="1026" w:name="_Toc296347196"/>
      <w:bookmarkStart w:id="1027" w:name="_Toc292559907"/>
      <w:bookmarkStart w:id="1028" w:name="_Toc297120497"/>
      <w:bookmarkStart w:id="1029" w:name="_Toc296503197"/>
      <w:bookmarkStart w:id="1030" w:name="_Toc296891237"/>
      <w:bookmarkStart w:id="1031" w:name="_Toc297123544"/>
      <w:bookmarkStart w:id="1032" w:name="_Toc292559402"/>
      <w:bookmarkStart w:id="1033" w:name="_Toc297048383"/>
      <w:bookmarkStart w:id="1034" w:name="_Toc296891025"/>
      <w:bookmarkStart w:id="1035" w:name="_Toc297216203"/>
      <w:bookmarkStart w:id="1036" w:name="_Toc312678029"/>
      <w:bookmarkStart w:id="1037" w:name="_Toc304295570"/>
      <w:bookmarkStart w:id="1038" w:name="_Toc312677503"/>
      <w:r>
        <w:rPr>
          <w:rFonts w:hint="eastAsia"/>
          <w:color w:val="auto"/>
          <w:sz w:val="21"/>
          <w:szCs w:val="21"/>
          <w:highlight w:val="none"/>
        </w:rPr>
        <w:t>0.5承</w:t>
      </w:r>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Start w:id="1039" w:name="_Toc292559408"/>
      <w:bookmarkStart w:id="1040" w:name="_Toc303539151"/>
      <w:bookmarkStart w:id="1041" w:name="_Toc297216204"/>
      <w:bookmarkStart w:id="1042" w:name="_Toc297048389"/>
      <w:bookmarkStart w:id="1043" w:name="_Toc300934994"/>
      <w:bookmarkStart w:id="1044" w:name="_Toc296891243"/>
      <w:bookmarkStart w:id="1045" w:name="_Toc296891031"/>
      <w:bookmarkStart w:id="1046" w:name="_Toc296346704"/>
      <w:bookmarkStart w:id="1047" w:name="_Toc297120503"/>
      <w:bookmarkStart w:id="1048" w:name="_Toc297123545"/>
      <w:bookmarkStart w:id="1049" w:name="_Toc296503203"/>
      <w:bookmarkStart w:id="1050" w:name="_Toc292559913"/>
      <w:bookmarkStart w:id="1051" w:name="_Toc296944542"/>
      <w:bookmarkStart w:id="1052" w:name="_Toc296347202"/>
      <w:r>
        <w:rPr>
          <w:rFonts w:hint="eastAsia"/>
          <w:color w:val="auto"/>
          <w:sz w:val="21"/>
          <w:szCs w:val="21"/>
          <w:highlight w:val="none"/>
        </w:rPr>
        <w:t>包人的合理化建议</w:t>
      </w:r>
      <w:bookmarkEnd w:id="1020"/>
      <w:bookmarkEnd w:id="1021"/>
    </w:p>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承包人提出合理化建议的，应向监理人提交合理化建议说明，说明建议的内容和理由，以及实施该建议对合同价格和（或）工期和（或）工程经济效益的影响。</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监理人审查承包人合理化建议的期限：</w:t>
      </w:r>
      <w:r>
        <w:rPr>
          <w:rFonts w:hint="eastAsia" w:ascii="宋体" w:hAnsi="宋体"/>
          <w:color w:val="auto"/>
          <w:szCs w:val="21"/>
          <w:highlight w:val="none"/>
          <w:u w:val="single"/>
        </w:rPr>
        <w:t>不超过14天</w:t>
      </w:r>
      <w:r>
        <w:rPr>
          <w:rFonts w:hint="eastAsia" w:ascii="宋体" w:hAnsi="宋体"/>
          <w:color w:val="auto"/>
          <w:szCs w:val="21"/>
          <w:highlight w:val="none"/>
        </w:rPr>
        <w:t>。</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发包人审批承包人合理化建议的期限：</w:t>
      </w:r>
      <w:r>
        <w:rPr>
          <w:rFonts w:hint="eastAsia" w:ascii="宋体" w:hAnsi="宋体"/>
          <w:color w:val="auto"/>
          <w:szCs w:val="21"/>
          <w:highlight w:val="none"/>
          <w:u w:val="single"/>
        </w:rPr>
        <w:t>不超过14天</w:t>
      </w:r>
      <w:r>
        <w:rPr>
          <w:rFonts w:hint="eastAsia" w:ascii="宋体" w:hAnsi="宋体"/>
          <w:color w:val="auto"/>
          <w:szCs w:val="21"/>
          <w:highlight w:val="none"/>
        </w:rPr>
        <w:t>。</w:t>
      </w:r>
    </w:p>
    <w:p>
      <w:pPr>
        <w:spacing w:line="360" w:lineRule="auto"/>
        <w:ind w:firstLine="420" w:firstLineChars="200"/>
        <w:jc w:val="left"/>
        <w:rPr>
          <w:rFonts w:ascii="宋体" w:hAnsi="宋体"/>
          <w:color w:val="auto"/>
          <w:szCs w:val="21"/>
          <w:highlight w:val="none"/>
          <w:u w:val="single"/>
        </w:rPr>
      </w:pPr>
      <w:r>
        <w:rPr>
          <w:rFonts w:hint="eastAsia" w:ascii="宋体" w:hAnsi="宋体"/>
          <w:color w:val="auto"/>
          <w:szCs w:val="21"/>
          <w:highlight w:val="none"/>
        </w:rPr>
        <w:t>承</w:t>
      </w:r>
      <w:bookmarkStart w:id="1053" w:name="_Toc297123546"/>
      <w:bookmarkStart w:id="1054" w:name="_Toc296347203"/>
      <w:bookmarkStart w:id="1055" w:name="_Toc296891244"/>
      <w:bookmarkStart w:id="1056" w:name="_Toc304295571"/>
      <w:bookmarkStart w:id="1057" w:name="_Toc312678030"/>
      <w:bookmarkStart w:id="1058" w:name="_Toc297048390"/>
      <w:bookmarkStart w:id="1059" w:name="_Toc296503204"/>
      <w:bookmarkStart w:id="1060" w:name="_Toc300934995"/>
      <w:bookmarkStart w:id="1061" w:name="_Toc292559409"/>
      <w:bookmarkStart w:id="1062" w:name="_Toc297216205"/>
      <w:bookmarkStart w:id="1063" w:name="_Toc296891032"/>
      <w:bookmarkStart w:id="1064" w:name="_Toc292559914"/>
      <w:bookmarkStart w:id="1065" w:name="_Toc296944543"/>
      <w:bookmarkStart w:id="1066" w:name="_Toc318581175"/>
      <w:bookmarkStart w:id="1067" w:name="_Toc296346705"/>
      <w:bookmarkStart w:id="1068" w:name="_Toc297120504"/>
      <w:bookmarkStart w:id="1069" w:name="_Toc303539152"/>
      <w:bookmarkStart w:id="1070" w:name="_Toc312677504"/>
      <w:r>
        <w:rPr>
          <w:rFonts w:hint="eastAsia" w:ascii="宋体" w:hAnsi="宋体"/>
          <w:color w:val="auto"/>
          <w:szCs w:val="21"/>
          <w:highlight w:val="none"/>
        </w:rPr>
        <w:t>包人提出的合理化建议降低了合同价格或缩短了工期或者提高了工程经济效益的奖励的方法和金额为：</w:t>
      </w:r>
      <w:r>
        <w:rPr>
          <w:rFonts w:hint="eastAsia" w:ascii="宋体" w:hAnsi="宋体"/>
          <w:color w:val="auto"/>
          <w:szCs w:val="21"/>
          <w:highlight w:val="none"/>
          <w:u w:val="single"/>
        </w:rPr>
        <w:t>合理化建议带来经济效益的5～10 %</w:t>
      </w:r>
      <w:r>
        <w:rPr>
          <w:rFonts w:hint="eastAsia" w:ascii="宋体" w:hAnsi="宋体"/>
          <w:color w:val="auto"/>
          <w:szCs w:val="21"/>
          <w:highlight w:val="none"/>
        </w:rPr>
        <w:t>。</w:t>
      </w:r>
    </w:p>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p>
      <w:pPr>
        <w:pStyle w:val="6"/>
        <w:spacing w:before="0" w:beforeAutospacing="0" w:after="0" w:afterAutospacing="0" w:line="360" w:lineRule="auto"/>
        <w:ind w:firstLine="422" w:firstLineChars="200"/>
        <w:rPr>
          <w:color w:val="auto"/>
          <w:sz w:val="21"/>
          <w:szCs w:val="21"/>
          <w:highlight w:val="none"/>
        </w:rPr>
      </w:pPr>
      <w:bookmarkStart w:id="1071" w:name="_Toc532375640"/>
      <w:bookmarkStart w:id="1072" w:name="_Toc532377376"/>
      <w:r>
        <w:rPr>
          <w:rFonts w:hint="eastAsia"/>
          <w:color w:val="auto"/>
          <w:sz w:val="21"/>
          <w:szCs w:val="21"/>
          <w:highlight w:val="none"/>
        </w:rPr>
        <w:t>1</w:t>
      </w:r>
      <w:bookmarkStart w:id="1073" w:name="_Toc296503199"/>
      <w:bookmarkStart w:id="1074" w:name="_Toc297048385"/>
      <w:bookmarkStart w:id="1075" w:name="_Toc304295574"/>
      <w:bookmarkStart w:id="1076" w:name="_Toc300934997"/>
      <w:bookmarkStart w:id="1077" w:name="_Toc297120499"/>
      <w:bookmarkStart w:id="1078" w:name="_Toc292559909"/>
      <w:bookmarkStart w:id="1079" w:name="_Toc303539154"/>
      <w:bookmarkStart w:id="1080" w:name="_Toc297123548"/>
      <w:bookmarkStart w:id="1081" w:name="_Toc296891239"/>
      <w:bookmarkStart w:id="1082" w:name="_Toc297216207"/>
      <w:bookmarkStart w:id="1083" w:name="_Toc296944538"/>
      <w:bookmarkStart w:id="1084" w:name="_Toc296891027"/>
      <w:bookmarkStart w:id="1085" w:name="_Toc312677507"/>
      <w:bookmarkStart w:id="1086" w:name="_Toc292559404"/>
      <w:bookmarkStart w:id="1087" w:name="_Toc296347198"/>
      <w:bookmarkStart w:id="1088" w:name="_Toc312678033"/>
      <w:bookmarkStart w:id="1089" w:name="_Toc296346700"/>
      <w:r>
        <w:rPr>
          <w:rFonts w:hint="eastAsia"/>
          <w:color w:val="auto"/>
          <w:sz w:val="21"/>
          <w:szCs w:val="21"/>
          <w:highlight w:val="none"/>
        </w:rPr>
        <w:t>0.7 暂估价</w:t>
      </w:r>
      <w:bookmarkEnd w:id="1071"/>
      <w:bookmarkEnd w:id="1072"/>
    </w:p>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专业工程暂估价：</w:t>
      </w:r>
      <w:r>
        <w:rPr>
          <w:rFonts w:hint="eastAsia" w:ascii="宋体" w:hAnsi="宋体"/>
          <w:color w:val="auto"/>
          <w:szCs w:val="21"/>
          <w:highlight w:val="none"/>
          <w:u w:val="single"/>
        </w:rPr>
        <w:t xml:space="preserve">        </w:t>
      </w:r>
      <w:r>
        <w:rPr>
          <w:rFonts w:hint="eastAsia" w:ascii="宋体" w:hAnsi="宋体"/>
          <w:color w:val="auto"/>
          <w:szCs w:val="21"/>
          <w:highlight w:val="none"/>
        </w:rPr>
        <w:t>万元。</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单项合同估算价在国家相关法律法规规定必须招标规模以下的，符合可以不招标相关规定的，由承包人采取交钥匙工程模式实施，发包人配合。承包人（需在允许资质范围内）或承包人委托的有资质的专业分包单位实施。费用估价按照第10.4.1项〔变更估价原则〕执行，承包人申报，经监理人、跟审单位、发包人共同审定。审定后根据承包人签订的相关合同（需经监理人、跟审单位、发包人共同确认）约定，由承包人申报，随进度款按与相关单位签订的合同约定一并支付。</w:t>
      </w:r>
    </w:p>
    <w:p>
      <w:pPr>
        <w:spacing w:line="360" w:lineRule="auto"/>
        <w:ind w:firstLine="420" w:firstLineChars="200"/>
        <w:jc w:val="left"/>
        <w:rPr>
          <w:rFonts w:ascii="宋体" w:hAnsi="宋体"/>
          <w:color w:val="auto"/>
          <w:szCs w:val="21"/>
          <w:highlight w:val="none"/>
          <w:u w:val="single"/>
        </w:rPr>
      </w:pPr>
      <w:r>
        <w:rPr>
          <w:rFonts w:hint="eastAsia" w:ascii="宋体" w:hAnsi="宋体"/>
          <w:color w:val="auto"/>
          <w:szCs w:val="21"/>
          <w:highlight w:val="none"/>
        </w:rPr>
        <w:t>单项合同暂估价在国家相关法律法规规定必须招标规模以上的，需依法必须招标的，由承包人、发包人共同招标确定。</w:t>
      </w:r>
    </w:p>
    <w:p>
      <w:pPr>
        <w:pStyle w:val="6"/>
        <w:spacing w:before="0" w:beforeAutospacing="0" w:after="0" w:afterAutospacing="0" w:line="360" w:lineRule="auto"/>
        <w:ind w:firstLine="422" w:firstLineChars="200"/>
        <w:rPr>
          <w:color w:val="auto"/>
          <w:sz w:val="21"/>
          <w:szCs w:val="21"/>
          <w:highlight w:val="none"/>
        </w:rPr>
      </w:pPr>
      <w:bookmarkStart w:id="1090" w:name="_Toc532377377"/>
      <w:bookmarkStart w:id="1091" w:name="_Toc532375641"/>
      <w:r>
        <w:rPr>
          <w:rFonts w:hint="eastAsia"/>
          <w:color w:val="auto"/>
          <w:sz w:val="21"/>
          <w:szCs w:val="21"/>
          <w:highlight w:val="none"/>
        </w:rPr>
        <w:t>10.8 暂列金额</w:t>
      </w:r>
      <w:bookmarkEnd w:id="1090"/>
      <w:bookmarkEnd w:id="1091"/>
    </w:p>
    <w:p>
      <w:pPr>
        <w:autoSpaceDE w:val="0"/>
        <w:autoSpaceDN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合同当事人关于暂列金额使用的约定：</w:t>
      </w:r>
      <w:r>
        <w:rPr>
          <w:rFonts w:hint="eastAsia" w:ascii="宋体" w:hAnsi="宋体"/>
          <w:color w:val="auto"/>
          <w:szCs w:val="21"/>
          <w:highlight w:val="none"/>
          <w:u w:val="single"/>
        </w:rPr>
        <w:t xml:space="preserve">        </w:t>
      </w:r>
      <w:r>
        <w:rPr>
          <w:rFonts w:hint="eastAsia" w:ascii="宋体" w:hAnsi="宋体"/>
          <w:color w:val="auto"/>
          <w:szCs w:val="21"/>
          <w:highlight w:val="none"/>
        </w:rPr>
        <w:t>。</w:t>
      </w:r>
    </w:p>
    <w:p>
      <w:pPr>
        <w:pStyle w:val="5"/>
        <w:keepNext/>
        <w:keepLines/>
        <w:spacing w:before="156" w:beforeLines="50" w:beforeAutospacing="0" w:after="156" w:afterLines="50" w:afterAutospacing="0" w:line="360" w:lineRule="auto"/>
        <w:jc w:val="both"/>
        <w:rPr>
          <w:bCs w:val="0"/>
          <w:color w:val="auto"/>
          <w:kern w:val="2"/>
          <w:sz w:val="21"/>
          <w:szCs w:val="21"/>
          <w:highlight w:val="none"/>
        </w:rPr>
      </w:pPr>
      <w:bookmarkStart w:id="1092" w:name="_Toc351203643"/>
      <w:bookmarkStart w:id="1093" w:name="_Toc532375642"/>
      <w:bookmarkStart w:id="1094" w:name="_Toc532377378"/>
      <w:r>
        <w:rPr>
          <w:rFonts w:hint="eastAsia"/>
          <w:color w:val="auto"/>
          <w:kern w:val="2"/>
          <w:sz w:val="21"/>
          <w:szCs w:val="21"/>
          <w:highlight w:val="none"/>
        </w:rPr>
        <w:t>11. 价格调整</w:t>
      </w:r>
      <w:bookmarkEnd w:id="1092"/>
      <w:bookmarkEnd w:id="1093"/>
      <w:bookmarkEnd w:id="1094"/>
    </w:p>
    <w:p>
      <w:pPr>
        <w:pStyle w:val="6"/>
        <w:spacing w:before="0" w:beforeAutospacing="0" w:after="0" w:afterAutospacing="0" w:line="360" w:lineRule="auto"/>
        <w:ind w:firstLine="422" w:firstLineChars="200"/>
        <w:rPr>
          <w:color w:val="auto"/>
          <w:sz w:val="21"/>
          <w:szCs w:val="21"/>
          <w:highlight w:val="none"/>
        </w:rPr>
      </w:pPr>
      <w:bookmarkStart w:id="1095" w:name="_Toc532377379"/>
      <w:bookmarkStart w:id="1096" w:name="_Toc532375643"/>
      <w:bookmarkStart w:id="1097" w:name="_Toc297216209"/>
      <w:bookmarkStart w:id="1098" w:name="_Toc296944540"/>
      <w:bookmarkStart w:id="1099" w:name="_Toc296503201"/>
      <w:bookmarkStart w:id="1100" w:name="_Toc296346702"/>
      <w:bookmarkStart w:id="1101" w:name="_Toc312678039"/>
      <w:bookmarkStart w:id="1102" w:name="_Toc296347200"/>
      <w:bookmarkStart w:id="1103" w:name="_Toc296891241"/>
      <w:bookmarkStart w:id="1104" w:name="_Toc296891029"/>
      <w:bookmarkStart w:id="1105" w:name="_Toc297123550"/>
      <w:bookmarkStart w:id="1106" w:name="_Toc292559911"/>
      <w:bookmarkStart w:id="1107" w:name="_Toc300935000"/>
      <w:bookmarkStart w:id="1108" w:name="_Toc292559406"/>
      <w:bookmarkStart w:id="1109" w:name="_Toc304295577"/>
      <w:bookmarkStart w:id="1110" w:name="_Toc297120501"/>
      <w:bookmarkStart w:id="1111" w:name="_Toc303539157"/>
      <w:bookmarkStart w:id="1112" w:name="_Toc297048387"/>
      <w:r>
        <w:rPr>
          <w:rFonts w:hint="eastAsia"/>
          <w:color w:val="auto"/>
          <w:sz w:val="21"/>
          <w:szCs w:val="21"/>
          <w:highlight w:val="none"/>
        </w:rPr>
        <w:t>11.1 市场价格波动引起的调整</w:t>
      </w:r>
      <w:bookmarkEnd w:id="1095"/>
      <w:bookmarkEnd w:id="1096"/>
    </w:p>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p>
      <w:pPr>
        <w:spacing w:line="360" w:lineRule="auto"/>
        <w:ind w:firstLine="420" w:firstLineChars="200"/>
        <w:jc w:val="left"/>
        <w:rPr>
          <w:rFonts w:ascii="宋体" w:hAnsi="宋体"/>
          <w:color w:val="auto"/>
          <w:szCs w:val="21"/>
          <w:highlight w:val="none"/>
        </w:rPr>
      </w:pPr>
      <w:bookmarkStart w:id="1113" w:name="_Toc466913513"/>
      <w:bookmarkStart w:id="1114" w:name="_Toc467689641"/>
      <w:bookmarkStart w:id="1115" w:name="_Toc466911545"/>
      <w:bookmarkStart w:id="1116" w:name="_Toc466913963"/>
      <w:r>
        <w:rPr>
          <w:rFonts w:hint="eastAsia" w:ascii="宋体" w:hAnsi="宋体"/>
          <w:color w:val="auto"/>
          <w:szCs w:val="21"/>
          <w:highlight w:val="none"/>
        </w:rPr>
        <w:t>市场价格波动是否调整合同价格的约定：</w:t>
      </w:r>
      <w:r>
        <w:rPr>
          <w:rFonts w:hint="eastAsia" w:ascii="宋体" w:hAnsi="宋体"/>
          <w:color w:val="auto"/>
          <w:szCs w:val="21"/>
          <w:highlight w:val="none"/>
          <w:u w:val="single"/>
        </w:rPr>
        <w:t>合同工期一年以上（含一年），且市场价格波动幅度符合第11.1.1项〔人工费价差调整办法〕和（或）第11.1.2项〔材料费价差调整办法〕约定的，按第11.1.1项〔人工费价差调整办法〕和（或）第11.1.2项〔材料费价差调整办法〕约定调整合同价格；第11.1.1项〔人工费价差调整办法〕和（或）第11.1.2项〔材料费价差调整办法〕约定的调差条件之外的市场价格波动风险不调整合同价格，风险费用由承包人自行考虑后纳入签约合同价格中，包干使用</w:t>
      </w:r>
      <w:r>
        <w:rPr>
          <w:rFonts w:hint="eastAsia" w:ascii="宋体" w:hAnsi="宋体"/>
          <w:color w:val="auto"/>
          <w:szCs w:val="21"/>
          <w:highlight w:val="none"/>
        </w:rPr>
        <w:t>。</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因市场价格波动调整合同价格，采用以下第2种方式对合同价格进行调整：</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第1种方式：</w:t>
      </w:r>
      <w:r>
        <w:rPr>
          <w:rFonts w:hint="eastAsia" w:ascii="宋体" w:hAnsi="宋体"/>
          <w:color w:val="auto"/>
          <w:szCs w:val="21"/>
          <w:highlight w:val="none"/>
          <w:u w:val="single"/>
        </w:rPr>
        <w:t>采用价格指数进行价格调整</w:t>
      </w:r>
      <w:r>
        <w:rPr>
          <w:rFonts w:hint="eastAsia" w:ascii="宋体" w:hAnsi="宋体"/>
          <w:color w:val="auto"/>
          <w:szCs w:val="21"/>
          <w:highlight w:val="none"/>
        </w:rPr>
        <w:t>。</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关于各可调因子、定值和变值权重，以及基本价格指数及其来源的约定：</w:t>
      </w:r>
      <w:r>
        <w:rPr>
          <w:rFonts w:hint="eastAsia" w:ascii="宋体" w:hAnsi="宋体"/>
          <w:color w:val="auto"/>
          <w:szCs w:val="21"/>
          <w:highlight w:val="none"/>
          <w:u w:val="single"/>
        </w:rPr>
        <w:t xml:space="preserve"> / </w:t>
      </w:r>
      <w:r>
        <w:rPr>
          <w:rFonts w:hint="eastAsia" w:ascii="宋体" w:hAnsi="宋体"/>
          <w:color w:val="auto"/>
          <w:szCs w:val="21"/>
          <w:highlight w:val="none"/>
        </w:rPr>
        <w:t>；</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第2种方式：</w:t>
      </w:r>
      <w:r>
        <w:rPr>
          <w:rFonts w:hint="eastAsia" w:ascii="宋体" w:hAnsi="宋体"/>
          <w:color w:val="auto"/>
          <w:szCs w:val="21"/>
          <w:highlight w:val="none"/>
          <w:u w:val="single"/>
        </w:rPr>
        <w:t>采用造价信息进行价格调整，调整方法如下</w:t>
      </w:r>
      <w:r>
        <w:rPr>
          <w:rFonts w:hint="eastAsia" w:ascii="宋体" w:hAnsi="宋体"/>
          <w:color w:val="auto"/>
          <w:szCs w:val="21"/>
          <w:highlight w:val="none"/>
        </w:rPr>
        <w:t>：</w:t>
      </w:r>
    </w:p>
    <w:p>
      <w:pPr>
        <w:spacing w:line="360" w:lineRule="auto"/>
        <w:ind w:firstLine="420" w:firstLineChars="200"/>
        <w:jc w:val="left"/>
        <w:rPr>
          <w:rFonts w:ascii="宋体" w:hAnsi="宋体"/>
          <w:color w:val="auto"/>
          <w:szCs w:val="21"/>
          <w:highlight w:val="none"/>
        </w:rPr>
      </w:pPr>
      <w:bookmarkStart w:id="1117" w:name="_Hlk524296901"/>
      <w:r>
        <w:rPr>
          <w:rFonts w:hint="eastAsia" w:ascii="宋体" w:hAnsi="宋体"/>
          <w:color w:val="auto"/>
          <w:szCs w:val="21"/>
          <w:highlight w:val="none"/>
        </w:rPr>
        <w:t>11.1.1人工费价差调整办法</w:t>
      </w:r>
      <w:bookmarkEnd w:id="1113"/>
      <w:bookmarkEnd w:id="1114"/>
      <w:bookmarkEnd w:id="1115"/>
      <w:bookmarkEnd w:id="1116"/>
    </w:p>
    <w:p>
      <w:pPr>
        <w:tabs>
          <w:tab w:val="left" w:pos="711"/>
          <w:tab w:val="left" w:pos="2580"/>
        </w:tabs>
        <w:spacing w:line="360" w:lineRule="auto"/>
        <w:ind w:firstLine="420" w:firstLineChars="200"/>
        <w:jc w:val="left"/>
        <w:textAlignment w:val="baseline"/>
        <w:rPr>
          <w:rFonts w:ascii="宋体" w:hAnsi="宋体"/>
          <w:color w:val="auto"/>
          <w:szCs w:val="21"/>
          <w:highlight w:val="none"/>
        </w:rPr>
      </w:pPr>
      <w:bookmarkStart w:id="1118" w:name="_Toc467689644"/>
      <w:bookmarkStart w:id="1119" w:name="_Toc466911548"/>
      <w:bookmarkStart w:id="1120" w:name="_Toc466913966"/>
      <w:bookmarkStart w:id="1121" w:name="_Toc466913516"/>
      <w:r>
        <w:rPr>
          <w:rFonts w:hint="eastAsia" w:ascii="宋体" w:hAnsi="宋体"/>
          <w:color w:val="auto"/>
          <w:szCs w:val="21"/>
          <w:highlight w:val="none"/>
        </w:rPr>
        <w:t>（1）自实际开工时间起至合同约定的工期结束时间止，期间《重庆工程造价信息》发布人工单价的算术平均值较开标当期《重庆工程造价信息》发布的人工单价变化超过</w:t>
      </w:r>
      <w:r>
        <w:rPr>
          <w:rFonts w:hint="eastAsia" w:ascii="宋体" w:hAnsi="宋体"/>
          <w:color w:val="auto"/>
          <w:szCs w:val="21"/>
          <w:highlight w:val="none"/>
          <w:u w:val="single"/>
        </w:rPr>
        <w:t>±5%</w:t>
      </w:r>
      <w:r>
        <w:rPr>
          <w:rFonts w:hint="eastAsia" w:ascii="宋体" w:hAnsi="宋体"/>
          <w:color w:val="auto"/>
          <w:szCs w:val="21"/>
          <w:highlight w:val="none"/>
        </w:rPr>
        <w:t>时，按以下约定调整：</w:t>
      </w:r>
    </w:p>
    <w:p>
      <w:pPr>
        <w:tabs>
          <w:tab w:val="left" w:pos="711"/>
          <w:tab w:val="left" w:pos="2580"/>
        </w:tabs>
        <w:spacing w:line="360" w:lineRule="auto"/>
        <w:ind w:firstLine="420" w:firstLineChars="200"/>
        <w:jc w:val="left"/>
        <w:textAlignment w:val="baseline"/>
        <w:rPr>
          <w:rFonts w:ascii="宋体" w:hAnsi="宋体"/>
          <w:color w:val="auto"/>
          <w:szCs w:val="21"/>
          <w:highlight w:val="none"/>
        </w:rPr>
      </w:pPr>
      <w:r>
        <w:rPr>
          <w:rFonts w:hint="eastAsia" w:ascii="宋体" w:hAnsi="宋体"/>
          <w:color w:val="auto"/>
          <w:szCs w:val="21"/>
          <w:highlight w:val="none"/>
        </w:rPr>
        <w:t>①已标价工程量清单中载明人工单价不高于开标当期《重庆工程造价信息》发布的人工单价的：按期间《重庆工程造价信息》发布人工单价的算术平均值减去开标当期《重庆工程造价信息》发布的人工单价乘以</w:t>
      </w:r>
      <w:r>
        <w:rPr>
          <w:rFonts w:hint="eastAsia" w:ascii="宋体" w:hAnsi="宋体"/>
          <w:color w:val="auto"/>
          <w:szCs w:val="21"/>
          <w:highlight w:val="none"/>
          <w:u w:val="single"/>
        </w:rPr>
        <w:t>（1±5%）</w:t>
      </w:r>
      <w:r>
        <w:rPr>
          <w:rFonts w:hint="eastAsia" w:ascii="宋体" w:hAnsi="宋体"/>
          <w:color w:val="auto"/>
          <w:szCs w:val="21"/>
          <w:highlight w:val="none"/>
        </w:rPr>
        <w:t>调差。</w:t>
      </w:r>
    </w:p>
    <w:p>
      <w:pPr>
        <w:tabs>
          <w:tab w:val="left" w:pos="711"/>
          <w:tab w:val="left" w:pos="2580"/>
        </w:tabs>
        <w:spacing w:line="360" w:lineRule="auto"/>
        <w:ind w:firstLine="420" w:firstLineChars="200"/>
        <w:jc w:val="left"/>
        <w:textAlignment w:val="baseline"/>
        <w:rPr>
          <w:rFonts w:ascii="宋体" w:hAnsi="宋体"/>
          <w:color w:val="auto"/>
          <w:szCs w:val="21"/>
          <w:highlight w:val="none"/>
        </w:rPr>
      </w:pPr>
      <w:r>
        <w:rPr>
          <w:rFonts w:hint="eastAsia" w:ascii="宋体" w:hAnsi="宋体"/>
          <w:color w:val="auto"/>
          <w:szCs w:val="21"/>
          <w:highlight w:val="none"/>
        </w:rPr>
        <w:t>②已标价工程量清单中载明人工单价高于开标当期《重庆工程造价信息》发布的人工单价的，按期间《重庆工程造价信息》发布人工单价的算术平均值减去已标价工程量清单中载明人工单价乘以</w:t>
      </w:r>
      <w:r>
        <w:rPr>
          <w:rFonts w:hint="eastAsia" w:ascii="宋体" w:hAnsi="宋体"/>
          <w:color w:val="auto"/>
          <w:szCs w:val="21"/>
          <w:highlight w:val="none"/>
          <w:u w:val="single"/>
        </w:rPr>
        <w:t>（1±5%）</w:t>
      </w:r>
      <w:r>
        <w:rPr>
          <w:rFonts w:hint="eastAsia" w:ascii="宋体" w:hAnsi="宋体"/>
          <w:color w:val="auto"/>
          <w:szCs w:val="21"/>
          <w:highlight w:val="none"/>
        </w:rPr>
        <w:t>调差。</w:t>
      </w:r>
    </w:p>
    <w:p>
      <w:pPr>
        <w:tabs>
          <w:tab w:val="left" w:pos="711"/>
          <w:tab w:val="left" w:pos="2580"/>
        </w:tabs>
        <w:spacing w:line="360" w:lineRule="auto"/>
        <w:ind w:firstLine="420" w:firstLineChars="200"/>
        <w:jc w:val="left"/>
        <w:textAlignment w:val="baseline"/>
        <w:rPr>
          <w:rFonts w:ascii="宋体" w:hAnsi="宋体"/>
          <w:color w:val="auto"/>
          <w:szCs w:val="21"/>
          <w:highlight w:val="none"/>
        </w:rPr>
      </w:pPr>
      <w:r>
        <w:rPr>
          <w:rFonts w:hint="eastAsia" w:ascii="宋体" w:hAnsi="宋体"/>
          <w:color w:val="auto"/>
          <w:szCs w:val="21"/>
          <w:highlight w:val="none"/>
        </w:rPr>
        <w:t>（2）工程量按照第12.3.1项〔计量原则〕约定计算，单位工程的人工消耗量按承包人投标报价的消耗量执行（承包人投标报价的单位工程人工消耗量高于定额单位工程人工消耗量的，按定额单位工程的人工消耗量执行）。</w:t>
      </w:r>
    </w:p>
    <w:p>
      <w:pPr>
        <w:tabs>
          <w:tab w:val="left" w:pos="711"/>
          <w:tab w:val="left" w:pos="2580"/>
        </w:tabs>
        <w:spacing w:line="360" w:lineRule="auto"/>
        <w:ind w:firstLine="420" w:firstLineChars="200"/>
        <w:jc w:val="left"/>
        <w:textAlignment w:val="baseline"/>
        <w:rPr>
          <w:rFonts w:ascii="宋体" w:hAnsi="宋体"/>
          <w:color w:val="auto"/>
          <w:szCs w:val="21"/>
          <w:highlight w:val="none"/>
        </w:rPr>
      </w:pPr>
      <w:r>
        <w:rPr>
          <w:rFonts w:hint="eastAsia" w:ascii="宋体" w:hAnsi="宋体"/>
          <w:color w:val="auto"/>
          <w:szCs w:val="21"/>
          <w:highlight w:val="none"/>
        </w:rPr>
        <w:t>（3）</w:t>
      </w:r>
      <w:r>
        <w:rPr>
          <w:rFonts w:hint="eastAsia" w:ascii="宋体" w:hAnsi="宋体"/>
          <w:color w:val="auto"/>
          <w:szCs w:val="21"/>
          <w:highlight w:val="none"/>
          <w:u w:val="single"/>
        </w:rPr>
        <w:t xml:space="preserve">        </w:t>
      </w:r>
      <w:r>
        <w:rPr>
          <w:rFonts w:hint="eastAsia" w:ascii="宋体" w:hAnsi="宋体"/>
          <w:color w:val="auto"/>
          <w:szCs w:val="21"/>
          <w:highlight w:val="none"/>
        </w:rPr>
        <w:t>。</w:t>
      </w:r>
    </w:p>
    <w:bookmarkEnd w:id="1117"/>
    <w:p>
      <w:pPr>
        <w:spacing w:line="360" w:lineRule="auto"/>
        <w:ind w:firstLine="420" w:firstLineChars="200"/>
        <w:jc w:val="left"/>
        <w:rPr>
          <w:rFonts w:ascii="宋体" w:hAnsi="宋体"/>
          <w:color w:val="auto"/>
          <w:szCs w:val="21"/>
          <w:highlight w:val="none"/>
        </w:rPr>
      </w:pPr>
      <w:bookmarkStart w:id="1122" w:name="_Hlk524297138"/>
      <w:r>
        <w:rPr>
          <w:rFonts w:hint="eastAsia" w:ascii="宋体" w:hAnsi="宋体"/>
          <w:color w:val="auto"/>
          <w:szCs w:val="21"/>
          <w:highlight w:val="none"/>
        </w:rPr>
        <w:t>11.1.2 材料费价差调整</w:t>
      </w:r>
      <w:bookmarkEnd w:id="1118"/>
      <w:bookmarkEnd w:id="1119"/>
      <w:bookmarkEnd w:id="1120"/>
      <w:bookmarkEnd w:id="1121"/>
      <w:r>
        <w:rPr>
          <w:rFonts w:hint="eastAsia" w:ascii="宋体" w:hAnsi="宋体"/>
          <w:color w:val="auto"/>
          <w:szCs w:val="21"/>
          <w:highlight w:val="none"/>
        </w:rPr>
        <w:t>办法</w:t>
      </w:r>
    </w:p>
    <w:p>
      <w:pPr>
        <w:tabs>
          <w:tab w:val="left" w:pos="711"/>
          <w:tab w:val="left" w:pos="2580"/>
        </w:tabs>
        <w:spacing w:line="360" w:lineRule="auto"/>
        <w:ind w:firstLine="420" w:firstLineChars="200"/>
        <w:jc w:val="left"/>
        <w:textAlignment w:val="baseline"/>
        <w:rPr>
          <w:rFonts w:ascii="宋体" w:hAnsi="宋体"/>
          <w:color w:val="auto"/>
          <w:szCs w:val="21"/>
          <w:highlight w:val="none"/>
        </w:rPr>
      </w:pPr>
      <w:r>
        <w:rPr>
          <w:rFonts w:hint="eastAsia" w:ascii="宋体" w:hAnsi="宋体"/>
          <w:color w:val="auto"/>
          <w:szCs w:val="21"/>
          <w:highlight w:val="none"/>
        </w:rPr>
        <w:t>可调价差材料：</w:t>
      </w:r>
      <w:r>
        <w:rPr>
          <w:rFonts w:hint="eastAsia" w:ascii="宋体" w:hAnsi="宋体"/>
          <w:color w:val="auto"/>
          <w:szCs w:val="21"/>
          <w:highlight w:val="none"/>
          <w:u w:val="single"/>
        </w:rPr>
        <w:t>水泥、商品砼、碎石、砂、钢筋、型钢、条石、片石、预应力钢绞线、沥青混凝土、水泥稳定碎石拌和料、预拌商品砂浆、砌筑材料等主要材料（可按工程使用的具体材料确定）</w:t>
      </w:r>
      <w:r>
        <w:rPr>
          <w:rFonts w:hint="eastAsia" w:ascii="宋体" w:hAnsi="宋体"/>
          <w:color w:val="auto"/>
          <w:szCs w:val="21"/>
          <w:highlight w:val="none"/>
        </w:rPr>
        <w:t>。</w:t>
      </w:r>
    </w:p>
    <w:p>
      <w:pPr>
        <w:tabs>
          <w:tab w:val="left" w:pos="711"/>
          <w:tab w:val="left" w:pos="2580"/>
        </w:tabs>
        <w:spacing w:line="360" w:lineRule="auto"/>
        <w:ind w:firstLine="420" w:firstLineChars="200"/>
        <w:jc w:val="left"/>
        <w:textAlignment w:val="baseline"/>
        <w:rPr>
          <w:rFonts w:ascii="宋体" w:hAnsi="宋体"/>
          <w:color w:val="auto"/>
          <w:szCs w:val="21"/>
          <w:highlight w:val="none"/>
        </w:rPr>
      </w:pPr>
      <w:r>
        <w:rPr>
          <w:rFonts w:hint="eastAsia" w:ascii="宋体" w:hAnsi="宋体"/>
          <w:color w:val="auto"/>
          <w:szCs w:val="21"/>
          <w:highlight w:val="none"/>
        </w:rPr>
        <w:t>可调价差材料的价差调整办法如下：</w:t>
      </w:r>
    </w:p>
    <w:bookmarkEnd w:id="975"/>
    <w:bookmarkEnd w:id="976"/>
    <w:bookmarkEnd w:id="977"/>
    <w:bookmarkEnd w:id="978"/>
    <w:bookmarkEnd w:id="979"/>
    <w:bookmarkEnd w:id="980"/>
    <w:p>
      <w:pPr>
        <w:tabs>
          <w:tab w:val="left" w:pos="711"/>
          <w:tab w:val="left" w:pos="2580"/>
        </w:tabs>
        <w:spacing w:line="360" w:lineRule="auto"/>
        <w:ind w:firstLine="420" w:firstLineChars="200"/>
        <w:jc w:val="left"/>
        <w:textAlignment w:val="baseline"/>
        <w:rPr>
          <w:rFonts w:ascii="宋体" w:hAnsi="宋体"/>
          <w:color w:val="auto"/>
          <w:szCs w:val="21"/>
          <w:highlight w:val="none"/>
        </w:rPr>
      </w:pPr>
      <w:bookmarkStart w:id="1123" w:name="_Toc292559915"/>
      <w:bookmarkStart w:id="1124" w:name="_Toc296891245"/>
      <w:bookmarkStart w:id="1125" w:name="_Toc297048391"/>
      <w:bookmarkStart w:id="1126" w:name="_Toc297120505"/>
      <w:bookmarkStart w:id="1127" w:name="_Toc296347204"/>
      <w:bookmarkStart w:id="1128" w:name="_Toc296891033"/>
      <w:bookmarkStart w:id="1129" w:name="_Toc292559410"/>
      <w:bookmarkStart w:id="1130" w:name="_Toc296503205"/>
      <w:bookmarkStart w:id="1131" w:name="_Toc296346706"/>
      <w:bookmarkStart w:id="1132" w:name="_Toc296944544"/>
      <w:bookmarkStart w:id="1133" w:name="_Toc351203644"/>
      <w:bookmarkStart w:id="1134" w:name="_Toc312678040"/>
      <w:bookmarkStart w:id="1135" w:name="_Toc304295579"/>
      <w:bookmarkStart w:id="1136" w:name="_Toc300935002"/>
      <w:bookmarkStart w:id="1137" w:name="_Toc303539159"/>
      <w:bookmarkStart w:id="1138" w:name="_Toc297123552"/>
      <w:bookmarkStart w:id="1139" w:name="_Toc297216211"/>
      <w:r>
        <w:rPr>
          <w:rFonts w:hint="eastAsia" w:ascii="宋体" w:hAnsi="宋体"/>
          <w:color w:val="auto"/>
          <w:szCs w:val="21"/>
          <w:highlight w:val="none"/>
        </w:rPr>
        <w:t>（1）自实际开工时间起至合同约定的工期结束时间止，期间《重庆工程造价信息》发布的信息价的算术平均值较开标当期《重庆工程造价信息》发布的信息价变化超过</w:t>
      </w:r>
      <w:r>
        <w:rPr>
          <w:rFonts w:hint="eastAsia" w:ascii="宋体" w:hAnsi="宋体"/>
          <w:color w:val="auto"/>
          <w:szCs w:val="21"/>
          <w:highlight w:val="none"/>
          <w:u w:val="single"/>
        </w:rPr>
        <w:t>±5%</w:t>
      </w:r>
      <w:r>
        <w:rPr>
          <w:rFonts w:hint="eastAsia" w:ascii="宋体" w:hAnsi="宋体"/>
          <w:color w:val="auto"/>
          <w:szCs w:val="21"/>
          <w:highlight w:val="none"/>
        </w:rPr>
        <w:t>时，按以下约定调整：</w:t>
      </w:r>
    </w:p>
    <w:p>
      <w:pPr>
        <w:tabs>
          <w:tab w:val="left" w:pos="711"/>
          <w:tab w:val="left" w:pos="2580"/>
        </w:tabs>
        <w:spacing w:line="360" w:lineRule="auto"/>
        <w:ind w:firstLine="420" w:firstLineChars="200"/>
        <w:jc w:val="left"/>
        <w:textAlignment w:val="baseline"/>
        <w:rPr>
          <w:rFonts w:ascii="宋体" w:hAnsi="宋体"/>
          <w:color w:val="auto"/>
          <w:szCs w:val="21"/>
          <w:highlight w:val="none"/>
        </w:rPr>
      </w:pPr>
      <w:r>
        <w:rPr>
          <w:rFonts w:hint="eastAsia" w:ascii="宋体" w:hAnsi="宋体"/>
          <w:color w:val="auto"/>
          <w:szCs w:val="21"/>
          <w:highlight w:val="none"/>
        </w:rPr>
        <w:t>①已标价工程量清单中载明材料单价不高于开标当期《重庆工程造价信息》发布的信息价的按期间《重庆工程造价信息》发布信息价的算术平均值减去开标当期《重庆工程造价信息》发布的信息价乘以</w:t>
      </w:r>
      <w:r>
        <w:rPr>
          <w:rFonts w:hint="eastAsia" w:ascii="宋体" w:hAnsi="宋体"/>
          <w:color w:val="auto"/>
          <w:szCs w:val="21"/>
          <w:highlight w:val="none"/>
          <w:u w:val="single"/>
        </w:rPr>
        <w:t>（1±5%）</w:t>
      </w:r>
      <w:r>
        <w:rPr>
          <w:rFonts w:hint="eastAsia" w:ascii="宋体" w:hAnsi="宋体"/>
          <w:color w:val="auto"/>
          <w:szCs w:val="21"/>
          <w:highlight w:val="none"/>
        </w:rPr>
        <w:t>调差。</w:t>
      </w:r>
    </w:p>
    <w:p>
      <w:pPr>
        <w:tabs>
          <w:tab w:val="left" w:pos="711"/>
          <w:tab w:val="left" w:pos="2580"/>
        </w:tabs>
        <w:spacing w:line="360" w:lineRule="auto"/>
        <w:ind w:firstLine="420" w:firstLineChars="200"/>
        <w:jc w:val="left"/>
        <w:textAlignment w:val="baseline"/>
        <w:rPr>
          <w:rFonts w:ascii="宋体" w:hAnsi="宋体"/>
          <w:color w:val="auto"/>
          <w:szCs w:val="21"/>
          <w:highlight w:val="none"/>
        </w:rPr>
      </w:pPr>
      <w:r>
        <w:rPr>
          <w:rFonts w:hint="eastAsia" w:ascii="宋体" w:hAnsi="宋体"/>
          <w:color w:val="auto"/>
          <w:szCs w:val="21"/>
          <w:highlight w:val="none"/>
        </w:rPr>
        <w:t>②已标价工程量清单中载明材料单价高于开标当期《重庆工程造价信息》发布的信息价的，按期间《重庆工程造价信息》发布信息价的算术平均值减去已标价工程量清单中载明材料单价乘以</w:t>
      </w:r>
      <w:r>
        <w:rPr>
          <w:rFonts w:hint="eastAsia" w:ascii="宋体" w:hAnsi="宋体"/>
          <w:color w:val="auto"/>
          <w:szCs w:val="21"/>
          <w:highlight w:val="none"/>
          <w:u w:val="single"/>
        </w:rPr>
        <w:t>（1±5%）</w:t>
      </w:r>
      <w:r>
        <w:rPr>
          <w:rFonts w:hint="eastAsia" w:ascii="宋体" w:hAnsi="宋体"/>
          <w:color w:val="auto"/>
          <w:szCs w:val="21"/>
          <w:highlight w:val="none"/>
        </w:rPr>
        <w:t>调差。</w:t>
      </w:r>
    </w:p>
    <w:p>
      <w:pPr>
        <w:tabs>
          <w:tab w:val="left" w:pos="711"/>
          <w:tab w:val="left" w:pos="2580"/>
        </w:tabs>
        <w:spacing w:line="360" w:lineRule="auto"/>
        <w:ind w:firstLine="420" w:firstLineChars="200"/>
        <w:jc w:val="left"/>
        <w:textAlignment w:val="baseline"/>
        <w:rPr>
          <w:rFonts w:ascii="宋体" w:hAnsi="宋体"/>
          <w:color w:val="auto"/>
          <w:szCs w:val="21"/>
          <w:highlight w:val="none"/>
        </w:rPr>
      </w:pPr>
      <w:r>
        <w:rPr>
          <w:rFonts w:hint="eastAsia" w:ascii="宋体" w:hAnsi="宋体"/>
          <w:color w:val="auto"/>
          <w:szCs w:val="21"/>
          <w:highlight w:val="none"/>
        </w:rPr>
        <w:t>（2）工程量按照第12.3.1项〔计量原则〕约定计算，单位工程的材料消耗量按承包人投标报价的消耗量执行（承包人投标报价的单位工程材料消耗量高于定额单位工程材料消耗量的，按定额单位工程的材料消耗量执行）。</w:t>
      </w:r>
    </w:p>
    <w:p>
      <w:pPr>
        <w:tabs>
          <w:tab w:val="left" w:pos="711"/>
          <w:tab w:val="left" w:pos="2580"/>
        </w:tabs>
        <w:spacing w:line="360" w:lineRule="auto"/>
        <w:ind w:firstLine="420" w:firstLineChars="200"/>
        <w:jc w:val="left"/>
        <w:textAlignment w:val="baseline"/>
        <w:rPr>
          <w:rFonts w:ascii="宋体" w:hAnsi="宋体"/>
          <w:color w:val="auto"/>
          <w:szCs w:val="21"/>
          <w:highlight w:val="none"/>
        </w:rPr>
      </w:pPr>
      <w:r>
        <w:rPr>
          <w:rFonts w:hint="eastAsia" w:ascii="宋体" w:hAnsi="宋体"/>
          <w:color w:val="auto"/>
          <w:szCs w:val="21"/>
          <w:highlight w:val="none"/>
        </w:rPr>
        <w:t>（3）</w:t>
      </w:r>
      <w:r>
        <w:rPr>
          <w:rFonts w:hint="eastAsia" w:ascii="宋体" w:hAnsi="宋体"/>
          <w:color w:val="auto"/>
          <w:szCs w:val="21"/>
          <w:highlight w:val="none"/>
          <w:u w:val="single"/>
        </w:rPr>
        <w:t xml:space="preserve">        </w:t>
      </w:r>
      <w:r>
        <w:rPr>
          <w:rFonts w:hint="eastAsia" w:ascii="宋体" w:hAnsi="宋体"/>
          <w:color w:val="auto"/>
          <w:szCs w:val="21"/>
          <w:highlight w:val="none"/>
        </w:rPr>
        <w:t>。</w:t>
      </w:r>
    </w:p>
    <w:bookmarkEnd w:id="1122"/>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第3种方式：其他价格调整方式：</w:t>
      </w:r>
      <w:r>
        <w:rPr>
          <w:rFonts w:hint="eastAsia" w:ascii="宋体" w:hAnsi="宋体"/>
          <w:color w:val="auto"/>
          <w:szCs w:val="21"/>
          <w:highlight w:val="none"/>
          <w:u w:val="single"/>
        </w:rPr>
        <w:t>不采用</w:t>
      </w:r>
      <w:r>
        <w:rPr>
          <w:rFonts w:hint="eastAsia" w:ascii="宋体" w:hAnsi="宋体"/>
          <w:color w:val="auto"/>
          <w:szCs w:val="21"/>
          <w:highlight w:val="none"/>
        </w:rPr>
        <w:t>。</w:t>
      </w:r>
    </w:p>
    <w:p>
      <w:pPr>
        <w:pStyle w:val="6"/>
        <w:spacing w:before="0" w:beforeAutospacing="0" w:after="0" w:afterAutospacing="0" w:line="360" w:lineRule="auto"/>
        <w:ind w:firstLine="422" w:firstLineChars="200"/>
        <w:rPr>
          <w:color w:val="auto"/>
          <w:sz w:val="21"/>
          <w:szCs w:val="21"/>
          <w:highlight w:val="none"/>
        </w:rPr>
      </w:pPr>
      <w:bookmarkStart w:id="1140" w:name="_Toc532377380"/>
      <w:bookmarkStart w:id="1141" w:name="_Toc532375644"/>
      <w:bookmarkStart w:id="1142" w:name="_Hlk528928232"/>
      <w:r>
        <w:rPr>
          <w:rFonts w:hint="eastAsia"/>
          <w:color w:val="auto"/>
          <w:sz w:val="21"/>
          <w:szCs w:val="21"/>
          <w:highlight w:val="none"/>
        </w:rPr>
        <w:t>11.2 法律变化引起的调整</w:t>
      </w:r>
      <w:bookmarkEnd w:id="1140"/>
      <w:bookmarkEnd w:id="1141"/>
    </w:p>
    <w:p>
      <w:pPr>
        <w:spacing w:line="360" w:lineRule="auto"/>
        <w:ind w:firstLine="420" w:firstLineChars="200"/>
        <w:jc w:val="left"/>
        <w:rPr>
          <w:rFonts w:hint="eastAsia" w:ascii="宋体" w:hAnsi="宋体"/>
          <w:color w:val="auto"/>
          <w:szCs w:val="21"/>
          <w:highlight w:val="none"/>
        </w:rPr>
      </w:pPr>
      <w:r>
        <w:rPr>
          <w:rFonts w:hint="eastAsia" w:ascii="宋体" w:hAnsi="宋体"/>
          <w:color w:val="auto"/>
          <w:szCs w:val="21"/>
          <w:highlight w:val="none"/>
        </w:rPr>
        <w:t>项目投标基准日至竣工验收合格之日，国家或相关行政主管部门发布直接影响项目的新法规、新政策、新文件、新标准，属强制执行的，自执行之日执行，由此增减的费用由发包人承担，估价照第10.4.1项〔变更估价原则〕执行；属选择性执行的，发包人与承包人协商解决。</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本条补充11.3款</w:t>
      </w:r>
    </w:p>
    <w:bookmarkEnd w:id="1142"/>
    <w:p>
      <w:pPr>
        <w:pStyle w:val="6"/>
        <w:spacing w:before="0" w:beforeAutospacing="0" w:after="0" w:afterAutospacing="0" w:line="360" w:lineRule="auto"/>
        <w:ind w:firstLine="422" w:firstLineChars="200"/>
        <w:rPr>
          <w:color w:val="auto"/>
          <w:sz w:val="21"/>
          <w:szCs w:val="21"/>
          <w:highlight w:val="none"/>
        </w:rPr>
      </w:pPr>
      <w:bookmarkStart w:id="1143" w:name="_Toc532377381"/>
      <w:bookmarkStart w:id="1144" w:name="_Toc532375645"/>
      <w:r>
        <w:rPr>
          <w:rFonts w:hint="eastAsia"/>
          <w:color w:val="auto"/>
          <w:sz w:val="21"/>
          <w:szCs w:val="21"/>
          <w:highlight w:val="none"/>
        </w:rPr>
        <w:t>11.3 严重不平衡报价引起的调整</w:t>
      </w:r>
      <w:bookmarkEnd w:id="1143"/>
      <w:bookmarkEnd w:id="1144"/>
    </w:p>
    <w:p>
      <w:pPr>
        <w:spacing w:line="360" w:lineRule="auto"/>
        <w:ind w:firstLine="420" w:firstLineChars="200"/>
        <w:jc w:val="left"/>
        <w:rPr>
          <w:rFonts w:ascii="宋体" w:hAnsi="宋体"/>
          <w:color w:val="auto"/>
          <w:szCs w:val="21"/>
          <w:highlight w:val="none"/>
          <w:u w:val="single"/>
        </w:rPr>
      </w:pPr>
      <w:r>
        <w:rPr>
          <w:rFonts w:hint="eastAsia" w:ascii="宋体" w:hAnsi="宋体"/>
          <w:color w:val="auto"/>
          <w:szCs w:val="21"/>
          <w:highlight w:val="none"/>
          <w:u w:val="single"/>
        </w:rPr>
        <w:t>合同履行期间，当按第12.3.1项〔计量原则〕约定确认的完成工程量比已标价工程量清单载明工程量增加超过15%，且发包人发现承包人的已标价工程量清单相关清单子目中有严重不平衡报价的。超过已标价工程量清单载明工程量15%的部分，发包人将对严重不平衡报价的清单子目综合单价进行修正，并按修正综合单价办理竣工结算，修正综合单价按照第10.4.1项〔变更估价原则〕（3）目约定执行</w:t>
      </w:r>
      <w:r>
        <w:rPr>
          <w:rFonts w:hint="eastAsia" w:ascii="宋体" w:hAnsi="宋体"/>
          <w:color w:val="auto"/>
          <w:szCs w:val="21"/>
          <w:highlight w:val="none"/>
        </w:rPr>
        <w:t>。</w:t>
      </w:r>
    </w:p>
    <w:p>
      <w:pPr>
        <w:spacing w:line="360" w:lineRule="auto"/>
        <w:ind w:firstLine="420" w:firstLineChars="200"/>
        <w:jc w:val="left"/>
        <w:rPr>
          <w:rFonts w:ascii="宋体" w:hAnsi="宋体"/>
          <w:color w:val="auto"/>
          <w:szCs w:val="21"/>
          <w:highlight w:val="none"/>
          <w:u w:val="single"/>
        </w:rPr>
      </w:pPr>
      <w:r>
        <w:rPr>
          <w:rFonts w:hint="eastAsia" w:ascii="宋体" w:hAnsi="宋体"/>
          <w:color w:val="auto"/>
          <w:szCs w:val="21"/>
          <w:highlight w:val="none"/>
          <w:u w:val="single"/>
        </w:rPr>
        <w:t>严重不平衡报价是指：清单子目综合单价与发包人按照第10.4.1项〔变更估价原则〕（3）目约定确定的综合单价相比，高于50%（即严重不平衡报价清单子目综合单价 - 按照第10.4.1项〔变更估价原则〕（3）目约定确定的综合单价）/按照第10.4.1项〔变更估价原则〕（3）目约定确定的综合单价×100%</w:t>
      </w:r>
      <w:r>
        <w:rPr>
          <w:rFonts w:hint="eastAsia" w:ascii="宋体" w:hAnsi="宋体"/>
          <w:color w:val="auto"/>
          <w:szCs w:val="21"/>
          <w:highlight w:val="none"/>
        </w:rPr>
        <w:t>。</w:t>
      </w:r>
    </w:p>
    <w:p>
      <w:pPr>
        <w:pStyle w:val="5"/>
        <w:keepNext/>
        <w:keepLines/>
        <w:spacing w:before="156" w:beforeLines="50" w:beforeAutospacing="0" w:after="156" w:afterLines="50" w:afterAutospacing="0" w:line="360" w:lineRule="auto"/>
        <w:jc w:val="both"/>
        <w:rPr>
          <w:bCs w:val="0"/>
          <w:color w:val="auto"/>
          <w:kern w:val="2"/>
          <w:sz w:val="21"/>
          <w:szCs w:val="21"/>
          <w:highlight w:val="none"/>
        </w:rPr>
      </w:pPr>
      <w:bookmarkStart w:id="1145" w:name="_Toc532377382"/>
      <w:bookmarkStart w:id="1146" w:name="_Toc532375646"/>
      <w:r>
        <w:rPr>
          <w:rFonts w:hint="eastAsia"/>
          <w:color w:val="auto"/>
          <w:kern w:val="2"/>
          <w:sz w:val="21"/>
          <w:szCs w:val="21"/>
          <w:highlight w:val="none"/>
        </w:rPr>
        <w:t xml:space="preserve">12. </w:t>
      </w:r>
      <w:bookmarkEnd w:id="1123"/>
      <w:bookmarkEnd w:id="1124"/>
      <w:bookmarkEnd w:id="1125"/>
      <w:bookmarkEnd w:id="1126"/>
      <w:bookmarkEnd w:id="1127"/>
      <w:bookmarkEnd w:id="1128"/>
      <w:bookmarkEnd w:id="1129"/>
      <w:bookmarkEnd w:id="1130"/>
      <w:bookmarkEnd w:id="1131"/>
      <w:bookmarkEnd w:id="1132"/>
      <w:r>
        <w:rPr>
          <w:rFonts w:hint="eastAsia"/>
          <w:color w:val="auto"/>
          <w:kern w:val="2"/>
          <w:sz w:val="21"/>
          <w:szCs w:val="21"/>
          <w:highlight w:val="none"/>
        </w:rPr>
        <w:t>合同价格、计量与支付</w:t>
      </w:r>
      <w:bookmarkEnd w:id="1133"/>
      <w:bookmarkEnd w:id="1145"/>
      <w:bookmarkEnd w:id="1146"/>
    </w:p>
    <w:bookmarkEnd w:id="1134"/>
    <w:bookmarkEnd w:id="1135"/>
    <w:bookmarkEnd w:id="1136"/>
    <w:bookmarkEnd w:id="1137"/>
    <w:bookmarkEnd w:id="1138"/>
    <w:bookmarkEnd w:id="1139"/>
    <w:p>
      <w:pPr>
        <w:pStyle w:val="6"/>
        <w:spacing w:before="0" w:beforeAutospacing="0" w:after="0" w:afterAutospacing="0" w:line="360" w:lineRule="auto"/>
        <w:ind w:firstLine="422" w:firstLineChars="200"/>
        <w:rPr>
          <w:color w:val="auto"/>
          <w:sz w:val="21"/>
          <w:szCs w:val="21"/>
          <w:highlight w:val="none"/>
        </w:rPr>
      </w:pPr>
      <w:bookmarkStart w:id="1147" w:name="_Toc292559411"/>
      <w:bookmarkStart w:id="1148" w:name="_Toc292559916"/>
      <w:bookmarkStart w:id="1149" w:name="_Toc267251461"/>
      <w:bookmarkStart w:id="1150" w:name="_Toc296944545"/>
      <w:bookmarkStart w:id="1151" w:name="_Toc296346707"/>
      <w:bookmarkStart w:id="1152" w:name="_Toc296891034"/>
      <w:bookmarkStart w:id="1153" w:name="_Toc296503206"/>
      <w:bookmarkStart w:id="1154" w:name="_Toc297048392"/>
      <w:bookmarkStart w:id="1155" w:name="_Toc296347205"/>
      <w:bookmarkStart w:id="1156" w:name="_Toc297120506"/>
      <w:bookmarkStart w:id="1157" w:name="_Toc296891246"/>
      <w:bookmarkStart w:id="1158" w:name="_Toc532377383"/>
      <w:bookmarkStart w:id="1159" w:name="_Toc532375647"/>
      <w:bookmarkStart w:id="1160" w:name="_Toc303539160"/>
      <w:bookmarkStart w:id="1161" w:name="_Toc304295580"/>
      <w:bookmarkStart w:id="1162" w:name="_Toc312678041"/>
      <w:bookmarkStart w:id="1163" w:name="_Toc300935003"/>
      <w:bookmarkStart w:id="1164" w:name="_Toc297123553"/>
      <w:bookmarkStart w:id="1165" w:name="_Toc297216212"/>
      <w:r>
        <w:rPr>
          <w:rFonts w:hint="eastAsia"/>
          <w:color w:val="auto"/>
          <w:sz w:val="21"/>
          <w:szCs w:val="21"/>
          <w:highlight w:val="none"/>
        </w:rPr>
        <w:t>12.1 合</w:t>
      </w:r>
      <w:bookmarkEnd w:id="1147"/>
      <w:bookmarkEnd w:id="1148"/>
      <w:bookmarkEnd w:id="1149"/>
      <w:r>
        <w:rPr>
          <w:rFonts w:hint="eastAsia"/>
          <w:color w:val="auto"/>
          <w:sz w:val="21"/>
          <w:szCs w:val="21"/>
          <w:highlight w:val="none"/>
        </w:rPr>
        <w:t>同价</w:t>
      </w:r>
      <w:bookmarkEnd w:id="1150"/>
      <w:bookmarkEnd w:id="1151"/>
      <w:bookmarkEnd w:id="1152"/>
      <w:bookmarkEnd w:id="1153"/>
      <w:bookmarkEnd w:id="1154"/>
      <w:bookmarkEnd w:id="1155"/>
      <w:bookmarkEnd w:id="1156"/>
      <w:bookmarkEnd w:id="1157"/>
      <w:r>
        <w:rPr>
          <w:rFonts w:hint="eastAsia"/>
          <w:color w:val="auto"/>
          <w:sz w:val="21"/>
          <w:szCs w:val="21"/>
          <w:highlight w:val="none"/>
        </w:rPr>
        <w:t>格形式</w:t>
      </w:r>
      <w:bookmarkEnd w:id="1158"/>
      <w:bookmarkEnd w:id="1159"/>
    </w:p>
    <w:bookmarkEnd w:id="1160"/>
    <w:bookmarkEnd w:id="1161"/>
    <w:bookmarkEnd w:id="1162"/>
    <w:bookmarkEnd w:id="1163"/>
    <w:bookmarkEnd w:id="1164"/>
    <w:bookmarkEnd w:id="1165"/>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1、单价合同。</w:t>
      </w:r>
    </w:p>
    <w:p>
      <w:pPr>
        <w:spacing w:line="360" w:lineRule="auto"/>
        <w:ind w:firstLine="420" w:firstLineChars="200"/>
        <w:jc w:val="left"/>
        <w:rPr>
          <w:rFonts w:ascii="宋体" w:hAnsi="宋体"/>
          <w:color w:val="auto"/>
          <w:szCs w:val="21"/>
          <w:highlight w:val="none"/>
          <w:u w:val="single"/>
        </w:rPr>
      </w:pPr>
      <w:r>
        <w:rPr>
          <w:rFonts w:hint="eastAsia" w:ascii="宋体" w:hAnsi="宋体"/>
          <w:color w:val="auto"/>
          <w:szCs w:val="21"/>
          <w:highlight w:val="none"/>
        </w:rPr>
        <w:t>综合单价包含的风险范围：</w:t>
      </w:r>
      <w:r>
        <w:rPr>
          <w:rFonts w:hint="eastAsia" w:ascii="宋体" w:hAnsi="宋体"/>
          <w:color w:val="auto"/>
          <w:szCs w:val="21"/>
          <w:highlight w:val="none"/>
          <w:u w:val="single"/>
        </w:rPr>
        <w:t>包括但不限于为实施和完成合同工程所需的人工费、材料费、施工机具使用费、企业管理费、利润、风险费、施工技术措施项目费、施工组织措施项目费及缺陷修复等费用，以及</w:t>
      </w:r>
      <w:bookmarkStart w:id="1166" w:name="_Hlk528508096"/>
      <w:r>
        <w:rPr>
          <w:rFonts w:hint="eastAsia" w:ascii="宋体" w:hAnsi="宋体"/>
          <w:color w:val="auto"/>
          <w:szCs w:val="21"/>
          <w:highlight w:val="none"/>
          <w:u w:val="single"/>
        </w:rPr>
        <w:t>第11.1款〔市场价格波动引起的调整〕约定范围内的市场价格波动风险、政策性文件规定的各项应有费用、</w:t>
      </w:r>
      <w:bookmarkEnd w:id="1166"/>
      <w:r>
        <w:rPr>
          <w:rFonts w:hint="eastAsia" w:ascii="宋体" w:hAnsi="宋体"/>
          <w:color w:val="auto"/>
          <w:szCs w:val="21"/>
          <w:highlight w:val="none"/>
          <w:u w:val="single"/>
        </w:rPr>
        <w:t>招标文件和合同明示或暗示的应由承包人承担的所有责任、义务和风险等所需的费用</w:t>
      </w:r>
      <w:r>
        <w:rPr>
          <w:rFonts w:hint="eastAsia" w:ascii="宋体" w:hAnsi="宋体"/>
          <w:color w:val="auto"/>
          <w:szCs w:val="21"/>
          <w:highlight w:val="none"/>
        </w:rPr>
        <w:t>。</w:t>
      </w:r>
    </w:p>
    <w:p>
      <w:pPr>
        <w:spacing w:line="360" w:lineRule="auto"/>
        <w:ind w:firstLine="420" w:firstLineChars="200"/>
        <w:jc w:val="left"/>
        <w:rPr>
          <w:rFonts w:ascii="宋体" w:hAnsi="宋体"/>
          <w:color w:val="auto"/>
          <w:szCs w:val="21"/>
          <w:highlight w:val="none"/>
          <w:u w:val="single"/>
        </w:rPr>
      </w:pPr>
      <w:r>
        <w:rPr>
          <w:rFonts w:hint="eastAsia" w:ascii="宋体" w:hAnsi="宋体"/>
          <w:color w:val="auto"/>
          <w:szCs w:val="21"/>
          <w:highlight w:val="none"/>
        </w:rPr>
        <w:t>风险费用的计算方法：</w:t>
      </w:r>
      <w:r>
        <w:rPr>
          <w:rFonts w:hint="eastAsia" w:ascii="宋体" w:hAnsi="宋体"/>
          <w:color w:val="auto"/>
          <w:szCs w:val="21"/>
          <w:highlight w:val="none"/>
          <w:u w:val="single"/>
        </w:rPr>
        <w:t>由承包人自行考虑并计入签约合同价格中，包干使用</w:t>
      </w:r>
      <w:r>
        <w:rPr>
          <w:rFonts w:hint="eastAsia" w:ascii="宋体" w:hAnsi="宋体"/>
          <w:color w:val="auto"/>
          <w:szCs w:val="21"/>
          <w:highlight w:val="none"/>
        </w:rPr>
        <w:t>。</w:t>
      </w:r>
    </w:p>
    <w:p>
      <w:pPr>
        <w:spacing w:line="360" w:lineRule="auto"/>
        <w:ind w:firstLine="420" w:firstLineChars="200"/>
        <w:jc w:val="left"/>
        <w:rPr>
          <w:rFonts w:ascii="宋体" w:hAnsi="宋体"/>
          <w:color w:val="auto"/>
          <w:szCs w:val="21"/>
          <w:highlight w:val="none"/>
          <w:u w:val="single"/>
        </w:rPr>
      </w:pPr>
      <w:r>
        <w:rPr>
          <w:rFonts w:hint="eastAsia" w:ascii="宋体" w:hAnsi="宋体"/>
          <w:color w:val="auto"/>
          <w:szCs w:val="21"/>
          <w:highlight w:val="none"/>
        </w:rPr>
        <w:t>风险范围以外合同价格的调整方法：</w:t>
      </w:r>
      <w:r>
        <w:rPr>
          <w:rFonts w:hint="eastAsia" w:ascii="宋体" w:hAnsi="宋体"/>
          <w:color w:val="auto"/>
          <w:szCs w:val="21"/>
          <w:highlight w:val="none"/>
          <w:u w:val="single"/>
        </w:rPr>
        <w:t>按照合同相关条款约定执行</w:t>
      </w:r>
      <w:r>
        <w:rPr>
          <w:rFonts w:hint="eastAsia" w:ascii="宋体" w:hAnsi="宋体"/>
          <w:color w:val="auto"/>
          <w:szCs w:val="21"/>
          <w:highlight w:val="none"/>
        </w:rPr>
        <w:t>。</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2、总价合同。</w:t>
      </w:r>
    </w:p>
    <w:p>
      <w:pPr>
        <w:spacing w:line="360" w:lineRule="auto"/>
        <w:ind w:firstLine="420" w:firstLineChars="200"/>
        <w:jc w:val="left"/>
        <w:rPr>
          <w:rFonts w:ascii="宋体" w:hAnsi="宋体"/>
          <w:color w:val="auto"/>
          <w:szCs w:val="21"/>
          <w:highlight w:val="none"/>
          <w:u w:val="single"/>
        </w:rPr>
      </w:pPr>
      <w:r>
        <w:rPr>
          <w:rFonts w:hint="eastAsia" w:ascii="宋体" w:hAnsi="宋体"/>
          <w:color w:val="auto"/>
          <w:szCs w:val="21"/>
          <w:highlight w:val="none"/>
        </w:rPr>
        <w:t>总价包含的风险范围：</w:t>
      </w:r>
      <w:r>
        <w:rPr>
          <w:rFonts w:hint="eastAsia" w:ascii="宋体" w:hAnsi="宋体"/>
          <w:color w:val="auto"/>
          <w:szCs w:val="21"/>
          <w:highlight w:val="none"/>
          <w:u w:val="single"/>
        </w:rPr>
        <w:t>包括但不限于为实施和完成合同工程所需的人工费、材料费、施工机具使用费、企业管理费、利润、风险费、施工技术措施项目费、施工组织措施项目费、总承包服务费、规费和税金及缺陷修复等费用，以及第11.1款〔市场价格波动引起的调整〕约定范围内的市场价格波动风险、政策性文件规定的各项应有费用、招标文件和合同明示或暗示的应由承包人承担的所有责任、义务和风险等所需的费用</w:t>
      </w:r>
      <w:r>
        <w:rPr>
          <w:rFonts w:hint="eastAsia" w:ascii="宋体" w:hAnsi="宋体"/>
          <w:color w:val="auto"/>
          <w:szCs w:val="21"/>
          <w:highlight w:val="none"/>
        </w:rPr>
        <w:t>。</w:t>
      </w:r>
    </w:p>
    <w:p>
      <w:pPr>
        <w:spacing w:line="360" w:lineRule="auto"/>
        <w:ind w:firstLine="420" w:firstLineChars="200"/>
        <w:jc w:val="left"/>
        <w:rPr>
          <w:rFonts w:ascii="宋体" w:hAnsi="宋体"/>
          <w:color w:val="auto"/>
          <w:szCs w:val="21"/>
          <w:highlight w:val="none"/>
          <w:u w:val="single"/>
        </w:rPr>
      </w:pPr>
      <w:r>
        <w:rPr>
          <w:rFonts w:hint="eastAsia" w:ascii="宋体" w:hAnsi="宋体"/>
          <w:color w:val="auto"/>
          <w:szCs w:val="21"/>
          <w:highlight w:val="none"/>
        </w:rPr>
        <w:t>风险费用的计算方法：</w:t>
      </w:r>
      <w:r>
        <w:rPr>
          <w:rFonts w:hint="eastAsia" w:ascii="宋体" w:hAnsi="宋体"/>
          <w:color w:val="auto"/>
          <w:szCs w:val="21"/>
          <w:highlight w:val="none"/>
          <w:u w:val="single"/>
        </w:rPr>
        <w:t>由承包人自行考虑并计入签约合同价格中，包干使用</w:t>
      </w:r>
      <w:r>
        <w:rPr>
          <w:rFonts w:hint="eastAsia" w:ascii="宋体" w:hAnsi="宋体"/>
          <w:color w:val="auto"/>
          <w:szCs w:val="21"/>
          <w:highlight w:val="none"/>
        </w:rPr>
        <w:t>。</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风险范围以外合同价格的调整方法：</w:t>
      </w:r>
      <w:r>
        <w:rPr>
          <w:rFonts w:hint="eastAsia" w:ascii="宋体" w:hAnsi="宋体"/>
          <w:color w:val="auto"/>
          <w:szCs w:val="21"/>
          <w:highlight w:val="none"/>
          <w:u w:val="single"/>
        </w:rPr>
        <w:t>按照合同相关条款约定执行</w:t>
      </w:r>
      <w:r>
        <w:rPr>
          <w:rFonts w:hint="eastAsia" w:ascii="宋体" w:hAnsi="宋体"/>
          <w:color w:val="auto"/>
          <w:szCs w:val="21"/>
          <w:highlight w:val="none"/>
        </w:rPr>
        <w:t>。</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3、其他价格方式：</w:t>
      </w:r>
      <w:r>
        <w:rPr>
          <w:rFonts w:hint="eastAsia" w:ascii="宋体" w:hAnsi="宋体"/>
          <w:color w:val="auto"/>
          <w:szCs w:val="21"/>
          <w:highlight w:val="none"/>
          <w:u w:val="single"/>
        </w:rPr>
        <w:t>不采用</w:t>
      </w:r>
      <w:r>
        <w:rPr>
          <w:rFonts w:hint="eastAsia" w:ascii="宋体" w:hAnsi="宋体"/>
          <w:color w:val="auto"/>
          <w:szCs w:val="21"/>
          <w:highlight w:val="none"/>
        </w:rPr>
        <w:t>。</w:t>
      </w:r>
    </w:p>
    <w:p>
      <w:pPr>
        <w:pStyle w:val="6"/>
        <w:spacing w:before="0" w:beforeAutospacing="0" w:after="0" w:afterAutospacing="0" w:line="360" w:lineRule="auto"/>
        <w:ind w:firstLine="422" w:firstLineChars="200"/>
        <w:rPr>
          <w:rFonts w:hint="default" w:eastAsia="宋体"/>
          <w:color w:val="auto"/>
          <w:sz w:val="21"/>
          <w:szCs w:val="21"/>
          <w:highlight w:val="none"/>
          <w:lang w:val="en-US" w:eastAsia="zh-CN"/>
        </w:rPr>
      </w:pPr>
      <w:bookmarkStart w:id="1167" w:name="_Toc532375648"/>
      <w:bookmarkStart w:id="1168" w:name="_Toc532377384"/>
      <w:bookmarkStart w:id="1169" w:name="_Toc304295581"/>
      <w:bookmarkStart w:id="1170" w:name="_Toc296346708"/>
      <w:bookmarkStart w:id="1171" w:name="_Toc292559917"/>
      <w:bookmarkStart w:id="1172" w:name="_Toc297048393"/>
      <w:bookmarkStart w:id="1173" w:name="_Toc297216213"/>
      <w:bookmarkStart w:id="1174" w:name="_Toc297123554"/>
      <w:bookmarkStart w:id="1175" w:name="_Toc303539161"/>
      <w:bookmarkStart w:id="1176" w:name="_Toc292559412"/>
      <w:bookmarkStart w:id="1177" w:name="_Toc297120507"/>
      <w:bookmarkStart w:id="1178" w:name="_Toc296503207"/>
      <w:bookmarkStart w:id="1179" w:name="_Toc300935004"/>
      <w:bookmarkStart w:id="1180" w:name="_Toc312678042"/>
      <w:bookmarkStart w:id="1181" w:name="_Toc296891035"/>
      <w:bookmarkStart w:id="1182" w:name="_Toc296944546"/>
      <w:bookmarkStart w:id="1183" w:name="_Toc296891247"/>
      <w:bookmarkStart w:id="1184" w:name="_Toc296347206"/>
      <w:r>
        <w:rPr>
          <w:rFonts w:hint="eastAsia"/>
          <w:color w:val="auto"/>
          <w:sz w:val="21"/>
          <w:szCs w:val="21"/>
          <w:highlight w:val="none"/>
        </w:rPr>
        <w:t>12.2 预付款</w:t>
      </w:r>
      <w:bookmarkEnd w:id="1167"/>
      <w:bookmarkEnd w:id="1168"/>
      <w:r>
        <w:rPr>
          <w:rFonts w:hint="eastAsia"/>
          <w:color w:val="auto"/>
          <w:sz w:val="21"/>
          <w:szCs w:val="21"/>
          <w:highlight w:val="none"/>
          <w:lang w:eastAsia="zh-CN"/>
        </w:rPr>
        <w:t>：</w:t>
      </w:r>
      <w:r>
        <w:rPr>
          <w:rFonts w:hint="eastAsia"/>
          <w:color w:val="auto"/>
          <w:sz w:val="21"/>
          <w:szCs w:val="21"/>
          <w:highlight w:val="none"/>
          <w:lang w:val="en-US" w:eastAsia="zh-CN"/>
        </w:rPr>
        <w:t>无</w:t>
      </w:r>
    </w:p>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p>
      <w:pPr>
        <w:pStyle w:val="6"/>
        <w:spacing w:before="0" w:beforeAutospacing="0" w:after="0" w:afterAutospacing="0" w:line="360" w:lineRule="auto"/>
        <w:ind w:firstLine="422" w:firstLineChars="200"/>
        <w:rPr>
          <w:color w:val="auto"/>
          <w:sz w:val="21"/>
          <w:szCs w:val="21"/>
          <w:highlight w:val="none"/>
        </w:rPr>
      </w:pPr>
      <w:bookmarkStart w:id="1185" w:name="_Toc532377385"/>
      <w:bookmarkStart w:id="1186" w:name="_Toc532375649"/>
      <w:r>
        <w:rPr>
          <w:rFonts w:hint="eastAsia"/>
          <w:color w:val="auto"/>
          <w:sz w:val="21"/>
          <w:szCs w:val="21"/>
          <w:highlight w:val="none"/>
        </w:rPr>
        <w:t>12.3 计量</w:t>
      </w:r>
      <w:bookmarkEnd w:id="1185"/>
      <w:bookmarkEnd w:id="1186"/>
    </w:p>
    <w:p>
      <w:pPr>
        <w:spacing w:line="360" w:lineRule="auto"/>
        <w:ind w:firstLine="420" w:firstLineChars="200"/>
        <w:jc w:val="left"/>
        <w:rPr>
          <w:rFonts w:ascii="宋体" w:hAnsi="宋体"/>
          <w:color w:val="auto"/>
          <w:szCs w:val="21"/>
          <w:highlight w:val="none"/>
        </w:rPr>
      </w:pPr>
      <w:bookmarkStart w:id="1187" w:name="_Hlk528928260"/>
      <w:r>
        <w:rPr>
          <w:rFonts w:hint="eastAsia" w:ascii="宋体" w:hAnsi="宋体"/>
          <w:color w:val="auto"/>
          <w:szCs w:val="21"/>
          <w:highlight w:val="none"/>
        </w:rPr>
        <w:t>12.3.1 计量原则</w:t>
      </w:r>
    </w:p>
    <w:p>
      <w:pPr>
        <w:tabs>
          <w:tab w:val="left" w:pos="1134"/>
        </w:tabs>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工程量按《房屋建筑与装饰工程工程量计算规范》（GB50854-2013）、《仿古建筑工程工程量计算规范》（GB50855-2013）、《通用安装工程工程量计算规范》（GB50856-2013）、《市政工程工程量计算规范》（GB50857-2013）、《园林绿化工程工程量计算规范》（GB50858-2013）、《矿山工程工程量计算规范》（GB50859-2013）、《构筑物工程工程量计算规范》（GB50860-2013）、《城市轨道交通工程工程量计算规范》（GB50861-2013）和《爆破工程工程量计算规范》（GB50862-2013）《重庆市建设工程工程量清单计价规则》（CQJJGZ-2013）、《重庆市建设工程工程量计算规则》（CQJLGZ-2013）等规定的计算规则及已标价工程量清单规定的工程量计算规则计量。</w:t>
      </w:r>
    </w:p>
    <w:bookmarkEnd w:id="1187"/>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12.3.2 计量周期</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关于计量周期的约定：</w:t>
      </w:r>
      <w:r>
        <w:rPr>
          <w:rFonts w:hint="eastAsia" w:ascii="宋体" w:hAnsi="宋体"/>
          <w:color w:val="auto"/>
          <w:szCs w:val="21"/>
          <w:highlight w:val="none"/>
          <w:u w:val="single"/>
        </w:rPr>
        <w:t>按月计量根据具体项目实际情况可以按月、按进度、按节点等形式计量，按进度、按节点计量的参考按月计量原则执行）</w:t>
      </w:r>
      <w:r>
        <w:rPr>
          <w:rFonts w:hint="eastAsia" w:ascii="宋体" w:hAnsi="宋体"/>
          <w:color w:val="auto"/>
          <w:szCs w:val="21"/>
          <w:highlight w:val="none"/>
        </w:rPr>
        <w:t>。</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12.3.3 单价合同的计量</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关于单价合同计量的约定：</w:t>
      </w:r>
    </w:p>
    <w:p>
      <w:pPr>
        <w:spacing w:line="360" w:lineRule="auto"/>
        <w:ind w:firstLine="420" w:firstLineChars="200"/>
        <w:jc w:val="left"/>
        <w:rPr>
          <w:rFonts w:ascii="宋体" w:hAnsi="宋体"/>
          <w:color w:val="auto"/>
          <w:szCs w:val="21"/>
          <w:highlight w:val="none"/>
          <w:u w:val="single"/>
        </w:rPr>
      </w:pPr>
      <w:bookmarkStart w:id="1188" w:name="_Hlk528926162"/>
      <w:r>
        <w:rPr>
          <w:rFonts w:hint="eastAsia" w:ascii="宋体" w:hAnsi="宋体"/>
          <w:color w:val="auto"/>
          <w:szCs w:val="21"/>
          <w:highlight w:val="none"/>
          <w:u w:val="single"/>
        </w:rPr>
        <w:t>（1）承包人应于当月  日前向监理人报送上月已完成的工程量，并附进度付款申请单、已完成工程量报表和其他有关资料</w:t>
      </w:r>
      <w:r>
        <w:rPr>
          <w:rFonts w:hint="eastAsia" w:ascii="宋体" w:hAnsi="宋体"/>
          <w:color w:val="auto"/>
          <w:szCs w:val="21"/>
          <w:highlight w:val="none"/>
        </w:rPr>
        <w:t>。</w:t>
      </w:r>
    </w:p>
    <w:bookmarkEnd w:id="1188"/>
    <w:p>
      <w:pPr>
        <w:spacing w:line="360" w:lineRule="auto"/>
        <w:ind w:firstLine="420" w:firstLineChars="200"/>
        <w:jc w:val="left"/>
        <w:rPr>
          <w:rFonts w:ascii="宋体" w:hAnsi="宋体"/>
          <w:color w:val="auto"/>
          <w:szCs w:val="21"/>
          <w:highlight w:val="none"/>
          <w:u w:val="single"/>
        </w:rPr>
      </w:pPr>
      <w:r>
        <w:rPr>
          <w:rFonts w:hint="eastAsia" w:ascii="宋体" w:hAnsi="宋体"/>
          <w:color w:val="auto"/>
          <w:szCs w:val="21"/>
          <w:highlight w:val="none"/>
          <w:u w:val="single"/>
        </w:rPr>
        <w:t>（2）承包人未在已标价的工程量清单中填入单价和（或）总价的子目，视为该子目的费用已包含合同工程的其他子目的单价或总价中，不再另行计量支付</w:t>
      </w:r>
      <w:r>
        <w:rPr>
          <w:rFonts w:hint="eastAsia" w:ascii="宋体" w:hAnsi="宋体"/>
          <w:color w:val="auto"/>
          <w:szCs w:val="21"/>
          <w:highlight w:val="none"/>
        </w:rPr>
        <w:t>。</w:t>
      </w:r>
    </w:p>
    <w:p>
      <w:pPr>
        <w:spacing w:line="360" w:lineRule="auto"/>
        <w:ind w:firstLine="420" w:firstLineChars="200"/>
        <w:jc w:val="left"/>
        <w:rPr>
          <w:rFonts w:ascii="宋体" w:hAnsi="宋体"/>
          <w:color w:val="auto"/>
          <w:szCs w:val="21"/>
          <w:highlight w:val="none"/>
          <w:u w:val="single"/>
        </w:rPr>
      </w:pPr>
      <w:r>
        <w:rPr>
          <w:rFonts w:hint="eastAsia" w:ascii="宋体" w:hAnsi="宋体"/>
          <w:color w:val="auto"/>
          <w:szCs w:val="21"/>
          <w:highlight w:val="none"/>
          <w:u w:val="single"/>
        </w:rPr>
        <w:t>（3）监理人应在收到承包人提交的工程量报表后7天内完成对承包人提交的工程量报表的审核并报送发包人；发包人收到监理人报送资料后7天内完成审批，以确定当月实际完成的工程量。监理人、跟审单位、发包人任一方对工程量有异议的，均有权要求承包人进行共同复核或抽样复测。承包人应协助监理人、跟审单位进行复核或抽样复测，并按监理人要求提供补充计量资料。承包人未按监理人要求参加复核或抽样复测的，监理人复核或修正的工程量视为承包人实际完成的工程量</w:t>
      </w:r>
      <w:r>
        <w:rPr>
          <w:rFonts w:hint="eastAsia" w:ascii="宋体" w:hAnsi="宋体"/>
          <w:color w:val="auto"/>
          <w:szCs w:val="21"/>
          <w:highlight w:val="none"/>
        </w:rPr>
        <w:t>。</w:t>
      </w:r>
    </w:p>
    <w:p>
      <w:pPr>
        <w:spacing w:line="360" w:lineRule="auto"/>
        <w:ind w:firstLine="420" w:firstLineChars="200"/>
        <w:jc w:val="left"/>
        <w:rPr>
          <w:rFonts w:ascii="宋体" w:hAnsi="宋体"/>
          <w:color w:val="auto"/>
          <w:szCs w:val="21"/>
          <w:highlight w:val="none"/>
          <w:u w:val="single"/>
        </w:rPr>
      </w:pPr>
      <w:r>
        <w:rPr>
          <w:rFonts w:hint="eastAsia" w:ascii="宋体" w:hAnsi="宋体"/>
          <w:color w:val="auto"/>
          <w:szCs w:val="21"/>
          <w:highlight w:val="none"/>
          <w:u w:val="single"/>
        </w:rPr>
        <w:t>（4）工程量的计量仅作为进度付款和工程施工进度控制的依据，不应认为是承包人履行合同义务完成工程的实际和准确的工程量，实际和准确工程量按竣工图和第12.3.1项〔计量原则〕约定确认的工程量为准</w:t>
      </w:r>
      <w:r>
        <w:rPr>
          <w:rFonts w:hint="eastAsia" w:ascii="宋体" w:hAnsi="宋体"/>
          <w:color w:val="auto"/>
          <w:szCs w:val="21"/>
          <w:highlight w:val="none"/>
        </w:rPr>
        <w:t>。</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12.3.4 总价合同的计量</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关于总价合同计量的约定：</w:t>
      </w:r>
      <w:r>
        <w:rPr>
          <w:rFonts w:hint="eastAsia" w:ascii="宋体" w:hAnsi="宋体"/>
          <w:color w:val="auto"/>
          <w:szCs w:val="21"/>
          <w:highlight w:val="none"/>
          <w:u w:val="single"/>
        </w:rPr>
        <w:t>按形象进度比例支付</w:t>
      </w:r>
      <w:r>
        <w:rPr>
          <w:rFonts w:hint="eastAsia" w:ascii="宋体" w:hAnsi="宋体"/>
          <w:color w:val="auto"/>
          <w:szCs w:val="21"/>
          <w:highlight w:val="none"/>
        </w:rPr>
        <w:t>。</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12.3.5总价合同采用支付分解表计量支付的，是否适用第12.3.4项〔总价合同的计量〕约定进行计量：</w:t>
      </w:r>
      <w:r>
        <w:rPr>
          <w:rFonts w:hint="eastAsia" w:ascii="宋体" w:hAnsi="宋体"/>
          <w:color w:val="auto"/>
          <w:szCs w:val="21"/>
          <w:highlight w:val="none"/>
          <w:u w:val="single"/>
        </w:rPr>
        <w:t>适用</w:t>
      </w:r>
      <w:r>
        <w:rPr>
          <w:rFonts w:hint="eastAsia" w:ascii="宋体" w:hAnsi="宋体"/>
          <w:color w:val="auto"/>
          <w:szCs w:val="21"/>
          <w:highlight w:val="none"/>
        </w:rPr>
        <w:t>。</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12.3.6 其他价格形式合同的计量</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其他价格形式的计量方式和程序：</w:t>
      </w:r>
      <w:r>
        <w:rPr>
          <w:rFonts w:hint="eastAsia" w:ascii="宋体" w:hAnsi="宋体"/>
          <w:color w:val="auto"/>
          <w:szCs w:val="21"/>
          <w:highlight w:val="none"/>
          <w:u w:val="single"/>
        </w:rPr>
        <w:t>不采用</w:t>
      </w:r>
      <w:r>
        <w:rPr>
          <w:rFonts w:hint="eastAsia" w:ascii="宋体" w:hAnsi="宋体"/>
          <w:color w:val="auto"/>
          <w:szCs w:val="21"/>
          <w:highlight w:val="none"/>
        </w:rPr>
        <w:t>。</w:t>
      </w:r>
    </w:p>
    <w:p>
      <w:pPr>
        <w:pStyle w:val="6"/>
        <w:spacing w:before="0" w:beforeAutospacing="0" w:after="0" w:afterAutospacing="0" w:line="360" w:lineRule="auto"/>
        <w:ind w:firstLine="422" w:firstLineChars="200"/>
        <w:rPr>
          <w:color w:val="auto"/>
          <w:sz w:val="21"/>
          <w:szCs w:val="21"/>
          <w:highlight w:val="none"/>
        </w:rPr>
      </w:pPr>
      <w:bookmarkStart w:id="1189" w:name="_Toc532377386"/>
      <w:bookmarkStart w:id="1190" w:name="_Toc532375650"/>
      <w:bookmarkStart w:id="1191" w:name="_Hlk528928289"/>
      <w:r>
        <w:rPr>
          <w:rFonts w:hint="eastAsia"/>
          <w:color w:val="auto"/>
          <w:sz w:val="21"/>
          <w:szCs w:val="21"/>
          <w:highlight w:val="none"/>
        </w:rPr>
        <w:t>12.4 工程进度款支付</w:t>
      </w:r>
      <w:bookmarkEnd w:id="1189"/>
      <w:bookmarkEnd w:id="1190"/>
    </w:p>
    <w:bookmarkEnd w:id="1191"/>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12.4.1 付款周期</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关于付款周期的约定：</w:t>
      </w:r>
      <w:r>
        <w:rPr>
          <w:rFonts w:hint="eastAsia" w:ascii="宋体" w:hAnsi="宋体"/>
          <w:color w:val="auto"/>
          <w:szCs w:val="21"/>
          <w:highlight w:val="none"/>
          <w:u w:val="single"/>
        </w:rPr>
        <w:t>按月计量支付进度款（按进度、按节点计量支付进度款的参考按月计量支付进度款原则执行）</w:t>
      </w:r>
      <w:r>
        <w:rPr>
          <w:rFonts w:hint="eastAsia" w:ascii="宋体" w:hAnsi="宋体"/>
          <w:color w:val="auto"/>
          <w:szCs w:val="21"/>
          <w:highlight w:val="none"/>
        </w:rPr>
        <w:t>。</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12.4.2 进度付款申请单的编制</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进度付款申请单应包括下列内容：</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u w:val="single"/>
        </w:rPr>
        <w:t>（1）截至本次付款周期已完成工作对应的金额</w:t>
      </w:r>
      <w:r>
        <w:rPr>
          <w:rFonts w:hint="eastAsia" w:ascii="宋体" w:hAnsi="宋体"/>
          <w:color w:val="auto"/>
          <w:szCs w:val="21"/>
          <w:highlight w:val="none"/>
        </w:rPr>
        <w:t>；</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u w:val="single"/>
        </w:rPr>
        <w:t>（2）根据第10条〔变更〕应增加和扣减的已审定变更金额</w:t>
      </w:r>
      <w:r>
        <w:rPr>
          <w:rFonts w:hint="eastAsia" w:ascii="宋体" w:hAnsi="宋体"/>
          <w:color w:val="auto"/>
          <w:szCs w:val="21"/>
          <w:highlight w:val="none"/>
        </w:rPr>
        <w:t>；</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u w:val="single"/>
        </w:rPr>
        <w:t>（3）根据第12.2款〔预付款〕约定应支付的预付款和扣减的返还预付款</w:t>
      </w:r>
      <w:r>
        <w:rPr>
          <w:rFonts w:hint="eastAsia" w:ascii="宋体" w:hAnsi="宋体"/>
          <w:color w:val="auto"/>
          <w:szCs w:val="21"/>
          <w:highlight w:val="none"/>
        </w:rPr>
        <w:t>；</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u w:val="single"/>
        </w:rPr>
        <w:t>（4）根据第15.3款〔质量保证金〕约定应扣减的质量保证金</w:t>
      </w:r>
      <w:r>
        <w:rPr>
          <w:rFonts w:hint="eastAsia" w:ascii="宋体" w:hAnsi="宋体"/>
          <w:color w:val="auto"/>
          <w:szCs w:val="21"/>
          <w:highlight w:val="none"/>
        </w:rPr>
        <w:t>；</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u w:val="single"/>
        </w:rPr>
        <w:t>（5）根据第19条〔索赔〕应增加和扣减的已审定索赔金额</w:t>
      </w:r>
      <w:r>
        <w:rPr>
          <w:rFonts w:hint="eastAsia" w:ascii="宋体" w:hAnsi="宋体"/>
          <w:color w:val="auto"/>
          <w:szCs w:val="21"/>
          <w:highlight w:val="none"/>
        </w:rPr>
        <w:t>；</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u w:val="single"/>
        </w:rPr>
        <w:t>（6）根据第11条〔价格调整〕应增加和扣减的价格调整金额</w:t>
      </w:r>
      <w:r>
        <w:rPr>
          <w:rFonts w:hint="eastAsia" w:ascii="宋体" w:hAnsi="宋体"/>
          <w:color w:val="auto"/>
          <w:szCs w:val="21"/>
          <w:highlight w:val="none"/>
        </w:rPr>
        <w:t>；</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u w:val="single"/>
        </w:rPr>
        <w:t>（7）对已签发的进度款支付证书中出现错误的修正，应在本次进度付款中支付或扣除的金额</w:t>
      </w:r>
      <w:r>
        <w:rPr>
          <w:rFonts w:hint="eastAsia" w:ascii="宋体" w:hAnsi="宋体"/>
          <w:color w:val="auto"/>
          <w:szCs w:val="21"/>
          <w:highlight w:val="none"/>
        </w:rPr>
        <w:t>；</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u w:val="single"/>
        </w:rPr>
        <w:t>（8）根据合同约定承包人应向发包人支付的违约金</w:t>
      </w:r>
      <w:r>
        <w:rPr>
          <w:rFonts w:hint="eastAsia" w:ascii="宋体" w:hAnsi="宋体"/>
          <w:color w:val="auto"/>
          <w:szCs w:val="21"/>
          <w:highlight w:val="none"/>
        </w:rPr>
        <w:t>；</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u w:val="single"/>
        </w:rPr>
        <w:t>（9）根据合同约定发包人应向承包人支付的违约金和（或）奖励</w:t>
      </w:r>
      <w:r>
        <w:rPr>
          <w:rFonts w:hint="eastAsia" w:ascii="宋体" w:hAnsi="宋体"/>
          <w:color w:val="auto"/>
          <w:szCs w:val="21"/>
          <w:highlight w:val="none"/>
        </w:rPr>
        <w:t>；</w:t>
      </w:r>
    </w:p>
    <w:p>
      <w:pPr>
        <w:spacing w:line="360" w:lineRule="auto"/>
        <w:ind w:firstLine="420" w:firstLineChars="200"/>
        <w:jc w:val="left"/>
        <w:rPr>
          <w:rFonts w:hint="eastAsia" w:ascii="宋体" w:hAnsi="宋体"/>
          <w:color w:val="auto"/>
          <w:szCs w:val="21"/>
          <w:highlight w:val="none"/>
        </w:rPr>
      </w:pPr>
      <w:r>
        <w:rPr>
          <w:rFonts w:hint="eastAsia" w:ascii="宋体" w:hAnsi="宋体"/>
          <w:color w:val="auto"/>
          <w:szCs w:val="21"/>
          <w:highlight w:val="none"/>
          <w:u w:val="single"/>
        </w:rPr>
        <w:t>（10）根据合同约定应增加和扣减的其他金额</w:t>
      </w:r>
      <w:r>
        <w:rPr>
          <w:rFonts w:hint="eastAsia" w:ascii="宋体" w:hAnsi="宋体"/>
          <w:color w:val="auto"/>
          <w:szCs w:val="21"/>
          <w:highlight w:val="none"/>
        </w:rPr>
        <w:t>；</w:t>
      </w:r>
    </w:p>
    <w:p>
      <w:pPr>
        <w:spacing w:line="360" w:lineRule="auto"/>
        <w:ind w:firstLine="420" w:firstLineChars="200"/>
        <w:jc w:val="left"/>
        <w:rPr>
          <w:rFonts w:ascii="宋体" w:hAnsi="宋体"/>
          <w:color w:val="auto"/>
          <w:szCs w:val="21"/>
          <w:highlight w:val="none"/>
          <w:u w:val="single"/>
        </w:rPr>
      </w:pPr>
      <w:r>
        <w:rPr>
          <w:rFonts w:hint="eastAsia" w:ascii="宋体" w:hAnsi="宋体"/>
          <w:color w:val="auto"/>
          <w:szCs w:val="21"/>
          <w:highlight w:val="none"/>
          <w:u w:val="single"/>
        </w:rPr>
        <w:t>（11）当月应支付的人工费（工资款）金额</w:t>
      </w:r>
      <w:r>
        <w:rPr>
          <w:rFonts w:hint="eastAsia" w:ascii="宋体" w:hAnsi="宋体"/>
          <w:color w:val="auto"/>
          <w:szCs w:val="21"/>
          <w:highlight w:val="none"/>
        </w:rPr>
        <w:t>。</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12.4.3 进度付款申请单的提交</w:t>
      </w:r>
    </w:p>
    <w:p>
      <w:pPr>
        <w:spacing w:line="360" w:lineRule="auto"/>
        <w:ind w:firstLine="420" w:firstLineChars="200"/>
        <w:jc w:val="left"/>
        <w:rPr>
          <w:rFonts w:ascii="宋体" w:hAnsi="宋体"/>
          <w:color w:val="auto"/>
          <w:szCs w:val="21"/>
          <w:highlight w:val="none"/>
          <w:u w:val="single"/>
        </w:rPr>
      </w:pPr>
      <w:r>
        <w:rPr>
          <w:rFonts w:hint="eastAsia" w:ascii="宋体" w:hAnsi="宋体"/>
          <w:color w:val="auto"/>
          <w:szCs w:val="21"/>
          <w:highlight w:val="none"/>
        </w:rPr>
        <w:t>（1）单价合同进度付款申请单提交的约定：</w:t>
      </w:r>
      <w:r>
        <w:rPr>
          <w:rFonts w:hint="eastAsia" w:ascii="宋体" w:hAnsi="宋体"/>
          <w:color w:val="auto"/>
          <w:szCs w:val="21"/>
          <w:highlight w:val="none"/>
          <w:u w:val="single"/>
        </w:rPr>
        <w:t>按照第12.3.3项〔单价合同的计量〕约定的时间按月向监理人提交，并附上已完成工程量报表、经审核的农民工工资发放的情况说明及有关资料。单价合同中的总价子目按工程形象进度分月计量后汇总列入当期进度付款申请单</w:t>
      </w:r>
      <w:r>
        <w:rPr>
          <w:rFonts w:hint="eastAsia" w:ascii="宋体" w:hAnsi="宋体"/>
          <w:color w:val="auto"/>
          <w:szCs w:val="21"/>
          <w:highlight w:val="none"/>
        </w:rPr>
        <w:t>。</w:t>
      </w:r>
    </w:p>
    <w:p>
      <w:pPr>
        <w:spacing w:line="360" w:lineRule="auto"/>
        <w:ind w:firstLine="420" w:firstLineChars="200"/>
        <w:jc w:val="left"/>
        <w:rPr>
          <w:rFonts w:ascii="宋体" w:hAnsi="宋体"/>
          <w:color w:val="auto"/>
          <w:szCs w:val="21"/>
          <w:highlight w:val="none"/>
          <w:u w:val="single"/>
        </w:rPr>
      </w:pPr>
      <w:r>
        <w:rPr>
          <w:rFonts w:hint="eastAsia" w:ascii="宋体" w:hAnsi="宋体"/>
          <w:color w:val="auto"/>
          <w:szCs w:val="21"/>
          <w:highlight w:val="none"/>
        </w:rPr>
        <w:t>（2）总价合同进度付款申请单提交的约定：</w:t>
      </w:r>
      <w:r>
        <w:rPr>
          <w:rFonts w:hint="eastAsia" w:ascii="宋体" w:hAnsi="宋体"/>
          <w:color w:val="auto"/>
          <w:szCs w:val="21"/>
          <w:highlight w:val="none"/>
          <w:u w:val="single"/>
        </w:rPr>
        <w:t>按照合同约定的形象进度的计量约定的时间向监理人提交，并附上已完成工程量报表、经审核的农民工工资发放的情况说明及有关资料</w:t>
      </w:r>
      <w:r>
        <w:rPr>
          <w:rFonts w:hint="eastAsia" w:ascii="宋体" w:hAnsi="宋体"/>
          <w:color w:val="auto"/>
          <w:szCs w:val="21"/>
          <w:highlight w:val="none"/>
        </w:rPr>
        <w:t>。</w:t>
      </w:r>
    </w:p>
    <w:p>
      <w:pPr>
        <w:spacing w:line="360" w:lineRule="auto"/>
        <w:ind w:firstLine="420" w:firstLineChars="200"/>
        <w:jc w:val="left"/>
        <w:rPr>
          <w:rFonts w:ascii="宋体" w:hAnsi="宋体"/>
          <w:color w:val="auto"/>
          <w:szCs w:val="21"/>
          <w:highlight w:val="none"/>
          <w:u w:val="single"/>
        </w:rPr>
      </w:pPr>
      <w:r>
        <w:rPr>
          <w:rFonts w:hint="eastAsia" w:ascii="宋体" w:hAnsi="宋体"/>
          <w:color w:val="auto"/>
          <w:szCs w:val="21"/>
          <w:highlight w:val="none"/>
        </w:rPr>
        <w:t>（3）其他价格形式合同进度付款申请单提交的约定：</w:t>
      </w:r>
      <w:r>
        <w:rPr>
          <w:rFonts w:hint="eastAsia" w:ascii="宋体" w:hAnsi="宋体"/>
          <w:color w:val="auto"/>
          <w:szCs w:val="21"/>
          <w:highlight w:val="none"/>
          <w:u w:val="single"/>
        </w:rPr>
        <w:t>不采用</w:t>
      </w:r>
      <w:r>
        <w:rPr>
          <w:rFonts w:hint="eastAsia" w:ascii="宋体" w:hAnsi="宋体"/>
          <w:color w:val="auto"/>
          <w:szCs w:val="21"/>
          <w:highlight w:val="none"/>
        </w:rPr>
        <w:t>。</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12.4.4 进度款审核和支付</w:t>
      </w:r>
    </w:p>
    <w:p>
      <w:pPr>
        <w:spacing w:line="360" w:lineRule="auto"/>
        <w:ind w:firstLine="420" w:firstLineChars="200"/>
        <w:jc w:val="left"/>
        <w:rPr>
          <w:rFonts w:ascii="宋体" w:hAnsi="宋体"/>
          <w:color w:val="auto"/>
          <w:szCs w:val="21"/>
          <w:highlight w:val="none"/>
          <w:u w:val="single"/>
        </w:rPr>
      </w:pPr>
      <w:r>
        <w:rPr>
          <w:rFonts w:hint="eastAsia" w:ascii="宋体" w:hAnsi="宋体"/>
          <w:color w:val="auto"/>
          <w:szCs w:val="21"/>
          <w:highlight w:val="none"/>
        </w:rPr>
        <w:t>（1）监理人审查并报送发包人的期限：</w:t>
      </w:r>
      <w:r>
        <w:rPr>
          <w:rFonts w:hint="eastAsia" w:ascii="宋体" w:hAnsi="宋体"/>
          <w:color w:val="auto"/>
          <w:szCs w:val="21"/>
          <w:highlight w:val="none"/>
          <w:u w:val="single"/>
        </w:rPr>
        <w:t>收到完整资料后7天内</w:t>
      </w:r>
      <w:r>
        <w:rPr>
          <w:rFonts w:hint="eastAsia" w:ascii="宋体" w:hAnsi="宋体"/>
          <w:color w:val="auto"/>
          <w:szCs w:val="21"/>
          <w:highlight w:val="none"/>
        </w:rPr>
        <w:t>。</w:t>
      </w:r>
    </w:p>
    <w:p>
      <w:pPr>
        <w:spacing w:line="360" w:lineRule="auto"/>
        <w:ind w:firstLine="420" w:firstLineChars="200"/>
        <w:jc w:val="left"/>
        <w:rPr>
          <w:rFonts w:ascii="宋体" w:hAnsi="宋体"/>
          <w:color w:val="auto"/>
          <w:szCs w:val="21"/>
          <w:highlight w:val="none"/>
          <w:u w:val="single"/>
        </w:rPr>
      </w:pPr>
      <w:r>
        <w:rPr>
          <w:rFonts w:hint="eastAsia" w:ascii="宋体" w:hAnsi="宋体"/>
          <w:color w:val="auto"/>
          <w:szCs w:val="21"/>
          <w:highlight w:val="none"/>
        </w:rPr>
        <w:t>发包人完成审批并签发进度款支付证书的期限：</w:t>
      </w:r>
      <w:r>
        <w:rPr>
          <w:rFonts w:hint="eastAsia" w:ascii="宋体" w:hAnsi="宋体"/>
          <w:color w:val="auto"/>
          <w:szCs w:val="21"/>
          <w:highlight w:val="none"/>
          <w:u w:val="single"/>
        </w:rPr>
        <w:t>发包人收到监理人报送资料后7天内完成审批并签发进度款支付证书</w:t>
      </w:r>
      <w:r>
        <w:rPr>
          <w:rFonts w:hint="eastAsia" w:ascii="宋体" w:hAnsi="宋体"/>
          <w:color w:val="auto"/>
          <w:szCs w:val="21"/>
          <w:highlight w:val="none"/>
        </w:rPr>
        <w:t>。</w:t>
      </w:r>
    </w:p>
    <w:p>
      <w:pPr>
        <w:spacing w:line="360" w:lineRule="auto"/>
        <w:ind w:firstLine="420" w:firstLineChars="200"/>
        <w:jc w:val="left"/>
        <w:rPr>
          <w:rFonts w:ascii="宋体" w:hAnsi="宋体"/>
          <w:color w:val="auto"/>
          <w:szCs w:val="21"/>
          <w:highlight w:val="none"/>
          <w:u w:val="single"/>
        </w:rPr>
      </w:pPr>
      <w:r>
        <w:rPr>
          <w:rFonts w:hint="eastAsia" w:ascii="宋体" w:hAnsi="宋体"/>
          <w:color w:val="auto"/>
          <w:szCs w:val="21"/>
          <w:highlight w:val="none"/>
          <w:u w:val="single"/>
        </w:rPr>
        <w:t>监理人、跟审单位和发包人中任一方对承包人的进度付款申请单有异议的，均有权要求承包人修正和提供补充资料，承包人应提交修正后的进度付款申请单。监理人应在收到承包人修正后的进度付款申请单及相关资料后7天内完成审查并报送发包人，发包人收到监理人报送资料后7天内完成审批并向承包人签发无异议部分的临时进度款支付证书。存在争议的部分，按照合同约定的争议解决的约定处理。</w:t>
      </w:r>
    </w:p>
    <w:p>
      <w:pPr>
        <w:spacing w:line="360" w:lineRule="auto"/>
        <w:ind w:firstLine="420" w:firstLineChars="200"/>
        <w:jc w:val="left"/>
        <w:rPr>
          <w:rFonts w:ascii="宋体" w:hAnsi="宋体"/>
          <w:color w:val="auto"/>
          <w:szCs w:val="21"/>
          <w:highlight w:val="none"/>
          <w:u w:val="single"/>
        </w:rPr>
      </w:pPr>
      <w:r>
        <w:rPr>
          <w:rFonts w:hint="eastAsia" w:ascii="宋体" w:hAnsi="宋体"/>
          <w:color w:val="auto"/>
          <w:szCs w:val="21"/>
          <w:highlight w:val="none"/>
          <w:u w:val="single"/>
        </w:rPr>
        <w:t>发包人签发进度款支付证书或临时进度款支付证书，不表明发包人已同意、批准或接受了承包人完成的相应部分的工作。</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（2）进度款支付：</w:t>
      </w:r>
    </w:p>
    <w:p>
      <w:pPr>
        <w:spacing w:line="360" w:lineRule="auto"/>
        <w:ind w:firstLine="420" w:firstLineChars="200"/>
        <w:jc w:val="left"/>
        <w:rPr>
          <w:rFonts w:ascii="宋体" w:hAnsi="宋体"/>
          <w:color w:val="auto"/>
          <w:szCs w:val="21"/>
          <w:highlight w:val="none"/>
          <w:u w:val="single"/>
        </w:rPr>
      </w:pPr>
      <w:r>
        <w:rPr>
          <w:rFonts w:hint="eastAsia" w:ascii="宋体" w:hAnsi="宋体"/>
          <w:color w:val="auto"/>
          <w:szCs w:val="21"/>
          <w:highlight w:val="none"/>
        </w:rPr>
        <w:t>①发包人将上月农民工工资支付凭证作为当月进度款支付的前置条件。</w:t>
      </w:r>
    </w:p>
    <w:p>
      <w:pPr>
        <w:spacing w:line="360" w:lineRule="auto"/>
        <w:ind w:firstLine="420" w:firstLineChars="200"/>
        <w:jc w:val="left"/>
        <w:rPr>
          <w:rFonts w:ascii="宋体" w:hAnsi="宋体"/>
          <w:color w:val="auto"/>
          <w:szCs w:val="21"/>
          <w:highlight w:val="none"/>
          <w:u w:val="single"/>
        </w:rPr>
      </w:pPr>
      <w:r>
        <w:rPr>
          <w:rFonts w:hint="eastAsia" w:ascii="宋体" w:hAnsi="宋体"/>
          <w:color w:val="auto"/>
          <w:szCs w:val="21"/>
          <w:highlight w:val="none"/>
        </w:rPr>
        <w:t>②安全文明施工费：</w:t>
      </w:r>
      <w:r>
        <w:rPr>
          <w:rFonts w:hint="eastAsia" w:ascii="宋体" w:hAnsi="宋体"/>
          <w:color w:val="auto"/>
          <w:szCs w:val="21"/>
          <w:highlight w:val="none"/>
          <w:u w:val="single"/>
        </w:rPr>
        <w:t>合同签订后，发包人在开工前按签约合同价中安全文明施工费的50％支付承包人，用于现场安全文明施工建设，余下安全文明施工费按施工进度支付</w:t>
      </w:r>
      <w:r>
        <w:rPr>
          <w:rFonts w:hint="eastAsia" w:ascii="宋体" w:hAnsi="宋体"/>
          <w:color w:val="auto"/>
          <w:szCs w:val="21"/>
          <w:highlight w:val="none"/>
        </w:rPr>
        <w:t>。</w:t>
      </w:r>
    </w:p>
    <w:p>
      <w:pPr>
        <w:spacing w:line="360" w:lineRule="auto"/>
        <w:ind w:firstLine="420" w:firstLineChars="200"/>
        <w:jc w:val="left"/>
        <w:rPr>
          <w:rFonts w:ascii="宋体" w:hAnsi="宋体"/>
          <w:color w:val="auto"/>
          <w:szCs w:val="21"/>
          <w:highlight w:val="none"/>
          <w:u w:val="single"/>
        </w:rPr>
      </w:pPr>
      <w:r>
        <w:rPr>
          <w:rFonts w:hint="eastAsia" w:ascii="宋体" w:hAnsi="宋体"/>
          <w:color w:val="auto"/>
          <w:szCs w:val="21"/>
          <w:highlight w:val="none"/>
        </w:rPr>
        <w:t>③分部分项工程费：</w:t>
      </w:r>
      <w:r>
        <w:rPr>
          <w:rFonts w:hint="eastAsia" w:ascii="宋体" w:hAnsi="宋体"/>
          <w:color w:val="auto"/>
          <w:szCs w:val="21"/>
          <w:highlight w:val="none"/>
          <w:u w:val="single"/>
        </w:rPr>
        <w:t>按承包人当期完成并经监理人、跟审单位和发包人审定的工程量乘以相应综合单价计算当期完成的分部分项工程费及相应的规费和税金。发包人在签发进度款支付证书或临时进度款支付证书的次月10日前按经监理人、跟审单位和发包人审定的当期完成的分部分项工程费及相应的规费和税金（不含人工费价差和材料费价差）的  %</w:t>
      </w:r>
      <w:r>
        <w:rPr>
          <w:rFonts w:hint="eastAsia" w:ascii="宋体" w:hAnsi="宋体"/>
          <w:color w:val="auto"/>
          <w:szCs w:val="21"/>
          <w:highlight w:val="none"/>
        </w:rPr>
        <w:t>（60%~90%）</w:t>
      </w:r>
      <w:r>
        <w:rPr>
          <w:rFonts w:hint="eastAsia" w:ascii="宋体" w:hAnsi="宋体"/>
          <w:color w:val="auto"/>
          <w:szCs w:val="21"/>
          <w:highlight w:val="none"/>
          <w:u w:val="single"/>
        </w:rPr>
        <w:t>支付承包人</w:t>
      </w:r>
      <w:r>
        <w:rPr>
          <w:rFonts w:hint="eastAsia" w:ascii="宋体" w:hAnsi="宋体"/>
          <w:color w:val="auto"/>
          <w:szCs w:val="21"/>
          <w:highlight w:val="none"/>
        </w:rPr>
        <w:t>。</w:t>
      </w:r>
    </w:p>
    <w:p>
      <w:pPr>
        <w:spacing w:line="360" w:lineRule="auto"/>
        <w:ind w:firstLine="420" w:firstLineChars="200"/>
        <w:jc w:val="left"/>
        <w:rPr>
          <w:rFonts w:ascii="宋体" w:hAnsi="宋体"/>
          <w:color w:val="auto"/>
          <w:szCs w:val="21"/>
          <w:highlight w:val="none"/>
          <w:u w:val="single"/>
        </w:rPr>
      </w:pPr>
      <w:r>
        <w:rPr>
          <w:rFonts w:hint="eastAsia" w:ascii="宋体" w:hAnsi="宋体"/>
          <w:color w:val="auto"/>
          <w:szCs w:val="21"/>
          <w:highlight w:val="none"/>
        </w:rPr>
        <w:t>④措施项目费：</w:t>
      </w:r>
      <w:r>
        <w:rPr>
          <w:rFonts w:hint="eastAsia" w:ascii="宋体" w:hAnsi="宋体"/>
          <w:color w:val="auto"/>
          <w:szCs w:val="21"/>
          <w:highlight w:val="none"/>
          <w:u w:val="single"/>
        </w:rPr>
        <w:t>按承包人当期完成并经监理人、跟审单位和发包人审定的分部分项工程量，乘以相应综合单价计算所得合计金额占签约合同价格中分部分项工程费合计金额的比例，并以签约合同价格中措施项目费为基数计算当期完成的措施项目费及相应的规费和税金。发包人在签发进度款支付证书或临时进度款支付证书的次月10日前按经监理人、跟审单位和发包人审定的当期完成的措施项目费及相应的规费和税金（不含人工费价差和材料费价差）的  %</w:t>
      </w:r>
      <w:r>
        <w:rPr>
          <w:rFonts w:hint="eastAsia" w:ascii="宋体" w:hAnsi="宋体"/>
          <w:color w:val="auto"/>
          <w:szCs w:val="21"/>
          <w:highlight w:val="none"/>
        </w:rPr>
        <w:t>（60%~90%）</w:t>
      </w:r>
      <w:r>
        <w:rPr>
          <w:rFonts w:hint="eastAsia" w:ascii="宋体" w:hAnsi="宋体"/>
          <w:color w:val="auto"/>
          <w:szCs w:val="21"/>
          <w:highlight w:val="none"/>
          <w:u w:val="single"/>
        </w:rPr>
        <w:t>支付承包人</w:t>
      </w:r>
      <w:r>
        <w:rPr>
          <w:rFonts w:hint="eastAsia" w:ascii="宋体" w:hAnsi="宋体"/>
          <w:color w:val="auto"/>
          <w:szCs w:val="21"/>
          <w:highlight w:val="none"/>
        </w:rPr>
        <w:t>。</w:t>
      </w:r>
    </w:p>
    <w:p>
      <w:pPr>
        <w:spacing w:line="360" w:lineRule="auto"/>
        <w:ind w:firstLine="420" w:firstLineChars="200"/>
        <w:jc w:val="left"/>
        <w:rPr>
          <w:rFonts w:ascii="宋体" w:hAnsi="宋体"/>
          <w:color w:val="auto"/>
          <w:szCs w:val="21"/>
          <w:highlight w:val="none"/>
          <w:u w:val="single"/>
        </w:rPr>
      </w:pPr>
      <w:r>
        <w:rPr>
          <w:rFonts w:hint="eastAsia" w:ascii="宋体" w:hAnsi="宋体"/>
          <w:color w:val="auto"/>
          <w:szCs w:val="21"/>
          <w:highlight w:val="none"/>
        </w:rPr>
        <w:fldChar w:fldCharType="begin"/>
      </w:r>
      <w:r>
        <w:rPr>
          <w:rFonts w:hint="eastAsia" w:ascii="宋体" w:hAnsi="宋体"/>
          <w:color w:val="auto"/>
          <w:szCs w:val="21"/>
          <w:highlight w:val="none"/>
        </w:rPr>
        <w:instrText xml:space="preserve"> = 5 \* GB3 </w:instrText>
      </w:r>
      <w:r>
        <w:rPr>
          <w:rFonts w:hint="eastAsia" w:ascii="宋体" w:hAnsi="宋体"/>
          <w:color w:val="auto"/>
          <w:szCs w:val="21"/>
          <w:highlight w:val="none"/>
        </w:rPr>
        <w:fldChar w:fldCharType="separate"/>
      </w:r>
      <w:r>
        <w:rPr>
          <w:rFonts w:hint="eastAsia" w:ascii="宋体" w:hAnsi="宋体"/>
          <w:color w:val="auto"/>
          <w:szCs w:val="21"/>
          <w:highlight w:val="none"/>
        </w:rPr>
        <w:t>⑤</w:t>
      </w:r>
      <w:r>
        <w:rPr>
          <w:rFonts w:hint="eastAsia" w:ascii="宋体" w:hAnsi="宋体"/>
          <w:color w:val="auto"/>
          <w:szCs w:val="21"/>
          <w:highlight w:val="none"/>
        </w:rPr>
        <w:fldChar w:fldCharType="end"/>
      </w:r>
      <w:r>
        <w:rPr>
          <w:rFonts w:hint="eastAsia" w:ascii="宋体" w:hAnsi="宋体"/>
          <w:color w:val="auto"/>
          <w:szCs w:val="21"/>
          <w:highlight w:val="none"/>
        </w:rPr>
        <w:t>其他项目费：</w:t>
      </w:r>
      <w:r>
        <w:rPr>
          <w:rFonts w:hint="eastAsia" w:ascii="宋体" w:hAnsi="宋体"/>
          <w:color w:val="auto"/>
          <w:szCs w:val="21"/>
          <w:highlight w:val="none"/>
          <w:u w:val="single"/>
        </w:rPr>
        <w:t>按承包人当期完成并经监理人、跟审单位和发包人审定的工程量乘以相应综合单价计算当期完成的其他项目费及相应的规费和税金。发包人在签发进度款支付证书或临时进度款支付证书的次月10日前按经监理人、跟审单位和发包人审定的当期完成的其他项目费及相应的规费和税金的  %</w:t>
      </w:r>
      <w:r>
        <w:rPr>
          <w:rFonts w:hint="eastAsia" w:ascii="宋体" w:hAnsi="宋体"/>
          <w:color w:val="auto"/>
          <w:szCs w:val="21"/>
          <w:highlight w:val="none"/>
        </w:rPr>
        <w:t>（60%~90%）</w:t>
      </w:r>
      <w:r>
        <w:rPr>
          <w:rFonts w:hint="eastAsia" w:ascii="宋体" w:hAnsi="宋体"/>
          <w:color w:val="auto"/>
          <w:szCs w:val="21"/>
          <w:highlight w:val="none"/>
          <w:u w:val="single"/>
        </w:rPr>
        <w:t>支付承包人</w:t>
      </w:r>
      <w:r>
        <w:rPr>
          <w:rFonts w:hint="eastAsia" w:ascii="宋体" w:hAnsi="宋体"/>
          <w:color w:val="auto"/>
          <w:szCs w:val="21"/>
          <w:highlight w:val="none"/>
        </w:rPr>
        <w:t>。</w:t>
      </w:r>
    </w:p>
    <w:p>
      <w:pPr>
        <w:spacing w:line="360" w:lineRule="auto"/>
        <w:ind w:firstLine="420" w:firstLineChars="200"/>
        <w:jc w:val="left"/>
        <w:rPr>
          <w:rFonts w:hint="eastAsia" w:ascii="宋体" w:hAnsi="宋体"/>
          <w:color w:val="auto"/>
          <w:szCs w:val="21"/>
          <w:highlight w:val="none"/>
          <w:u w:val="single"/>
        </w:rPr>
      </w:pPr>
      <w:r>
        <w:rPr>
          <w:rFonts w:hint="eastAsia" w:ascii="宋体" w:hAnsi="宋体"/>
          <w:color w:val="auto"/>
          <w:szCs w:val="21"/>
          <w:highlight w:val="none"/>
          <w:u w:val="single"/>
        </w:rPr>
        <w:t>⑥人工费（工资款）：发包人在签发人工费（工资款）支付证书的次月10日前，按经监理人和发包人审定的当月完成的合同价款的   %（人工费数额大于当月完成的合同价款的25%时，按实际人工费数额拨付；若人工费数额小于当月完成的合同价款的25%时，按不小于当月完成的合同价款的25%拨付），支付至承包人。</w:t>
      </w:r>
    </w:p>
    <w:p>
      <w:pPr>
        <w:spacing w:line="360" w:lineRule="auto"/>
        <w:ind w:firstLine="420" w:firstLineChars="200"/>
        <w:jc w:val="left"/>
        <w:rPr>
          <w:rFonts w:ascii="宋体" w:hAnsi="宋体"/>
          <w:color w:val="auto"/>
          <w:szCs w:val="21"/>
          <w:highlight w:val="none"/>
          <w:u w:val="single"/>
        </w:rPr>
      </w:pPr>
      <w:r>
        <w:rPr>
          <w:rFonts w:hint="eastAsia" w:ascii="宋体" w:hAnsi="宋体"/>
          <w:color w:val="auto"/>
          <w:szCs w:val="21"/>
          <w:highlight w:val="none"/>
          <w:u w:val="single"/>
        </w:rPr>
        <w:t>⑦人工、材料价差按  %</w:t>
      </w:r>
      <w:r>
        <w:rPr>
          <w:rFonts w:hint="eastAsia" w:ascii="宋体" w:hAnsi="宋体"/>
          <w:color w:val="auto"/>
          <w:szCs w:val="21"/>
          <w:highlight w:val="none"/>
        </w:rPr>
        <w:t>（不低于80%）</w:t>
      </w:r>
      <w:r>
        <w:rPr>
          <w:rFonts w:hint="eastAsia" w:ascii="宋体" w:hAnsi="宋体"/>
          <w:color w:val="auto"/>
          <w:szCs w:val="21"/>
          <w:highlight w:val="none"/>
          <w:u w:val="single"/>
        </w:rPr>
        <w:t>纳入当期进度支付，价差调整方式按11条约定执行</w:t>
      </w:r>
      <w:r>
        <w:rPr>
          <w:rFonts w:hint="eastAsia" w:ascii="宋体" w:hAnsi="宋体"/>
          <w:color w:val="auto"/>
          <w:szCs w:val="21"/>
          <w:highlight w:val="none"/>
        </w:rPr>
        <w:t>。</w:t>
      </w:r>
    </w:p>
    <w:p>
      <w:pPr>
        <w:spacing w:line="360" w:lineRule="auto"/>
        <w:ind w:firstLine="420" w:firstLineChars="200"/>
        <w:jc w:val="left"/>
        <w:rPr>
          <w:rFonts w:ascii="宋体" w:hAnsi="宋体"/>
          <w:color w:val="auto"/>
          <w:szCs w:val="21"/>
          <w:highlight w:val="none"/>
          <w:u w:val="single"/>
        </w:rPr>
      </w:pPr>
      <w:r>
        <w:rPr>
          <w:rFonts w:hint="eastAsia" w:ascii="宋体" w:hAnsi="宋体"/>
          <w:color w:val="auto"/>
          <w:szCs w:val="21"/>
          <w:highlight w:val="none"/>
          <w:u w:val="single"/>
        </w:rPr>
        <w:t>⑧工程竣工验收合格后28天内，发包人向承包人支付至累计进度审定金额的  %</w:t>
      </w:r>
      <w:r>
        <w:rPr>
          <w:rFonts w:hint="eastAsia" w:ascii="宋体" w:hAnsi="宋体"/>
          <w:color w:val="auto"/>
          <w:szCs w:val="21"/>
          <w:highlight w:val="none"/>
        </w:rPr>
        <w:t>（不低于80%）</w:t>
      </w:r>
      <w:r>
        <w:rPr>
          <w:rFonts w:hint="eastAsia" w:ascii="宋体" w:hAnsi="宋体"/>
          <w:color w:val="auto"/>
          <w:szCs w:val="21"/>
          <w:highlight w:val="none"/>
          <w:u w:val="single"/>
        </w:rPr>
        <w:t>；移交完整的工程竣工资料后14天内，发包人向承包人支付至累计进度审定金额的  %</w:t>
      </w:r>
      <w:r>
        <w:rPr>
          <w:rFonts w:hint="eastAsia" w:ascii="宋体" w:hAnsi="宋体"/>
          <w:color w:val="auto"/>
          <w:szCs w:val="21"/>
          <w:highlight w:val="none"/>
        </w:rPr>
        <w:t>（不低于85%）</w:t>
      </w:r>
      <w:r>
        <w:rPr>
          <w:rFonts w:hint="eastAsia" w:ascii="宋体" w:hAnsi="宋体"/>
          <w:color w:val="auto"/>
          <w:szCs w:val="21"/>
          <w:highlight w:val="none"/>
          <w:u w:val="single"/>
        </w:rPr>
        <w:t>；完成结算审核后28天内，发包人向承包人支付至结算审定金额的</w:t>
      </w:r>
      <w:r>
        <w:rPr>
          <w:rFonts w:hint="eastAsia" w:ascii="宋体" w:hAnsi="宋体"/>
          <w:color w:val="auto"/>
          <w:szCs w:val="21"/>
          <w:highlight w:val="none"/>
        </w:rPr>
        <w:t>97%；</w:t>
      </w:r>
      <w:r>
        <w:rPr>
          <w:rFonts w:hint="eastAsia" w:ascii="宋体" w:hAnsi="宋体"/>
          <w:color w:val="auto"/>
          <w:szCs w:val="21"/>
          <w:highlight w:val="none"/>
          <w:u w:val="single"/>
        </w:rPr>
        <w:t>缺陷责任期满后28天内发包人向承包人支付剩余工程款</w:t>
      </w:r>
      <w:r>
        <w:rPr>
          <w:rFonts w:hint="eastAsia" w:ascii="宋体" w:hAnsi="宋体"/>
          <w:color w:val="auto"/>
          <w:szCs w:val="21"/>
          <w:highlight w:val="none"/>
        </w:rPr>
        <w:t>。</w:t>
      </w:r>
    </w:p>
    <w:p>
      <w:pPr>
        <w:pStyle w:val="6"/>
        <w:spacing w:before="0" w:beforeAutospacing="0" w:after="0" w:afterAutospacing="0" w:line="360" w:lineRule="auto"/>
        <w:ind w:firstLine="422" w:firstLineChars="200"/>
        <w:rPr>
          <w:color w:val="auto"/>
          <w:sz w:val="21"/>
          <w:szCs w:val="21"/>
          <w:highlight w:val="none"/>
        </w:rPr>
      </w:pPr>
      <w:bookmarkStart w:id="1192" w:name="_Toc351203585"/>
      <w:bookmarkStart w:id="1193" w:name="_Toc532377387"/>
      <w:r>
        <w:rPr>
          <w:rFonts w:hint="eastAsia"/>
          <w:color w:val="auto"/>
          <w:sz w:val="21"/>
          <w:szCs w:val="21"/>
          <w:highlight w:val="none"/>
        </w:rPr>
        <w:t>12.5支付账户</w:t>
      </w:r>
      <w:bookmarkEnd w:id="1192"/>
      <w:bookmarkEnd w:id="1193"/>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发包人应将合同价款支付至如下承包人指定的开户银行及银行账户：</w:t>
      </w:r>
    </w:p>
    <w:p>
      <w:pPr>
        <w:spacing w:line="360" w:lineRule="auto"/>
        <w:ind w:firstLine="420" w:firstLineChars="200"/>
        <w:jc w:val="left"/>
        <w:rPr>
          <w:rFonts w:ascii="宋体" w:hAnsi="宋体"/>
          <w:color w:val="auto"/>
          <w:kern w:val="0"/>
          <w:szCs w:val="21"/>
          <w:highlight w:val="none"/>
          <w:u w:val="single"/>
        </w:rPr>
      </w:pPr>
      <w:r>
        <w:rPr>
          <w:rFonts w:hint="eastAsia" w:ascii="宋体" w:hAnsi="宋体"/>
          <w:color w:val="auto"/>
          <w:kern w:val="0"/>
          <w:szCs w:val="21"/>
          <w:highlight w:val="none"/>
        </w:rPr>
        <w:t>收款单位名称：</w:t>
      </w:r>
      <w:r>
        <w:rPr>
          <w:rFonts w:ascii="宋体" w:hAnsi="宋体"/>
          <w:color w:val="auto"/>
          <w:kern w:val="0"/>
          <w:szCs w:val="21"/>
          <w:highlight w:val="none"/>
          <w:u w:val="single"/>
        </w:rPr>
        <w:t xml:space="preserve">                              </w:t>
      </w:r>
      <w:r>
        <w:rPr>
          <w:rFonts w:hint="eastAsia" w:ascii="宋体" w:hAnsi="宋体"/>
          <w:color w:val="auto"/>
          <w:kern w:val="0"/>
          <w:szCs w:val="21"/>
          <w:highlight w:val="none"/>
        </w:rPr>
        <w:t>；</w:t>
      </w:r>
    </w:p>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收款账号：</w:t>
      </w:r>
      <w:r>
        <w:rPr>
          <w:rFonts w:ascii="宋体" w:hAnsi="宋体"/>
          <w:color w:val="auto"/>
          <w:kern w:val="0"/>
          <w:szCs w:val="21"/>
          <w:highlight w:val="none"/>
          <w:u w:val="single"/>
        </w:rPr>
        <w:t xml:space="preserve">                                  </w:t>
      </w:r>
      <w:r>
        <w:rPr>
          <w:rFonts w:hint="eastAsia" w:ascii="宋体" w:hAnsi="宋体"/>
          <w:color w:val="auto"/>
          <w:kern w:val="0"/>
          <w:szCs w:val="21"/>
          <w:highlight w:val="none"/>
        </w:rPr>
        <w:t>；</w:t>
      </w:r>
    </w:p>
    <w:p>
      <w:pPr>
        <w:spacing w:line="360" w:lineRule="auto"/>
        <w:ind w:firstLine="420" w:firstLineChars="200"/>
        <w:jc w:val="left"/>
        <w:rPr>
          <w:rFonts w:hint="eastAsia" w:ascii="宋体" w:hAnsi="宋体"/>
          <w:color w:val="auto"/>
          <w:kern w:val="0"/>
          <w:szCs w:val="21"/>
          <w:highlight w:val="none"/>
        </w:rPr>
      </w:pPr>
      <w:r>
        <w:rPr>
          <w:rFonts w:hint="eastAsia" w:ascii="宋体" w:hAnsi="宋体"/>
          <w:color w:val="auto"/>
          <w:kern w:val="0"/>
          <w:szCs w:val="21"/>
          <w:highlight w:val="none"/>
        </w:rPr>
        <w:t>收款开户银行：</w:t>
      </w:r>
      <w:r>
        <w:rPr>
          <w:rFonts w:ascii="宋体" w:hAnsi="宋体"/>
          <w:color w:val="auto"/>
          <w:kern w:val="0"/>
          <w:szCs w:val="21"/>
          <w:highlight w:val="none"/>
          <w:u w:val="single"/>
        </w:rPr>
        <w:t xml:space="preserve">                              </w:t>
      </w:r>
      <w:r>
        <w:rPr>
          <w:rFonts w:hint="eastAsia" w:ascii="宋体" w:hAnsi="宋体"/>
          <w:color w:val="auto"/>
          <w:kern w:val="0"/>
          <w:szCs w:val="21"/>
          <w:highlight w:val="none"/>
        </w:rPr>
        <w:t>。</w:t>
      </w:r>
    </w:p>
    <w:p>
      <w:pPr>
        <w:spacing w:line="360" w:lineRule="auto"/>
        <w:ind w:firstLine="420" w:firstLineChars="200"/>
        <w:jc w:val="left"/>
        <w:rPr>
          <w:rFonts w:hint="eastAsia" w:ascii="宋体" w:hAnsi="宋体"/>
          <w:color w:val="auto"/>
          <w:kern w:val="0"/>
          <w:szCs w:val="21"/>
          <w:highlight w:val="none"/>
        </w:rPr>
      </w:pPr>
      <w:r>
        <w:rPr>
          <w:rFonts w:hint="eastAsia" w:ascii="宋体" w:hAnsi="宋体"/>
          <w:color w:val="auto"/>
          <w:kern w:val="0"/>
          <w:szCs w:val="21"/>
          <w:highlight w:val="none"/>
        </w:rPr>
        <w:t>发包人应将人工费（工资款）支付至如下承包人指定的农民工工资专用账户：</w:t>
      </w:r>
    </w:p>
    <w:p>
      <w:pPr>
        <w:spacing w:line="360" w:lineRule="auto"/>
        <w:ind w:firstLine="420" w:firstLineChars="200"/>
        <w:jc w:val="left"/>
        <w:rPr>
          <w:rFonts w:hint="eastAsia" w:ascii="宋体" w:hAnsi="宋体"/>
          <w:color w:val="auto"/>
          <w:kern w:val="0"/>
          <w:szCs w:val="21"/>
          <w:highlight w:val="none"/>
        </w:rPr>
      </w:pPr>
      <w:r>
        <w:rPr>
          <w:rFonts w:hint="eastAsia" w:ascii="宋体" w:hAnsi="宋体"/>
          <w:color w:val="auto"/>
          <w:kern w:val="0"/>
          <w:szCs w:val="21"/>
          <w:highlight w:val="none"/>
        </w:rPr>
        <w:t>开户银行：</w:t>
      </w:r>
      <w:r>
        <w:rPr>
          <w:rFonts w:hint="eastAsia" w:ascii="宋体" w:hAnsi="宋体"/>
          <w:color w:val="auto"/>
          <w:kern w:val="0"/>
          <w:szCs w:val="21"/>
          <w:highlight w:val="none"/>
          <w:u w:val="single"/>
        </w:rPr>
        <w:t xml:space="preserve">                              </w:t>
      </w:r>
      <w:r>
        <w:rPr>
          <w:rFonts w:hint="eastAsia" w:ascii="宋体" w:hAnsi="宋体"/>
          <w:color w:val="auto"/>
          <w:kern w:val="0"/>
          <w:szCs w:val="21"/>
          <w:highlight w:val="none"/>
        </w:rPr>
        <w:t>；</w:t>
      </w:r>
    </w:p>
    <w:p>
      <w:pPr>
        <w:spacing w:line="360" w:lineRule="auto"/>
        <w:ind w:firstLine="420" w:firstLineChars="200"/>
        <w:jc w:val="left"/>
        <w:rPr>
          <w:rFonts w:hint="eastAsia" w:ascii="宋体" w:hAnsi="宋体"/>
          <w:color w:val="auto"/>
          <w:kern w:val="0"/>
          <w:szCs w:val="21"/>
          <w:highlight w:val="none"/>
        </w:rPr>
      </w:pPr>
      <w:r>
        <w:rPr>
          <w:rFonts w:hint="eastAsia" w:ascii="宋体" w:hAnsi="宋体"/>
          <w:color w:val="auto"/>
          <w:kern w:val="0"/>
          <w:szCs w:val="21"/>
          <w:highlight w:val="none"/>
        </w:rPr>
        <w:t>农民工工资专用账户名称：</w:t>
      </w:r>
      <w:r>
        <w:rPr>
          <w:rFonts w:hint="eastAsia" w:ascii="宋体" w:hAnsi="宋体"/>
          <w:color w:val="auto"/>
          <w:kern w:val="0"/>
          <w:szCs w:val="21"/>
          <w:highlight w:val="none"/>
          <w:u w:val="single"/>
        </w:rPr>
        <w:t xml:space="preserve">                              </w:t>
      </w:r>
      <w:r>
        <w:rPr>
          <w:rFonts w:hint="eastAsia" w:ascii="宋体" w:hAnsi="宋体"/>
          <w:color w:val="auto"/>
          <w:kern w:val="0"/>
          <w:szCs w:val="21"/>
          <w:highlight w:val="none"/>
        </w:rPr>
        <w:t>；</w:t>
      </w:r>
    </w:p>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农民工工资专用账户账号：</w:t>
      </w:r>
      <w:r>
        <w:rPr>
          <w:rFonts w:hint="eastAsia" w:ascii="宋体" w:hAnsi="宋体"/>
          <w:color w:val="auto"/>
          <w:kern w:val="0"/>
          <w:szCs w:val="21"/>
          <w:highlight w:val="none"/>
          <w:u w:val="single"/>
        </w:rPr>
        <w:t xml:space="preserve">                              </w:t>
      </w:r>
      <w:r>
        <w:rPr>
          <w:rFonts w:hint="eastAsia" w:ascii="宋体" w:hAnsi="宋体"/>
          <w:color w:val="auto"/>
          <w:kern w:val="0"/>
          <w:szCs w:val="21"/>
          <w:highlight w:val="none"/>
        </w:rPr>
        <w:t>。</w:t>
      </w:r>
    </w:p>
    <w:p>
      <w:pPr>
        <w:pStyle w:val="5"/>
        <w:keepNext/>
        <w:keepLines/>
        <w:spacing w:before="156" w:beforeLines="50" w:beforeAutospacing="0" w:after="156" w:afterLines="50" w:afterAutospacing="0" w:line="360" w:lineRule="auto"/>
        <w:jc w:val="both"/>
        <w:rPr>
          <w:bCs w:val="0"/>
          <w:color w:val="auto"/>
          <w:kern w:val="2"/>
          <w:sz w:val="21"/>
          <w:szCs w:val="21"/>
          <w:highlight w:val="none"/>
        </w:rPr>
      </w:pPr>
      <w:bookmarkStart w:id="1194" w:name="_Toc351203645"/>
      <w:bookmarkStart w:id="1195" w:name="_Toc532377388"/>
      <w:bookmarkStart w:id="1196" w:name="_Toc532375651"/>
      <w:bookmarkStart w:id="1197" w:name="_Toc312678053"/>
      <w:bookmarkStart w:id="1198" w:name="_Toc292559424"/>
      <w:bookmarkStart w:id="1199" w:name="_Toc296503219"/>
      <w:bookmarkStart w:id="1200" w:name="_Toc296346720"/>
      <w:bookmarkStart w:id="1201" w:name="_Toc297123564"/>
      <w:bookmarkStart w:id="1202" w:name="_Toc297120519"/>
      <w:bookmarkStart w:id="1203" w:name="_Toc300935015"/>
      <w:bookmarkStart w:id="1204" w:name="_Toc296944558"/>
      <w:bookmarkStart w:id="1205" w:name="_Toc304295593"/>
      <w:bookmarkStart w:id="1206" w:name="_Toc292559929"/>
      <w:bookmarkStart w:id="1207" w:name="_Toc296891047"/>
      <w:bookmarkStart w:id="1208" w:name="_Toc303539172"/>
      <w:bookmarkStart w:id="1209" w:name="_Toc296347218"/>
      <w:bookmarkStart w:id="1210" w:name="_Toc296891259"/>
      <w:bookmarkStart w:id="1211" w:name="_Toc297048405"/>
      <w:bookmarkStart w:id="1212" w:name="_Toc297216223"/>
      <w:r>
        <w:rPr>
          <w:rFonts w:hint="eastAsia"/>
          <w:color w:val="auto"/>
          <w:kern w:val="2"/>
          <w:sz w:val="21"/>
          <w:szCs w:val="21"/>
          <w:highlight w:val="none"/>
        </w:rPr>
        <w:t>13. 验收和工程试车</w:t>
      </w:r>
      <w:bookmarkEnd w:id="1194"/>
      <w:bookmarkEnd w:id="1195"/>
      <w:bookmarkEnd w:id="1196"/>
    </w:p>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p>
      <w:pPr>
        <w:pStyle w:val="6"/>
        <w:spacing w:before="0" w:beforeAutospacing="0" w:after="0" w:afterAutospacing="0" w:line="360" w:lineRule="auto"/>
        <w:ind w:firstLine="422" w:firstLineChars="200"/>
        <w:rPr>
          <w:color w:val="auto"/>
          <w:sz w:val="21"/>
          <w:szCs w:val="21"/>
          <w:highlight w:val="none"/>
        </w:rPr>
      </w:pPr>
      <w:bookmarkStart w:id="1213" w:name="_Toc532375652"/>
      <w:bookmarkStart w:id="1214" w:name="_Toc532377389"/>
      <w:bookmarkStart w:id="1215" w:name="_Toc280868704"/>
      <w:bookmarkStart w:id="1216" w:name="_Toc280868705"/>
      <w:bookmarkStart w:id="1217" w:name="_Toc280868706"/>
      <w:bookmarkStart w:id="1218" w:name="_Toc280868707"/>
      <w:bookmarkStart w:id="1219" w:name="_Toc280868708"/>
      <w:bookmarkStart w:id="1220" w:name="_Toc267251476"/>
      <w:bookmarkStart w:id="1221" w:name="_Toc267251475"/>
      <w:bookmarkStart w:id="1222" w:name="_Toc267251474"/>
      <w:bookmarkStart w:id="1223" w:name="_Toc267251473"/>
      <w:bookmarkStart w:id="1224" w:name="_Toc267251472"/>
      <w:bookmarkStart w:id="1225" w:name="_Toc280868709"/>
      <w:bookmarkStart w:id="1226" w:name="_Toc267251470"/>
      <w:bookmarkStart w:id="1227" w:name="_Toc267251471"/>
      <w:r>
        <w:rPr>
          <w:rFonts w:hint="eastAsia"/>
          <w:color w:val="auto"/>
          <w:sz w:val="21"/>
          <w:szCs w:val="21"/>
          <w:highlight w:val="none"/>
        </w:rPr>
        <w:t>13.1 分部分项工程验收</w:t>
      </w:r>
      <w:bookmarkEnd w:id="1213"/>
      <w:bookmarkEnd w:id="1214"/>
    </w:p>
    <w:p>
      <w:pPr>
        <w:spacing w:line="360" w:lineRule="auto"/>
        <w:ind w:right="105" w:rightChars="50" w:firstLine="420" w:firstLineChars="200"/>
        <w:jc w:val="left"/>
        <w:rPr>
          <w:rFonts w:ascii="宋体" w:hAnsi="宋体"/>
          <w:color w:val="auto"/>
          <w:szCs w:val="21"/>
          <w:highlight w:val="none"/>
        </w:rPr>
      </w:pPr>
      <w:r>
        <w:rPr>
          <w:rFonts w:hint="eastAsia" w:ascii="宋体" w:hAnsi="宋体"/>
          <w:color w:val="auto"/>
          <w:szCs w:val="21"/>
          <w:highlight w:val="none"/>
        </w:rPr>
        <w:t>13.1.2 监理人不能按时进行验收时，应提前</w:t>
      </w:r>
      <w:r>
        <w:rPr>
          <w:rFonts w:hint="eastAsia" w:ascii="宋体" w:hAnsi="宋体"/>
          <w:color w:val="auto"/>
          <w:szCs w:val="21"/>
          <w:highlight w:val="none"/>
          <w:u w:val="single"/>
        </w:rPr>
        <w:t>24</w:t>
      </w:r>
      <w:r>
        <w:rPr>
          <w:rFonts w:hint="eastAsia" w:ascii="宋体" w:hAnsi="宋体"/>
          <w:color w:val="auto"/>
          <w:szCs w:val="21"/>
          <w:highlight w:val="none"/>
        </w:rPr>
        <w:t>小时提交书面延期要求。</w:t>
      </w:r>
    </w:p>
    <w:p>
      <w:pPr>
        <w:spacing w:line="360" w:lineRule="auto"/>
        <w:ind w:right="105" w:rightChars="50" w:firstLine="420" w:firstLineChars="200"/>
        <w:jc w:val="left"/>
        <w:rPr>
          <w:rFonts w:ascii="宋体" w:hAnsi="宋体"/>
          <w:color w:val="auto"/>
          <w:szCs w:val="21"/>
          <w:highlight w:val="none"/>
        </w:rPr>
      </w:pPr>
      <w:r>
        <w:rPr>
          <w:rFonts w:hint="eastAsia" w:ascii="宋体" w:hAnsi="宋体"/>
          <w:color w:val="auto"/>
          <w:szCs w:val="21"/>
          <w:highlight w:val="none"/>
        </w:rPr>
        <w:t>关于延期最长不得超过：</w:t>
      </w:r>
      <w:r>
        <w:rPr>
          <w:rFonts w:hint="eastAsia" w:ascii="宋体" w:hAnsi="宋体"/>
          <w:color w:val="auto"/>
          <w:szCs w:val="21"/>
          <w:highlight w:val="none"/>
          <w:u w:val="single"/>
        </w:rPr>
        <w:t>48</w:t>
      </w:r>
      <w:r>
        <w:rPr>
          <w:rFonts w:hint="eastAsia" w:ascii="宋体" w:hAnsi="宋体"/>
          <w:color w:val="auto"/>
          <w:szCs w:val="21"/>
          <w:highlight w:val="none"/>
        </w:rPr>
        <w:t>小时。</w:t>
      </w:r>
    </w:p>
    <w:p>
      <w:pPr>
        <w:pStyle w:val="6"/>
        <w:spacing w:before="0" w:beforeAutospacing="0" w:after="0" w:afterAutospacing="0" w:line="360" w:lineRule="auto"/>
        <w:ind w:firstLine="422" w:firstLineChars="200"/>
        <w:rPr>
          <w:color w:val="auto"/>
          <w:sz w:val="21"/>
          <w:szCs w:val="21"/>
          <w:highlight w:val="none"/>
        </w:rPr>
      </w:pPr>
      <w:bookmarkStart w:id="1228" w:name="_Toc532377390"/>
      <w:bookmarkStart w:id="1229" w:name="_Toc532375653"/>
      <w:bookmarkStart w:id="1230" w:name="_Toc296891051"/>
      <w:bookmarkStart w:id="1231" w:name="_Toc296346724"/>
      <w:bookmarkStart w:id="1232" w:name="_Toc296944562"/>
      <w:bookmarkStart w:id="1233" w:name="_Toc297048409"/>
      <w:bookmarkStart w:id="1234" w:name="_Toc296503223"/>
      <w:bookmarkStart w:id="1235" w:name="_Toc312678056"/>
      <w:bookmarkStart w:id="1236" w:name="_Toc292559933"/>
      <w:bookmarkStart w:id="1237" w:name="_Toc297120523"/>
      <w:bookmarkStart w:id="1238" w:name="_Toc297123565"/>
      <w:bookmarkStart w:id="1239" w:name="_Toc303539173"/>
      <w:bookmarkStart w:id="1240" w:name="_Toc304295596"/>
      <w:bookmarkStart w:id="1241" w:name="_Toc297216224"/>
      <w:bookmarkStart w:id="1242" w:name="_Toc300935016"/>
      <w:bookmarkStart w:id="1243" w:name="_Toc292559428"/>
      <w:bookmarkStart w:id="1244" w:name="_Toc296891263"/>
      <w:bookmarkStart w:id="1245" w:name="_Toc296347222"/>
      <w:r>
        <w:rPr>
          <w:rFonts w:hint="eastAsia"/>
          <w:color w:val="auto"/>
          <w:sz w:val="21"/>
          <w:szCs w:val="21"/>
          <w:highlight w:val="none"/>
        </w:rPr>
        <w:t>13.2 竣工验收</w:t>
      </w:r>
      <w:bookmarkEnd w:id="1228"/>
      <w:bookmarkEnd w:id="1229"/>
    </w:p>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p>
      <w:pPr>
        <w:spacing w:line="360" w:lineRule="auto"/>
        <w:ind w:right="105" w:rightChars="50" w:firstLine="420" w:firstLineChars="200"/>
        <w:jc w:val="left"/>
        <w:rPr>
          <w:rFonts w:ascii="宋体" w:hAnsi="宋体"/>
          <w:color w:val="auto"/>
          <w:szCs w:val="21"/>
          <w:highlight w:val="none"/>
        </w:rPr>
      </w:pPr>
      <w:r>
        <w:rPr>
          <w:rFonts w:hint="eastAsia" w:ascii="宋体" w:hAnsi="宋体"/>
          <w:color w:val="auto"/>
          <w:szCs w:val="21"/>
          <w:highlight w:val="none"/>
        </w:rPr>
        <w:t>13.2.2竣工验收程序</w:t>
      </w:r>
    </w:p>
    <w:bookmarkEnd w:id="1215"/>
    <w:p>
      <w:pPr>
        <w:spacing w:line="360" w:lineRule="auto"/>
        <w:ind w:right="105" w:rightChars="50" w:firstLine="420" w:firstLineChars="200"/>
        <w:jc w:val="left"/>
        <w:rPr>
          <w:rFonts w:ascii="宋体" w:hAnsi="宋体"/>
          <w:color w:val="auto"/>
          <w:szCs w:val="21"/>
          <w:highlight w:val="none"/>
        </w:rPr>
      </w:pPr>
      <w:r>
        <w:rPr>
          <w:rFonts w:hint="eastAsia" w:ascii="宋体" w:hAnsi="宋体"/>
          <w:color w:val="auto"/>
          <w:szCs w:val="21"/>
          <w:highlight w:val="none"/>
        </w:rPr>
        <w:t>关于竣工验收程序的约定：工程完工且符合下列条件时，承包人可向发包人提供竣工报告，并要求验收：</w:t>
      </w:r>
    </w:p>
    <w:p>
      <w:pPr>
        <w:spacing w:line="360" w:lineRule="auto"/>
        <w:ind w:right="105" w:rightChars="50" w:firstLine="420" w:firstLineChars="200"/>
        <w:jc w:val="left"/>
        <w:rPr>
          <w:rFonts w:ascii="宋体" w:hAnsi="宋体"/>
          <w:color w:val="auto"/>
          <w:szCs w:val="21"/>
          <w:highlight w:val="none"/>
        </w:rPr>
      </w:pPr>
      <w:r>
        <w:rPr>
          <w:rFonts w:hint="eastAsia" w:ascii="宋体" w:hAnsi="宋体"/>
          <w:color w:val="auto"/>
          <w:szCs w:val="21"/>
          <w:highlight w:val="none"/>
        </w:rPr>
        <w:t>（1）除发包人同意的甩项工作和缺陷修补工作外，合同范围内的全部工程以及有关工作，包括合同要求的试验、试运行以及检验均已完成，并符合合同要求；</w:t>
      </w:r>
    </w:p>
    <w:p>
      <w:pPr>
        <w:spacing w:line="360" w:lineRule="auto"/>
        <w:ind w:right="105" w:rightChars="50" w:firstLine="420" w:firstLineChars="200"/>
        <w:jc w:val="left"/>
        <w:rPr>
          <w:rFonts w:ascii="宋体" w:hAnsi="宋体"/>
          <w:color w:val="auto"/>
          <w:szCs w:val="21"/>
          <w:highlight w:val="none"/>
        </w:rPr>
      </w:pPr>
      <w:r>
        <w:rPr>
          <w:rFonts w:hint="eastAsia" w:ascii="宋体" w:hAnsi="宋体"/>
          <w:color w:val="auto"/>
          <w:szCs w:val="21"/>
          <w:highlight w:val="none"/>
        </w:rPr>
        <w:t>（2）已按合同约定编制了甩项工作和缺陷修补工作清单以及相应的施工计划；</w:t>
      </w:r>
    </w:p>
    <w:p>
      <w:pPr>
        <w:spacing w:line="360" w:lineRule="auto"/>
        <w:ind w:right="105" w:rightChars="50" w:firstLine="420" w:firstLineChars="200"/>
        <w:jc w:val="left"/>
        <w:rPr>
          <w:rFonts w:ascii="宋体" w:hAnsi="宋体"/>
          <w:color w:val="auto"/>
          <w:szCs w:val="21"/>
          <w:highlight w:val="none"/>
        </w:rPr>
      </w:pPr>
      <w:r>
        <w:rPr>
          <w:rFonts w:hint="eastAsia" w:ascii="宋体" w:hAnsi="宋体"/>
          <w:color w:val="auto"/>
          <w:szCs w:val="21"/>
          <w:highlight w:val="none"/>
        </w:rPr>
        <w:t>（3）已按合同约定的内容和份数备齐竣工资料。</w:t>
      </w:r>
    </w:p>
    <w:p>
      <w:pPr>
        <w:spacing w:line="360" w:lineRule="auto"/>
        <w:ind w:right="105" w:rightChars="50" w:firstLine="420" w:firstLineChars="200"/>
        <w:jc w:val="left"/>
        <w:rPr>
          <w:rFonts w:ascii="宋体" w:hAnsi="宋体"/>
          <w:color w:val="auto"/>
          <w:szCs w:val="21"/>
          <w:highlight w:val="none"/>
        </w:rPr>
      </w:pPr>
      <w:r>
        <w:rPr>
          <w:rFonts w:hint="eastAsia" w:ascii="宋体" w:hAnsi="宋体"/>
          <w:color w:val="auto"/>
          <w:szCs w:val="21"/>
          <w:highlight w:val="none"/>
        </w:rPr>
        <w:t>（4）</w:t>
      </w:r>
      <w:r>
        <w:rPr>
          <w:rFonts w:hint="eastAsia" w:ascii="宋体" w:hAnsi="宋体"/>
          <w:color w:val="auto"/>
          <w:szCs w:val="21"/>
          <w:highlight w:val="none"/>
          <w:u w:val="single"/>
        </w:rPr>
        <w:t xml:space="preserve">        </w:t>
      </w:r>
      <w:r>
        <w:rPr>
          <w:rFonts w:hint="eastAsia" w:ascii="宋体" w:hAnsi="宋体"/>
          <w:color w:val="auto"/>
          <w:szCs w:val="21"/>
          <w:highlight w:val="none"/>
        </w:rPr>
        <w:t>。</w:t>
      </w:r>
    </w:p>
    <w:p>
      <w:pPr>
        <w:spacing w:line="360" w:lineRule="auto"/>
        <w:ind w:right="105" w:rightChars="50" w:firstLine="420" w:firstLineChars="200"/>
        <w:jc w:val="left"/>
        <w:rPr>
          <w:rFonts w:ascii="宋体" w:hAnsi="宋体"/>
          <w:color w:val="auto"/>
          <w:szCs w:val="21"/>
          <w:highlight w:val="none"/>
        </w:rPr>
      </w:pPr>
      <w:r>
        <w:rPr>
          <w:rFonts w:hint="eastAsia" w:ascii="宋体" w:hAnsi="宋体"/>
          <w:color w:val="auto"/>
          <w:szCs w:val="21"/>
          <w:highlight w:val="none"/>
        </w:rPr>
        <w:t>工程竣工及竣工资料：</w:t>
      </w:r>
    </w:p>
    <w:p>
      <w:pPr>
        <w:spacing w:line="360" w:lineRule="auto"/>
        <w:ind w:right="105" w:rightChars="50" w:firstLine="420" w:firstLineChars="200"/>
        <w:jc w:val="left"/>
        <w:rPr>
          <w:rFonts w:ascii="宋体" w:hAnsi="宋体"/>
          <w:color w:val="auto"/>
          <w:szCs w:val="21"/>
          <w:highlight w:val="none"/>
        </w:rPr>
      </w:pPr>
      <w:r>
        <w:rPr>
          <w:rFonts w:hint="eastAsia" w:ascii="宋体" w:hAnsi="宋体"/>
          <w:color w:val="auto"/>
          <w:szCs w:val="21"/>
          <w:highlight w:val="none"/>
          <w:u w:val="single"/>
        </w:rPr>
        <w:t>（1）发包人应在收到承包人竣工报告后14天内组织设计单位、监理单位、质监等其他部门进行验收，竣工日期以最后一次整改后通过竣工验收的时间为准</w:t>
      </w:r>
      <w:r>
        <w:rPr>
          <w:rFonts w:hint="eastAsia" w:ascii="宋体" w:hAnsi="宋体"/>
          <w:color w:val="auto"/>
          <w:szCs w:val="21"/>
          <w:highlight w:val="none"/>
        </w:rPr>
        <w:t>。</w:t>
      </w:r>
    </w:p>
    <w:p>
      <w:pPr>
        <w:spacing w:line="360" w:lineRule="auto"/>
        <w:ind w:right="105" w:rightChars="50" w:firstLine="420" w:firstLineChars="200"/>
        <w:jc w:val="left"/>
        <w:rPr>
          <w:rFonts w:ascii="宋体" w:hAnsi="宋体"/>
          <w:color w:val="auto"/>
          <w:szCs w:val="21"/>
          <w:highlight w:val="none"/>
        </w:rPr>
      </w:pPr>
      <w:r>
        <w:rPr>
          <w:rFonts w:hint="eastAsia" w:ascii="宋体" w:hAnsi="宋体"/>
          <w:color w:val="auto"/>
          <w:szCs w:val="21"/>
          <w:highlight w:val="none"/>
          <w:u w:val="single"/>
        </w:rPr>
        <w:t>（2）当工程具备竣工验收条件时，承包人应及时向发包人提交竣工报告及竣工资料、办理移交手续。否则发包人有权依据监理人出具的鉴定结论书，自行组织有关部门验收，并提出整改意见。承包人必须按要求整改，并承担整改费用；如承包人拒绝按发包人提出的要求整改，发包人有权请第三方整改，由此发生的整改费用从未付工程款中扣除，不足部分发包人有权向承包人追偿。当验收通过后具备交付使用条件时，承包人不得以任何借口拒绝移交工程，否则，发包人有权强行使用，由此发生的一切后果，由承包人负责</w:t>
      </w:r>
      <w:r>
        <w:rPr>
          <w:rFonts w:hint="eastAsia" w:ascii="宋体" w:hAnsi="宋体"/>
          <w:color w:val="auto"/>
          <w:szCs w:val="21"/>
          <w:highlight w:val="none"/>
        </w:rPr>
        <w:t>。</w:t>
      </w:r>
    </w:p>
    <w:p>
      <w:pPr>
        <w:spacing w:line="360" w:lineRule="auto"/>
        <w:ind w:right="105" w:rightChars="50" w:firstLine="420" w:firstLineChars="200"/>
        <w:jc w:val="left"/>
        <w:rPr>
          <w:rFonts w:ascii="宋体" w:hAnsi="宋体"/>
          <w:color w:val="auto"/>
          <w:szCs w:val="21"/>
          <w:highlight w:val="none"/>
          <w:u w:val="single"/>
        </w:rPr>
      </w:pPr>
      <w:r>
        <w:rPr>
          <w:rFonts w:hint="eastAsia" w:ascii="宋体" w:hAnsi="宋体"/>
          <w:color w:val="auto"/>
          <w:szCs w:val="21"/>
          <w:highlight w:val="none"/>
        </w:rPr>
        <w:t>（3）承包人提供竣工资料的约定：</w:t>
      </w:r>
      <w:r>
        <w:rPr>
          <w:rFonts w:hint="eastAsia" w:ascii="宋体" w:hAnsi="宋体"/>
          <w:color w:val="auto"/>
          <w:szCs w:val="21"/>
          <w:highlight w:val="none"/>
          <w:u w:val="single"/>
        </w:rPr>
        <w:t>承包人提供纸质版竣工图三套，电子版竣工图二套（刻光盘）</w:t>
      </w:r>
      <w:r>
        <w:rPr>
          <w:rFonts w:hint="eastAsia" w:ascii="宋体" w:hAnsi="宋体"/>
          <w:color w:val="auto"/>
          <w:szCs w:val="21"/>
          <w:highlight w:val="none"/>
        </w:rPr>
        <w:t>。</w:t>
      </w:r>
    </w:p>
    <w:bookmarkEnd w:id="1216"/>
    <w:p>
      <w:pPr>
        <w:spacing w:line="360" w:lineRule="auto"/>
        <w:ind w:right="105" w:rightChars="50" w:firstLine="420" w:firstLineChars="200"/>
        <w:jc w:val="left"/>
        <w:rPr>
          <w:rFonts w:ascii="宋体" w:hAnsi="宋体"/>
          <w:color w:val="auto"/>
          <w:szCs w:val="21"/>
          <w:highlight w:val="none"/>
        </w:rPr>
      </w:pPr>
      <w:r>
        <w:rPr>
          <w:rFonts w:hint="eastAsia" w:ascii="宋体" w:hAnsi="宋体"/>
          <w:color w:val="auto"/>
          <w:szCs w:val="21"/>
          <w:highlight w:val="none"/>
        </w:rPr>
        <w:t>13.2.5 移交、接收全部与部分工程</w:t>
      </w:r>
    </w:p>
    <w:bookmarkEnd w:id="1217"/>
    <w:p>
      <w:pPr>
        <w:spacing w:line="360" w:lineRule="auto"/>
        <w:ind w:right="105" w:rightChars="50" w:firstLine="420" w:firstLineChars="200"/>
        <w:jc w:val="left"/>
        <w:rPr>
          <w:rFonts w:ascii="宋体" w:hAnsi="宋体"/>
          <w:color w:val="auto"/>
          <w:szCs w:val="21"/>
          <w:highlight w:val="none"/>
          <w:u w:val="single"/>
        </w:rPr>
      </w:pPr>
      <w:r>
        <w:rPr>
          <w:rFonts w:hint="eastAsia" w:ascii="宋体" w:hAnsi="宋体"/>
          <w:color w:val="auto"/>
          <w:szCs w:val="21"/>
          <w:highlight w:val="none"/>
        </w:rPr>
        <w:t>承包人向发包人移交工程的期限：</w:t>
      </w:r>
      <w:r>
        <w:rPr>
          <w:rFonts w:hint="eastAsia" w:ascii="宋体" w:hAnsi="宋体"/>
          <w:color w:val="auto"/>
          <w:szCs w:val="21"/>
          <w:highlight w:val="none"/>
          <w:u w:val="single"/>
        </w:rPr>
        <w:t>颁发工程接收证书后7天内完成工程的移交</w:t>
      </w:r>
      <w:r>
        <w:rPr>
          <w:rFonts w:hint="eastAsia" w:ascii="宋体" w:hAnsi="宋体"/>
          <w:color w:val="auto"/>
          <w:szCs w:val="21"/>
          <w:highlight w:val="none"/>
        </w:rPr>
        <w:t>。</w:t>
      </w:r>
    </w:p>
    <w:p>
      <w:pPr>
        <w:spacing w:line="360" w:lineRule="auto"/>
        <w:ind w:right="105" w:rightChars="50" w:firstLine="420" w:firstLineChars="200"/>
        <w:jc w:val="left"/>
        <w:rPr>
          <w:rFonts w:ascii="宋体" w:hAnsi="宋体"/>
          <w:color w:val="auto"/>
          <w:szCs w:val="21"/>
          <w:highlight w:val="none"/>
          <w:u w:val="single"/>
        </w:rPr>
      </w:pPr>
      <w:r>
        <w:rPr>
          <w:rFonts w:hint="eastAsia" w:ascii="宋体" w:hAnsi="宋体"/>
          <w:color w:val="auto"/>
          <w:szCs w:val="21"/>
          <w:highlight w:val="none"/>
          <w:u w:val="single"/>
        </w:rPr>
        <w:t>发包人未按合同约定接收全部或部分工程的，违约金的计算方法为：发包人自应当接收工程之日起承担工程照管、成品保护、保管等与工程有关的各项费用。</w:t>
      </w:r>
    </w:p>
    <w:bookmarkEnd w:id="1218"/>
    <w:p>
      <w:pPr>
        <w:spacing w:line="360" w:lineRule="auto"/>
        <w:ind w:right="105" w:rightChars="50" w:firstLine="420" w:firstLineChars="200"/>
        <w:jc w:val="left"/>
        <w:rPr>
          <w:rFonts w:ascii="宋体" w:hAnsi="宋体"/>
          <w:color w:val="auto"/>
          <w:szCs w:val="21"/>
          <w:highlight w:val="none"/>
          <w:u w:val="single"/>
        </w:rPr>
      </w:pPr>
      <w:r>
        <w:rPr>
          <w:rFonts w:hint="eastAsia" w:ascii="宋体" w:hAnsi="宋体"/>
          <w:color w:val="auto"/>
          <w:szCs w:val="21"/>
          <w:highlight w:val="none"/>
        </w:rPr>
        <w:t>因承包人自身原因未按时移交工程的，违约金的计算方法为：</w:t>
      </w:r>
      <w:r>
        <w:rPr>
          <w:rFonts w:hint="eastAsia" w:ascii="宋体" w:hAnsi="宋体"/>
          <w:color w:val="auto"/>
          <w:szCs w:val="21"/>
          <w:highlight w:val="none"/>
          <w:u w:val="single"/>
        </w:rPr>
        <w:t>承包人应承担工程照管、成品保护、保管等与工程有关的各项费用，并按经审定结算金额的0.5‰/天支付违约金</w:t>
      </w:r>
      <w:r>
        <w:rPr>
          <w:rFonts w:hint="eastAsia" w:ascii="宋体" w:hAnsi="宋体"/>
          <w:color w:val="auto"/>
          <w:szCs w:val="21"/>
          <w:highlight w:val="none"/>
        </w:rPr>
        <w:t>。</w:t>
      </w:r>
    </w:p>
    <w:p>
      <w:pPr>
        <w:pStyle w:val="6"/>
        <w:spacing w:before="0" w:beforeAutospacing="0" w:after="0" w:afterAutospacing="0" w:line="360" w:lineRule="auto"/>
        <w:ind w:firstLine="422" w:firstLineChars="200"/>
        <w:rPr>
          <w:color w:val="auto"/>
          <w:sz w:val="21"/>
          <w:szCs w:val="21"/>
          <w:highlight w:val="none"/>
        </w:rPr>
      </w:pPr>
      <w:bookmarkStart w:id="1246" w:name="_Toc532377391"/>
      <w:bookmarkStart w:id="1247" w:name="_Toc532375654"/>
      <w:r>
        <w:rPr>
          <w:rFonts w:hint="eastAsia"/>
          <w:color w:val="auto"/>
          <w:sz w:val="21"/>
          <w:szCs w:val="21"/>
          <w:highlight w:val="none"/>
        </w:rPr>
        <w:t>13.3 工程试车</w:t>
      </w:r>
      <w:bookmarkEnd w:id="1246"/>
      <w:bookmarkEnd w:id="1247"/>
    </w:p>
    <w:p>
      <w:pPr>
        <w:spacing w:line="360" w:lineRule="auto"/>
        <w:ind w:right="105" w:rightChars="50" w:firstLine="420" w:firstLineChars="200"/>
        <w:jc w:val="left"/>
        <w:rPr>
          <w:rFonts w:ascii="宋体" w:hAnsi="宋体"/>
          <w:color w:val="auto"/>
          <w:szCs w:val="21"/>
          <w:highlight w:val="none"/>
        </w:rPr>
      </w:pPr>
      <w:r>
        <w:rPr>
          <w:rFonts w:hint="eastAsia" w:ascii="宋体" w:hAnsi="宋体"/>
          <w:color w:val="auto"/>
          <w:szCs w:val="21"/>
          <w:highlight w:val="none"/>
        </w:rPr>
        <w:t>13.3.1 试车程序</w:t>
      </w:r>
    </w:p>
    <w:p>
      <w:pPr>
        <w:spacing w:line="360" w:lineRule="auto"/>
        <w:ind w:right="105" w:rightChars="50" w:firstLine="420" w:firstLineChars="200"/>
        <w:jc w:val="left"/>
        <w:rPr>
          <w:rFonts w:ascii="宋体" w:hAnsi="宋体"/>
          <w:color w:val="auto"/>
          <w:szCs w:val="21"/>
          <w:highlight w:val="none"/>
        </w:rPr>
      </w:pPr>
      <w:r>
        <w:rPr>
          <w:rFonts w:hint="eastAsia" w:ascii="宋体" w:hAnsi="宋体"/>
          <w:color w:val="auto"/>
          <w:szCs w:val="21"/>
          <w:highlight w:val="none"/>
        </w:rPr>
        <w:t>工程试车内容：</w:t>
      </w:r>
      <w:r>
        <w:rPr>
          <w:rFonts w:hint="eastAsia" w:ascii="宋体" w:hAnsi="宋体"/>
          <w:color w:val="auto"/>
          <w:szCs w:val="21"/>
          <w:highlight w:val="none"/>
          <w:u w:val="single"/>
        </w:rPr>
        <w:t>按通用合同条款执行</w:t>
      </w:r>
      <w:r>
        <w:rPr>
          <w:rFonts w:hint="eastAsia" w:ascii="宋体" w:hAnsi="宋体"/>
          <w:color w:val="auto"/>
          <w:szCs w:val="21"/>
          <w:highlight w:val="none"/>
        </w:rPr>
        <w:t>。</w:t>
      </w:r>
    </w:p>
    <w:p>
      <w:pPr>
        <w:spacing w:line="360" w:lineRule="auto"/>
        <w:ind w:right="105" w:rightChars="50" w:firstLine="420" w:firstLineChars="200"/>
        <w:jc w:val="left"/>
        <w:rPr>
          <w:rFonts w:ascii="宋体" w:hAnsi="宋体"/>
          <w:color w:val="auto"/>
          <w:szCs w:val="21"/>
          <w:highlight w:val="none"/>
        </w:rPr>
      </w:pPr>
      <w:r>
        <w:rPr>
          <w:rFonts w:hint="eastAsia" w:ascii="宋体" w:hAnsi="宋体"/>
          <w:color w:val="auto"/>
          <w:szCs w:val="21"/>
          <w:highlight w:val="none"/>
        </w:rPr>
        <w:t>（1）单机无负荷试车费用由</w:t>
      </w:r>
      <w:r>
        <w:rPr>
          <w:rFonts w:hint="eastAsia" w:ascii="宋体" w:hAnsi="宋体"/>
          <w:color w:val="auto"/>
          <w:szCs w:val="21"/>
          <w:highlight w:val="none"/>
          <w:u w:val="single"/>
        </w:rPr>
        <w:t>承包人</w:t>
      </w:r>
      <w:r>
        <w:rPr>
          <w:rFonts w:hint="eastAsia" w:ascii="宋体" w:hAnsi="宋体"/>
          <w:color w:val="auto"/>
          <w:szCs w:val="21"/>
          <w:highlight w:val="none"/>
        </w:rPr>
        <w:t>承担；</w:t>
      </w:r>
    </w:p>
    <w:p>
      <w:pPr>
        <w:spacing w:line="360" w:lineRule="auto"/>
        <w:ind w:right="105" w:rightChars="50" w:firstLine="420" w:firstLineChars="200"/>
        <w:jc w:val="left"/>
        <w:rPr>
          <w:rFonts w:ascii="宋体" w:hAnsi="宋体"/>
          <w:color w:val="auto"/>
          <w:szCs w:val="21"/>
          <w:highlight w:val="none"/>
        </w:rPr>
      </w:pPr>
      <w:r>
        <w:rPr>
          <w:rFonts w:hint="eastAsia" w:ascii="宋体" w:hAnsi="宋体"/>
          <w:color w:val="auto"/>
          <w:szCs w:val="21"/>
          <w:highlight w:val="none"/>
        </w:rPr>
        <w:t>（2）无负荷联动试车费用由</w:t>
      </w:r>
      <w:r>
        <w:rPr>
          <w:rFonts w:hint="eastAsia" w:ascii="宋体" w:hAnsi="宋体"/>
          <w:color w:val="auto"/>
          <w:szCs w:val="21"/>
          <w:highlight w:val="none"/>
          <w:u w:val="single"/>
        </w:rPr>
        <w:t>承包人</w:t>
      </w:r>
      <w:r>
        <w:rPr>
          <w:rFonts w:hint="eastAsia" w:ascii="宋体" w:hAnsi="宋体"/>
          <w:color w:val="auto"/>
          <w:szCs w:val="21"/>
          <w:highlight w:val="none"/>
        </w:rPr>
        <w:t>承担。</w:t>
      </w:r>
    </w:p>
    <w:p>
      <w:pPr>
        <w:pStyle w:val="6"/>
        <w:spacing w:before="0" w:beforeAutospacing="0" w:after="0" w:afterAutospacing="0" w:line="360" w:lineRule="auto"/>
        <w:ind w:firstLine="422" w:firstLineChars="200"/>
        <w:rPr>
          <w:color w:val="auto"/>
          <w:sz w:val="21"/>
          <w:szCs w:val="21"/>
          <w:highlight w:val="none"/>
        </w:rPr>
      </w:pPr>
      <w:bookmarkStart w:id="1248" w:name="_Toc532377392"/>
      <w:bookmarkStart w:id="1249" w:name="_Toc532375655"/>
      <w:r>
        <w:rPr>
          <w:rFonts w:hint="eastAsia"/>
          <w:color w:val="auto"/>
          <w:sz w:val="21"/>
          <w:szCs w:val="21"/>
          <w:highlight w:val="none"/>
        </w:rPr>
        <w:t>13.6 竣工退场</w:t>
      </w:r>
      <w:bookmarkEnd w:id="1248"/>
      <w:bookmarkEnd w:id="1249"/>
    </w:p>
    <w:p>
      <w:pPr>
        <w:spacing w:line="360" w:lineRule="auto"/>
        <w:ind w:right="105" w:rightChars="50" w:firstLine="420" w:firstLineChars="200"/>
        <w:jc w:val="left"/>
        <w:rPr>
          <w:rFonts w:ascii="宋体" w:hAnsi="宋体"/>
          <w:color w:val="auto"/>
          <w:szCs w:val="21"/>
          <w:highlight w:val="none"/>
        </w:rPr>
      </w:pPr>
      <w:r>
        <w:rPr>
          <w:rFonts w:hint="eastAsia" w:ascii="宋体" w:hAnsi="宋体"/>
          <w:color w:val="auto"/>
          <w:szCs w:val="21"/>
          <w:highlight w:val="none"/>
        </w:rPr>
        <w:t>13.6.1 竣工退场</w:t>
      </w:r>
    </w:p>
    <w:p>
      <w:pPr>
        <w:spacing w:line="360" w:lineRule="auto"/>
        <w:ind w:right="105" w:rightChars="50" w:firstLine="420" w:firstLineChars="200"/>
        <w:jc w:val="left"/>
        <w:rPr>
          <w:rFonts w:ascii="宋体" w:hAnsi="宋体"/>
          <w:color w:val="auto"/>
          <w:szCs w:val="21"/>
          <w:highlight w:val="none"/>
          <w:u w:val="single"/>
        </w:rPr>
      </w:pPr>
      <w:r>
        <w:rPr>
          <w:rFonts w:hint="eastAsia" w:ascii="宋体" w:hAnsi="宋体"/>
          <w:color w:val="auto"/>
          <w:szCs w:val="21"/>
          <w:highlight w:val="none"/>
        </w:rPr>
        <w:t>承包人完成竣工退场的期限：</w:t>
      </w:r>
      <w:r>
        <w:rPr>
          <w:rFonts w:hint="eastAsia" w:ascii="宋体" w:hAnsi="宋体"/>
          <w:color w:val="auto"/>
          <w:szCs w:val="21"/>
          <w:highlight w:val="none"/>
          <w:u w:val="single"/>
        </w:rPr>
        <w:t>工程接收证书颁发后28天内，承包人的施工人员、剩余材料、施工设备和临时工程应完全撤离施工场地并对施工场地进行清理、平整、复原，直至监理人检验合格为止，由此发生的费用已包含在签约合同价内。承包人未在限期内拆除的，发包人可委托其他单位代为拆除，由此发生的费用（发包人可从应付承包人的款项中扣除）由承包人承担，承包人还应按审定结算金额的0.5‰/天的标准向发包人支付违约金。因工程维修需要部分人员必须留在施工现场的，需征得发包人同意</w:t>
      </w:r>
      <w:r>
        <w:rPr>
          <w:rFonts w:hint="eastAsia" w:ascii="宋体" w:hAnsi="宋体"/>
          <w:color w:val="auto"/>
          <w:szCs w:val="21"/>
          <w:highlight w:val="none"/>
        </w:rPr>
        <w:t>。</w:t>
      </w:r>
    </w:p>
    <w:bookmarkEnd w:id="1219"/>
    <w:p>
      <w:pPr>
        <w:pStyle w:val="5"/>
        <w:keepNext/>
        <w:keepLines/>
        <w:spacing w:before="156" w:beforeLines="50" w:beforeAutospacing="0" w:after="156" w:afterLines="50" w:afterAutospacing="0" w:line="360" w:lineRule="auto"/>
        <w:jc w:val="both"/>
        <w:rPr>
          <w:bCs w:val="0"/>
          <w:color w:val="auto"/>
          <w:kern w:val="2"/>
          <w:sz w:val="21"/>
          <w:szCs w:val="21"/>
          <w:highlight w:val="none"/>
        </w:rPr>
      </w:pPr>
      <w:bookmarkStart w:id="1250" w:name="_Toc532377393"/>
      <w:bookmarkStart w:id="1251" w:name="_Toc351203646"/>
      <w:bookmarkStart w:id="1252" w:name="_Toc532375656"/>
      <w:r>
        <w:rPr>
          <w:rFonts w:hint="eastAsia"/>
          <w:color w:val="auto"/>
          <w:kern w:val="2"/>
          <w:sz w:val="21"/>
          <w:szCs w:val="21"/>
          <w:highlight w:val="none"/>
        </w:rPr>
        <w:t>14. 竣工结算</w:t>
      </w:r>
      <w:bookmarkEnd w:id="1250"/>
      <w:bookmarkEnd w:id="1251"/>
      <w:bookmarkEnd w:id="1252"/>
    </w:p>
    <w:p>
      <w:pPr>
        <w:pStyle w:val="6"/>
        <w:spacing w:before="0" w:beforeAutospacing="0" w:after="0" w:afterAutospacing="0" w:line="360" w:lineRule="auto"/>
        <w:ind w:firstLine="422" w:firstLineChars="200"/>
        <w:rPr>
          <w:color w:val="auto"/>
          <w:sz w:val="21"/>
          <w:szCs w:val="21"/>
          <w:highlight w:val="none"/>
        </w:rPr>
      </w:pPr>
      <w:bookmarkStart w:id="1253" w:name="_Toc532375657"/>
      <w:bookmarkStart w:id="1254" w:name="_Toc532377394"/>
      <w:r>
        <w:rPr>
          <w:rFonts w:hint="eastAsia"/>
          <w:color w:val="auto"/>
          <w:sz w:val="21"/>
          <w:szCs w:val="21"/>
          <w:highlight w:val="none"/>
        </w:rPr>
        <w:t>14.1 竣工结算申请</w:t>
      </w:r>
      <w:bookmarkEnd w:id="1253"/>
      <w:bookmarkEnd w:id="1254"/>
    </w:p>
    <w:p>
      <w:pPr>
        <w:spacing w:line="360" w:lineRule="auto"/>
        <w:ind w:right="105" w:rightChars="50" w:firstLine="420" w:firstLineChars="200"/>
        <w:jc w:val="left"/>
        <w:rPr>
          <w:rFonts w:ascii="宋体" w:hAnsi="宋体"/>
          <w:color w:val="auto"/>
          <w:szCs w:val="21"/>
          <w:highlight w:val="none"/>
          <w:u w:val="single"/>
        </w:rPr>
      </w:pPr>
      <w:r>
        <w:rPr>
          <w:rFonts w:hint="eastAsia" w:ascii="宋体" w:hAnsi="宋体"/>
          <w:color w:val="auto"/>
          <w:szCs w:val="21"/>
          <w:highlight w:val="none"/>
        </w:rPr>
        <w:t>承包人提交竣工结算申请单的期限：</w:t>
      </w:r>
      <w:r>
        <w:rPr>
          <w:rFonts w:hint="eastAsia" w:ascii="宋体" w:hAnsi="宋体"/>
          <w:color w:val="auto"/>
          <w:szCs w:val="21"/>
          <w:highlight w:val="none"/>
          <w:u w:val="single"/>
        </w:rPr>
        <w:t>承包人应在工程竣工验收合格且报送</w:t>
      </w:r>
      <w:r>
        <w:rPr>
          <w:rFonts w:ascii="宋体" w:hAnsi="宋体"/>
          <w:color w:val="auto"/>
          <w:szCs w:val="21"/>
          <w:highlight w:val="none"/>
          <w:u w:val="single"/>
        </w:rPr>
        <w:t>完整工程竣工资料</w:t>
      </w:r>
      <w:r>
        <w:rPr>
          <w:rFonts w:hint="eastAsia" w:ascii="宋体" w:hAnsi="宋体"/>
          <w:color w:val="auto"/>
          <w:szCs w:val="21"/>
          <w:highlight w:val="none"/>
          <w:u w:val="single"/>
        </w:rPr>
        <w:t>之日起28天内向监理人、发包人提交竣工结算申请单，并向发包人报送完整的工程竣工资料及经监理人初审确认的完整的竣工结算资料</w:t>
      </w:r>
      <w:bookmarkStart w:id="1255" w:name="_Hlk524297994"/>
      <w:r>
        <w:rPr>
          <w:rFonts w:hint="eastAsia" w:ascii="宋体" w:hAnsi="宋体"/>
          <w:color w:val="auto"/>
          <w:szCs w:val="21"/>
          <w:highlight w:val="none"/>
          <w:u w:val="single"/>
        </w:rPr>
        <w:t>。监理人或发包人对竣工结算申请单有异议的，应在接到竣工结算申请单后14天内要求承包人进行修正和提供补充资料，承包人在接到监理人或发包人提出的审核意见后，应在28天内按监理人或发包人提出的合理要求补充资料、修改竣工结算资料，并再次提交监理人或发包人审核。承包人未在规定时间内报送竣工结算资料给发包人造成经济损失的，承包人应承担赔偿责任。</w:t>
      </w:r>
    </w:p>
    <w:p>
      <w:pPr>
        <w:spacing w:line="360" w:lineRule="auto"/>
        <w:ind w:right="105" w:rightChars="50" w:firstLine="420" w:firstLineChars="200"/>
        <w:jc w:val="left"/>
        <w:rPr>
          <w:rFonts w:ascii="宋体" w:hAnsi="宋体"/>
          <w:color w:val="auto"/>
          <w:szCs w:val="21"/>
          <w:highlight w:val="none"/>
        </w:rPr>
      </w:pPr>
      <w:r>
        <w:rPr>
          <w:rFonts w:hint="eastAsia" w:ascii="宋体" w:hAnsi="宋体"/>
          <w:color w:val="auto"/>
          <w:szCs w:val="21"/>
          <w:highlight w:val="none"/>
        </w:rPr>
        <w:t>竣工结算申请单包括但不限于以下内容：</w:t>
      </w:r>
    </w:p>
    <w:p>
      <w:pPr>
        <w:spacing w:line="360" w:lineRule="auto"/>
        <w:ind w:right="105" w:rightChars="50" w:firstLine="420" w:firstLineChars="200"/>
        <w:jc w:val="left"/>
        <w:rPr>
          <w:rFonts w:ascii="宋体" w:hAnsi="宋体"/>
          <w:color w:val="auto"/>
          <w:szCs w:val="21"/>
          <w:highlight w:val="none"/>
        </w:rPr>
      </w:pPr>
      <w:r>
        <w:rPr>
          <w:rFonts w:hint="eastAsia" w:ascii="宋体" w:hAnsi="宋体"/>
          <w:color w:val="auto"/>
          <w:szCs w:val="21"/>
          <w:highlight w:val="none"/>
        </w:rPr>
        <w:t>（1）竣工结算合同价格；</w:t>
      </w:r>
    </w:p>
    <w:p>
      <w:pPr>
        <w:spacing w:line="360" w:lineRule="auto"/>
        <w:ind w:right="105" w:rightChars="50" w:firstLine="420" w:firstLineChars="200"/>
        <w:jc w:val="left"/>
        <w:rPr>
          <w:rFonts w:ascii="宋体" w:hAnsi="宋体"/>
          <w:color w:val="auto"/>
          <w:szCs w:val="21"/>
          <w:highlight w:val="none"/>
        </w:rPr>
      </w:pPr>
      <w:r>
        <w:rPr>
          <w:rFonts w:hint="eastAsia" w:ascii="宋体" w:hAnsi="宋体"/>
          <w:color w:val="auto"/>
          <w:szCs w:val="21"/>
          <w:highlight w:val="none"/>
        </w:rPr>
        <w:t>（2）变更增减金额；</w:t>
      </w:r>
    </w:p>
    <w:p>
      <w:pPr>
        <w:spacing w:line="360" w:lineRule="auto"/>
        <w:ind w:right="105" w:rightChars="50" w:firstLine="420" w:firstLineChars="200"/>
        <w:jc w:val="left"/>
        <w:rPr>
          <w:rFonts w:ascii="宋体" w:hAnsi="宋体"/>
          <w:color w:val="auto"/>
          <w:szCs w:val="21"/>
          <w:highlight w:val="none"/>
        </w:rPr>
      </w:pPr>
      <w:r>
        <w:rPr>
          <w:rFonts w:hint="eastAsia" w:ascii="宋体" w:hAnsi="宋体"/>
          <w:color w:val="auto"/>
          <w:szCs w:val="21"/>
          <w:highlight w:val="none"/>
        </w:rPr>
        <w:t>（3）现场签证增减金额；</w:t>
      </w:r>
    </w:p>
    <w:p>
      <w:pPr>
        <w:spacing w:line="360" w:lineRule="auto"/>
        <w:ind w:right="105" w:rightChars="50" w:firstLine="420" w:firstLineChars="200"/>
        <w:jc w:val="left"/>
        <w:rPr>
          <w:rFonts w:ascii="宋体" w:hAnsi="宋体"/>
          <w:color w:val="auto"/>
          <w:szCs w:val="21"/>
          <w:highlight w:val="none"/>
        </w:rPr>
      </w:pPr>
      <w:r>
        <w:rPr>
          <w:rFonts w:hint="eastAsia" w:ascii="宋体" w:hAnsi="宋体"/>
          <w:color w:val="auto"/>
          <w:szCs w:val="21"/>
          <w:highlight w:val="none"/>
        </w:rPr>
        <w:t>（4）索赔增减金额；</w:t>
      </w:r>
    </w:p>
    <w:p>
      <w:pPr>
        <w:spacing w:line="360" w:lineRule="auto"/>
        <w:ind w:right="105" w:rightChars="50" w:firstLine="420" w:firstLineChars="200"/>
        <w:jc w:val="left"/>
        <w:rPr>
          <w:rFonts w:ascii="宋体" w:hAnsi="宋体"/>
          <w:color w:val="auto"/>
          <w:szCs w:val="21"/>
          <w:highlight w:val="none"/>
        </w:rPr>
      </w:pPr>
      <w:r>
        <w:rPr>
          <w:rFonts w:hint="eastAsia" w:ascii="宋体" w:hAnsi="宋体"/>
          <w:color w:val="auto"/>
          <w:szCs w:val="21"/>
          <w:highlight w:val="none"/>
        </w:rPr>
        <w:t>（5）奖励、罚金及违约金；</w:t>
      </w:r>
    </w:p>
    <w:p>
      <w:pPr>
        <w:spacing w:line="360" w:lineRule="auto"/>
        <w:ind w:right="105" w:rightChars="50" w:firstLine="420" w:firstLineChars="200"/>
        <w:jc w:val="left"/>
        <w:rPr>
          <w:rFonts w:ascii="宋体" w:hAnsi="宋体"/>
          <w:color w:val="auto"/>
          <w:szCs w:val="21"/>
          <w:highlight w:val="none"/>
        </w:rPr>
      </w:pPr>
      <w:r>
        <w:rPr>
          <w:rFonts w:hint="eastAsia" w:ascii="宋体" w:hAnsi="宋体"/>
          <w:color w:val="auto"/>
          <w:szCs w:val="21"/>
          <w:highlight w:val="none"/>
        </w:rPr>
        <w:t>（6）发包人已支付承包人的款项；</w:t>
      </w:r>
    </w:p>
    <w:p>
      <w:pPr>
        <w:spacing w:line="360" w:lineRule="auto"/>
        <w:ind w:right="105" w:rightChars="50" w:firstLine="420" w:firstLineChars="200"/>
        <w:jc w:val="left"/>
        <w:rPr>
          <w:rFonts w:ascii="宋体" w:hAnsi="宋体"/>
          <w:color w:val="auto"/>
          <w:szCs w:val="21"/>
          <w:highlight w:val="none"/>
        </w:rPr>
      </w:pPr>
      <w:r>
        <w:rPr>
          <w:rFonts w:hint="eastAsia" w:ascii="宋体" w:hAnsi="宋体"/>
          <w:color w:val="auto"/>
          <w:szCs w:val="21"/>
          <w:highlight w:val="none"/>
        </w:rPr>
        <w:t>（7）应扣留的质量保证金；</w:t>
      </w:r>
    </w:p>
    <w:p>
      <w:pPr>
        <w:spacing w:line="360" w:lineRule="auto"/>
        <w:ind w:right="105" w:rightChars="50" w:firstLine="420" w:firstLineChars="200"/>
        <w:jc w:val="left"/>
        <w:rPr>
          <w:rFonts w:ascii="宋体" w:hAnsi="宋体"/>
          <w:color w:val="auto"/>
          <w:szCs w:val="21"/>
          <w:highlight w:val="none"/>
        </w:rPr>
      </w:pPr>
      <w:r>
        <w:rPr>
          <w:rFonts w:hint="eastAsia" w:ascii="宋体" w:hAnsi="宋体"/>
          <w:color w:val="auto"/>
          <w:szCs w:val="21"/>
          <w:highlight w:val="none"/>
        </w:rPr>
        <w:t>（8）发包人应支付承包人的合同价款。</w:t>
      </w:r>
      <w:bookmarkEnd w:id="1255"/>
    </w:p>
    <w:p>
      <w:pPr>
        <w:spacing w:line="360" w:lineRule="auto"/>
        <w:ind w:right="105" w:rightChars="50" w:firstLine="420" w:firstLineChars="200"/>
        <w:jc w:val="left"/>
        <w:rPr>
          <w:rFonts w:ascii="宋体" w:hAnsi="宋体"/>
          <w:color w:val="auto"/>
          <w:szCs w:val="21"/>
          <w:highlight w:val="none"/>
        </w:rPr>
      </w:pPr>
      <w:r>
        <w:rPr>
          <w:rFonts w:hint="eastAsia" w:ascii="宋体" w:hAnsi="宋体"/>
          <w:color w:val="auto"/>
          <w:szCs w:val="21"/>
          <w:highlight w:val="none"/>
        </w:rPr>
        <w:t>（9）</w:t>
      </w:r>
      <w:r>
        <w:rPr>
          <w:rFonts w:hint="eastAsia" w:ascii="宋体" w:hAnsi="宋体"/>
          <w:color w:val="auto"/>
          <w:szCs w:val="21"/>
          <w:highlight w:val="none"/>
          <w:u w:val="single"/>
        </w:rPr>
        <w:t xml:space="preserve">        </w:t>
      </w:r>
      <w:r>
        <w:rPr>
          <w:rFonts w:hint="eastAsia" w:ascii="宋体" w:hAnsi="宋体"/>
          <w:color w:val="auto"/>
          <w:szCs w:val="21"/>
          <w:highlight w:val="none"/>
        </w:rPr>
        <w:t>。</w:t>
      </w:r>
    </w:p>
    <w:p>
      <w:pPr>
        <w:pStyle w:val="6"/>
        <w:spacing w:before="0" w:beforeAutospacing="0" w:after="0" w:afterAutospacing="0" w:line="360" w:lineRule="auto"/>
        <w:ind w:firstLine="422" w:firstLineChars="200"/>
        <w:rPr>
          <w:color w:val="auto"/>
          <w:sz w:val="21"/>
          <w:szCs w:val="21"/>
          <w:highlight w:val="none"/>
        </w:rPr>
      </w:pPr>
      <w:bookmarkStart w:id="1256" w:name="_Toc532375658"/>
      <w:bookmarkStart w:id="1257" w:name="_Toc532377395"/>
      <w:r>
        <w:rPr>
          <w:rFonts w:hint="eastAsia"/>
          <w:color w:val="auto"/>
          <w:sz w:val="21"/>
          <w:szCs w:val="21"/>
          <w:highlight w:val="none"/>
        </w:rPr>
        <w:t>14.2 竣工结算审核</w:t>
      </w:r>
      <w:bookmarkEnd w:id="1256"/>
      <w:bookmarkEnd w:id="1257"/>
    </w:p>
    <w:p>
      <w:pPr>
        <w:spacing w:line="360" w:lineRule="auto"/>
        <w:ind w:right="105" w:rightChars="50" w:firstLine="420" w:firstLineChars="200"/>
        <w:jc w:val="left"/>
        <w:rPr>
          <w:rFonts w:ascii="宋体" w:hAnsi="宋体"/>
          <w:color w:val="auto"/>
          <w:szCs w:val="21"/>
          <w:highlight w:val="none"/>
        </w:rPr>
      </w:pPr>
      <w:r>
        <w:rPr>
          <w:rFonts w:hint="eastAsia" w:ascii="宋体" w:hAnsi="宋体"/>
          <w:color w:val="auto"/>
          <w:szCs w:val="21"/>
          <w:highlight w:val="none"/>
        </w:rPr>
        <w:t>14.2.1 竣工结算办法</w:t>
      </w:r>
    </w:p>
    <w:p>
      <w:pPr>
        <w:spacing w:line="360" w:lineRule="auto"/>
        <w:ind w:right="105" w:rightChars="50" w:firstLine="420" w:firstLineChars="200"/>
        <w:jc w:val="left"/>
        <w:rPr>
          <w:rFonts w:ascii="宋体" w:hAnsi="宋体"/>
          <w:color w:val="auto"/>
          <w:szCs w:val="21"/>
          <w:highlight w:val="none"/>
        </w:rPr>
      </w:pPr>
      <w:r>
        <w:rPr>
          <w:rFonts w:hint="eastAsia" w:ascii="宋体" w:hAnsi="宋体"/>
          <w:color w:val="auto"/>
          <w:szCs w:val="21"/>
          <w:highlight w:val="none"/>
        </w:rPr>
        <w:t>14.2.1.1计量原则</w:t>
      </w:r>
    </w:p>
    <w:p>
      <w:pPr>
        <w:spacing w:line="360" w:lineRule="auto"/>
        <w:ind w:right="105" w:rightChars="50" w:firstLine="420" w:firstLineChars="200"/>
        <w:jc w:val="left"/>
        <w:rPr>
          <w:rFonts w:ascii="宋体" w:hAnsi="宋体"/>
          <w:color w:val="auto"/>
          <w:szCs w:val="21"/>
          <w:highlight w:val="none"/>
          <w:u w:val="single"/>
        </w:rPr>
      </w:pPr>
      <w:r>
        <w:rPr>
          <w:rFonts w:hint="eastAsia" w:ascii="宋体" w:hAnsi="宋体"/>
          <w:color w:val="auto"/>
          <w:szCs w:val="21"/>
          <w:highlight w:val="none"/>
        </w:rPr>
        <w:t>按照第12.3.1项〔计量原则〕约定执行。</w:t>
      </w:r>
    </w:p>
    <w:p>
      <w:pPr>
        <w:spacing w:line="360" w:lineRule="auto"/>
        <w:ind w:right="105" w:rightChars="50" w:firstLine="420" w:firstLineChars="200"/>
        <w:jc w:val="left"/>
        <w:rPr>
          <w:rFonts w:ascii="宋体" w:hAnsi="宋体"/>
          <w:color w:val="auto"/>
          <w:szCs w:val="21"/>
          <w:highlight w:val="none"/>
        </w:rPr>
      </w:pPr>
      <w:r>
        <w:rPr>
          <w:rFonts w:hint="eastAsia" w:ascii="宋体" w:hAnsi="宋体"/>
          <w:color w:val="auto"/>
          <w:szCs w:val="21"/>
          <w:highlight w:val="none"/>
        </w:rPr>
        <w:t>14.2.1.2计价原则</w:t>
      </w:r>
    </w:p>
    <w:p>
      <w:pPr>
        <w:spacing w:line="360" w:lineRule="auto"/>
        <w:ind w:right="105" w:rightChars="50" w:firstLine="420" w:firstLineChars="200"/>
        <w:jc w:val="left"/>
        <w:rPr>
          <w:rFonts w:ascii="宋体" w:hAnsi="宋体"/>
          <w:color w:val="auto"/>
          <w:szCs w:val="21"/>
          <w:highlight w:val="none"/>
          <w:u w:val="single"/>
        </w:rPr>
      </w:pPr>
      <w:r>
        <w:rPr>
          <w:rFonts w:hint="eastAsia" w:ascii="宋体" w:hAnsi="宋体"/>
          <w:color w:val="auto"/>
          <w:szCs w:val="21"/>
          <w:highlight w:val="none"/>
          <w:u w:val="single"/>
        </w:rPr>
        <w:t>合同竣工结算价=Σ分部分项工程结算价+Σ措施项目结算价+Σ其他项目结算价±Σ价格调整（如有）±Σ变更、索赔与现场签证结算价±Σ奖励、罚金、违约金及其他费用+Σ规费+Σ税金</w:t>
      </w:r>
      <w:r>
        <w:rPr>
          <w:rFonts w:hint="eastAsia" w:ascii="宋体" w:hAnsi="宋体"/>
          <w:color w:val="auto"/>
          <w:szCs w:val="21"/>
          <w:highlight w:val="none"/>
        </w:rPr>
        <w:t>。</w:t>
      </w:r>
    </w:p>
    <w:p>
      <w:pPr>
        <w:spacing w:line="360" w:lineRule="auto"/>
        <w:ind w:right="105" w:rightChars="50" w:firstLine="420" w:firstLineChars="200"/>
        <w:jc w:val="left"/>
        <w:rPr>
          <w:rFonts w:ascii="宋体" w:hAnsi="宋体"/>
          <w:color w:val="auto"/>
          <w:szCs w:val="21"/>
          <w:highlight w:val="none"/>
        </w:rPr>
      </w:pPr>
      <w:r>
        <w:rPr>
          <w:rFonts w:hint="eastAsia" w:ascii="宋体" w:hAnsi="宋体"/>
          <w:color w:val="auto"/>
          <w:szCs w:val="21"/>
          <w:highlight w:val="none"/>
        </w:rPr>
        <w:t>具体结算办法如下：</w:t>
      </w:r>
    </w:p>
    <w:p>
      <w:pPr>
        <w:tabs>
          <w:tab w:val="left" w:pos="711"/>
          <w:tab w:val="left" w:pos="2580"/>
        </w:tabs>
        <w:spacing w:line="360" w:lineRule="auto"/>
        <w:ind w:right="105" w:rightChars="50" w:firstLine="420" w:firstLineChars="200"/>
        <w:jc w:val="left"/>
        <w:textAlignment w:val="baseline"/>
        <w:rPr>
          <w:rFonts w:ascii="宋体" w:hAnsi="宋体"/>
          <w:color w:val="auto"/>
          <w:szCs w:val="21"/>
          <w:highlight w:val="none"/>
        </w:rPr>
      </w:pPr>
      <w:r>
        <w:rPr>
          <w:rFonts w:hint="eastAsia" w:ascii="宋体" w:hAnsi="宋体"/>
          <w:color w:val="auto"/>
          <w:szCs w:val="21"/>
          <w:highlight w:val="none"/>
        </w:rPr>
        <w:t>（1）分部分项工程：</w:t>
      </w:r>
    </w:p>
    <w:p>
      <w:pPr>
        <w:tabs>
          <w:tab w:val="left" w:pos="711"/>
          <w:tab w:val="left" w:pos="2580"/>
        </w:tabs>
        <w:spacing w:line="360" w:lineRule="auto"/>
        <w:ind w:right="105" w:rightChars="50" w:firstLine="420" w:firstLineChars="200"/>
        <w:jc w:val="left"/>
        <w:textAlignment w:val="baseline"/>
        <w:rPr>
          <w:rFonts w:ascii="宋体" w:hAnsi="宋体"/>
          <w:color w:val="auto"/>
          <w:szCs w:val="21"/>
          <w:highlight w:val="none"/>
          <w:u w:val="single"/>
        </w:rPr>
      </w:pPr>
      <w:r>
        <w:rPr>
          <w:rFonts w:hint="eastAsia" w:ascii="宋体" w:hAnsi="宋体"/>
          <w:color w:val="auto"/>
          <w:szCs w:val="21"/>
          <w:highlight w:val="none"/>
          <w:u w:val="single"/>
        </w:rPr>
        <w:t>①已标价工程量清单子目综合单价按合同约定无需调整的，以按照竣工图和第12.3.1项〔计量原则〕约定确定的工程量乘以相应的已标价工程量清单子目综合单价确定该部分分部分项工程结算价</w:t>
      </w:r>
      <w:r>
        <w:rPr>
          <w:rFonts w:hint="eastAsia" w:ascii="宋体" w:hAnsi="宋体"/>
          <w:color w:val="auto"/>
          <w:szCs w:val="21"/>
          <w:highlight w:val="none"/>
        </w:rPr>
        <w:t>；</w:t>
      </w:r>
    </w:p>
    <w:p>
      <w:pPr>
        <w:tabs>
          <w:tab w:val="left" w:pos="711"/>
          <w:tab w:val="left" w:pos="2580"/>
        </w:tabs>
        <w:spacing w:line="360" w:lineRule="auto"/>
        <w:ind w:right="105" w:rightChars="50" w:firstLine="420" w:firstLineChars="200"/>
        <w:jc w:val="left"/>
        <w:textAlignment w:val="baseline"/>
        <w:rPr>
          <w:rFonts w:ascii="宋体" w:hAnsi="宋体"/>
          <w:color w:val="auto"/>
          <w:szCs w:val="21"/>
          <w:highlight w:val="none"/>
          <w:u w:val="single"/>
        </w:rPr>
      </w:pPr>
      <w:r>
        <w:rPr>
          <w:rFonts w:hint="eastAsia" w:ascii="宋体" w:hAnsi="宋体"/>
          <w:color w:val="auto"/>
          <w:szCs w:val="21"/>
          <w:highlight w:val="none"/>
          <w:u w:val="single"/>
        </w:rPr>
        <w:t>②已标价工程量清单子目综合单价按第11.3款〔严重不平衡报价引起的调整〕约定需要修正综合单价的，结算工程量超过已标价工程量15%的，超出部分工程量乘以按第11.3款〔严重不平衡报价引起的调整〕约定修正综合单价确定该部分分部分项工程结算价</w:t>
      </w:r>
      <w:r>
        <w:rPr>
          <w:rFonts w:hint="eastAsia" w:ascii="宋体" w:hAnsi="宋体"/>
          <w:color w:val="auto"/>
          <w:szCs w:val="21"/>
          <w:highlight w:val="none"/>
        </w:rPr>
        <w:t>；</w:t>
      </w:r>
    </w:p>
    <w:p>
      <w:pPr>
        <w:tabs>
          <w:tab w:val="left" w:pos="711"/>
          <w:tab w:val="left" w:pos="2580"/>
        </w:tabs>
        <w:spacing w:line="360" w:lineRule="auto"/>
        <w:ind w:right="105" w:rightChars="50" w:firstLine="420" w:firstLineChars="200"/>
        <w:jc w:val="left"/>
        <w:textAlignment w:val="baseline"/>
        <w:rPr>
          <w:rFonts w:ascii="宋体" w:hAnsi="宋体"/>
          <w:color w:val="auto"/>
          <w:szCs w:val="21"/>
          <w:highlight w:val="none"/>
          <w:u w:val="single"/>
        </w:rPr>
      </w:pPr>
      <w:r>
        <w:rPr>
          <w:rFonts w:hint="eastAsia" w:ascii="宋体" w:hAnsi="宋体"/>
          <w:color w:val="auto"/>
          <w:szCs w:val="21"/>
          <w:highlight w:val="none"/>
          <w:u w:val="single"/>
        </w:rPr>
        <w:t>③需要对没有填入综合单价或总额价的子目项目进行扣减的，第12.3.1项〔计量原则〕约定确定的工程量乘以按照10.4.1〔变更估价原则〕（3）目约定的综合单价进行扣减</w:t>
      </w:r>
      <w:r>
        <w:rPr>
          <w:rFonts w:hint="eastAsia" w:ascii="宋体" w:hAnsi="宋体"/>
          <w:color w:val="auto"/>
          <w:szCs w:val="21"/>
          <w:highlight w:val="none"/>
        </w:rPr>
        <w:t>；</w:t>
      </w:r>
    </w:p>
    <w:p>
      <w:pPr>
        <w:tabs>
          <w:tab w:val="left" w:pos="711"/>
          <w:tab w:val="left" w:pos="2580"/>
        </w:tabs>
        <w:spacing w:line="360" w:lineRule="auto"/>
        <w:ind w:right="105" w:rightChars="50" w:firstLine="420" w:firstLineChars="200"/>
        <w:jc w:val="left"/>
        <w:textAlignment w:val="baseline"/>
        <w:rPr>
          <w:rFonts w:ascii="宋体" w:hAnsi="宋体"/>
          <w:color w:val="auto"/>
          <w:szCs w:val="21"/>
          <w:highlight w:val="none"/>
          <w:u w:val="single"/>
        </w:rPr>
      </w:pPr>
      <w:r>
        <w:rPr>
          <w:rFonts w:hint="eastAsia" w:ascii="宋体" w:hAnsi="宋体"/>
          <w:color w:val="auto"/>
          <w:szCs w:val="21"/>
          <w:highlight w:val="none"/>
          <w:u w:val="single"/>
        </w:rPr>
        <w:t>④合同、已标价工程量清单和招标文件另有约定的，按照其约定执行</w:t>
      </w:r>
      <w:r>
        <w:rPr>
          <w:rFonts w:hint="eastAsia" w:ascii="宋体" w:hAnsi="宋体"/>
          <w:color w:val="auto"/>
          <w:szCs w:val="21"/>
          <w:highlight w:val="none"/>
        </w:rPr>
        <w:t>。</w:t>
      </w:r>
    </w:p>
    <w:p>
      <w:pPr>
        <w:tabs>
          <w:tab w:val="left" w:pos="711"/>
          <w:tab w:val="left" w:pos="2580"/>
        </w:tabs>
        <w:spacing w:line="360" w:lineRule="auto"/>
        <w:ind w:right="105" w:rightChars="50" w:firstLine="420" w:firstLineChars="200"/>
        <w:jc w:val="left"/>
        <w:textAlignment w:val="baseline"/>
        <w:rPr>
          <w:rFonts w:ascii="宋体" w:hAnsi="宋体"/>
          <w:color w:val="auto"/>
          <w:szCs w:val="21"/>
          <w:highlight w:val="none"/>
        </w:rPr>
      </w:pPr>
      <w:r>
        <w:rPr>
          <w:rFonts w:hint="eastAsia" w:ascii="宋体" w:hAnsi="宋体"/>
          <w:color w:val="auto"/>
          <w:szCs w:val="21"/>
          <w:highlight w:val="none"/>
        </w:rPr>
        <w:t>（2）措施项目：</w:t>
      </w:r>
    </w:p>
    <w:p>
      <w:pPr>
        <w:tabs>
          <w:tab w:val="left" w:pos="711"/>
          <w:tab w:val="left" w:pos="2580"/>
        </w:tabs>
        <w:spacing w:line="360" w:lineRule="auto"/>
        <w:ind w:right="105" w:rightChars="50" w:firstLine="420" w:firstLineChars="200"/>
        <w:jc w:val="left"/>
        <w:textAlignment w:val="baseline"/>
        <w:rPr>
          <w:rFonts w:ascii="宋体" w:hAnsi="宋体"/>
          <w:color w:val="auto"/>
          <w:szCs w:val="21"/>
          <w:highlight w:val="none"/>
          <w:u w:val="single"/>
        </w:rPr>
      </w:pPr>
      <w:r>
        <w:rPr>
          <w:rFonts w:hint="eastAsia" w:ascii="宋体" w:hAnsi="宋体"/>
          <w:color w:val="auto"/>
          <w:szCs w:val="21"/>
          <w:highlight w:val="none"/>
          <w:u w:val="single"/>
        </w:rPr>
        <w:t>①已标价工程量清单范围内以项为计量单位的措施项目费（安全文明施工费除外）包干使用；不以项为计量单位的措施项目费按第14.2.1项〔竣工结算办理办法〕分部分项约定执行</w:t>
      </w:r>
      <w:r>
        <w:rPr>
          <w:rFonts w:hint="eastAsia" w:ascii="宋体" w:hAnsi="宋体"/>
          <w:color w:val="auto"/>
          <w:szCs w:val="21"/>
          <w:highlight w:val="none"/>
        </w:rPr>
        <w:t>。</w:t>
      </w:r>
    </w:p>
    <w:p>
      <w:pPr>
        <w:tabs>
          <w:tab w:val="left" w:pos="711"/>
          <w:tab w:val="left" w:pos="2580"/>
        </w:tabs>
        <w:spacing w:line="360" w:lineRule="auto"/>
        <w:ind w:right="105" w:rightChars="50" w:firstLine="420" w:firstLineChars="200"/>
        <w:jc w:val="left"/>
        <w:textAlignment w:val="baseline"/>
        <w:rPr>
          <w:rFonts w:ascii="宋体" w:hAnsi="宋体"/>
          <w:color w:val="auto"/>
          <w:szCs w:val="21"/>
          <w:highlight w:val="none"/>
          <w:u w:val="single"/>
        </w:rPr>
      </w:pPr>
      <w:r>
        <w:rPr>
          <w:rFonts w:hint="eastAsia" w:ascii="宋体" w:hAnsi="宋体"/>
          <w:color w:val="auto"/>
          <w:szCs w:val="21"/>
          <w:highlight w:val="none"/>
          <w:u w:val="single"/>
        </w:rPr>
        <w:t>②工程变更引起施工方案改变使措施项目发生变化的，经监理人、发包人确定后可对按第10.4.3项约定执行</w:t>
      </w:r>
      <w:r>
        <w:rPr>
          <w:rFonts w:hint="eastAsia" w:ascii="宋体" w:hAnsi="宋体"/>
          <w:color w:val="auto"/>
          <w:szCs w:val="21"/>
          <w:highlight w:val="none"/>
        </w:rPr>
        <w:t>。</w:t>
      </w:r>
    </w:p>
    <w:p>
      <w:pPr>
        <w:tabs>
          <w:tab w:val="left" w:pos="711"/>
          <w:tab w:val="left" w:pos="2580"/>
        </w:tabs>
        <w:spacing w:line="360" w:lineRule="auto"/>
        <w:ind w:right="105" w:rightChars="50" w:firstLine="420" w:firstLineChars="200"/>
        <w:jc w:val="left"/>
        <w:textAlignment w:val="baseline"/>
        <w:rPr>
          <w:rFonts w:ascii="宋体" w:hAnsi="宋体"/>
          <w:color w:val="auto"/>
          <w:szCs w:val="21"/>
          <w:highlight w:val="none"/>
          <w:u w:val="single"/>
        </w:rPr>
      </w:pPr>
      <w:r>
        <w:rPr>
          <w:rFonts w:hint="eastAsia" w:ascii="宋体" w:hAnsi="宋体"/>
          <w:color w:val="auto"/>
          <w:szCs w:val="21"/>
          <w:highlight w:val="none"/>
          <w:u w:val="single"/>
        </w:rPr>
        <w:t>③安全文明施工费按照《重庆市建设工程安全文明施工费计取及使用管理规定》（渝建发〔2014〕25号）、《重庆市住房和城乡建设委员会关于调整建设施工现场形象品质提升安全文明施工费计取的通知》（渝建管〔2020〕97号）、《重庆市建设工程费用定额》（CQFYDE-2018）、《重庆市城乡建设委员会关于适用增值税新税率调整建设工程计价依据的通知》（渝建〔2019〕143号）的规定进行结算</w:t>
      </w:r>
      <w:r>
        <w:rPr>
          <w:rFonts w:hint="eastAsia" w:ascii="宋体" w:hAnsi="宋体"/>
          <w:color w:val="auto"/>
          <w:szCs w:val="21"/>
          <w:highlight w:val="none"/>
        </w:rPr>
        <w:t>。</w:t>
      </w:r>
    </w:p>
    <w:p>
      <w:pPr>
        <w:tabs>
          <w:tab w:val="left" w:pos="711"/>
          <w:tab w:val="left" w:pos="2580"/>
        </w:tabs>
        <w:spacing w:line="360" w:lineRule="auto"/>
        <w:ind w:right="105" w:rightChars="50" w:firstLine="420" w:firstLineChars="200"/>
        <w:jc w:val="left"/>
        <w:textAlignment w:val="baseline"/>
        <w:rPr>
          <w:rFonts w:ascii="宋体" w:hAnsi="宋体"/>
          <w:color w:val="auto"/>
          <w:szCs w:val="21"/>
          <w:highlight w:val="none"/>
        </w:rPr>
      </w:pPr>
      <w:r>
        <w:rPr>
          <w:rFonts w:hint="eastAsia" w:ascii="宋体" w:hAnsi="宋体"/>
          <w:color w:val="auto"/>
          <w:szCs w:val="21"/>
          <w:highlight w:val="none"/>
        </w:rPr>
        <w:t>（3）其他项目：</w:t>
      </w:r>
    </w:p>
    <w:p>
      <w:pPr>
        <w:spacing w:line="360" w:lineRule="auto"/>
        <w:ind w:right="105" w:rightChars="50" w:firstLine="420" w:firstLineChars="200"/>
        <w:jc w:val="left"/>
        <w:rPr>
          <w:rFonts w:ascii="宋体" w:hAnsi="宋体"/>
          <w:color w:val="auto"/>
          <w:szCs w:val="21"/>
          <w:highlight w:val="none"/>
        </w:rPr>
      </w:pPr>
      <w:r>
        <w:rPr>
          <w:rFonts w:hint="eastAsia" w:ascii="宋体" w:hAnsi="宋体"/>
          <w:color w:val="auto"/>
          <w:szCs w:val="21"/>
          <w:highlight w:val="none"/>
        </w:rPr>
        <w:t>①材料（工程设备）暂估价：</w:t>
      </w:r>
      <w:r>
        <w:rPr>
          <w:rFonts w:hint="eastAsia" w:ascii="宋体" w:hAnsi="宋体"/>
          <w:color w:val="auto"/>
          <w:szCs w:val="21"/>
          <w:highlight w:val="none"/>
          <w:u w:val="single"/>
        </w:rPr>
        <w:t>按照第12.3.1项〔计量原则〕约定及对应定额消耗量确定的数量乘以监理人、跟审单位、发包人根据市场行情认质核价确定的价格进行结算</w:t>
      </w:r>
      <w:r>
        <w:rPr>
          <w:rFonts w:hint="eastAsia" w:ascii="宋体" w:hAnsi="宋体"/>
          <w:color w:val="auto"/>
          <w:szCs w:val="21"/>
          <w:highlight w:val="none"/>
        </w:rPr>
        <w:t>。</w:t>
      </w:r>
    </w:p>
    <w:p>
      <w:pPr>
        <w:spacing w:line="360" w:lineRule="auto"/>
        <w:ind w:right="105" w:rightChars="50" w:firstLine="420" w:firstLineChars="200"/>
        <w:jc w:val="left"/>
        <w:rPr>
          <w:rFonts w:ascii="宋体" w:hAnsi="宋体"/>
          <w:color w:val="auto"/>
          <w:szCs w:val="21"/>
          <w:highlight w:val="none"/>
        </w:rPr>
      </w:pPr>
      <w:r>
        <w:rPr>
          <w:rFonts w:hint="eastAsia" w:ascii="宋体" w:hAnsi="宋体"/>
          <w:color w:val="auto"/>
          <w:szCs w:val="21"/>
          <w:highlight w:val="none"/>
        </w:rPr>
        <w:t>②专业工程暂估价：</w:t>
      </w:r>
    </w:p>
    <w:p>
      <w:pPr>
        <w:spacing w:line="360" w:lineRule="auto"/>
        <w:ind w:right="105" w:rightChars="50" w:firstLine="420" w:firstLineChars="200"/>
        <w:jc w:val="left"/>
        <w:rPr>
          <w:rFonts w:ascii="宋体" w:hAnsi="宋体"/>
          <w:color w:val="auto"/>
          <w:szCs w:val="21"/>
          <w:highlight w:val="none"/>
        </w:rPr>
      </w:pPr>
      <w:r>
        <w:rPr>
          <w:rFonts w:hint="eastAsia" w:ascii="宋体" w:hAnsi="宋体"/>
          <w:color w:val="auto"/>
          <w:szCs w:val="21"/>
          <w:highlight w:val="none"/>
          <w:u w:val="single"/>
        </w:rPr>
        <w:t>1）对于不属于依法必须招标的暂估价项目：按发包人审定的价格进行结算</w:t>
      </w:r>
      <w:r>
        <w:rPr>
          <w:rFonts w:hint="eastAsia" w:ascii="宋体" w:hAnsi="宋体"/>
          <w:color w:val="auto"/>
          <w:szCs w:val="21"/>
          <w:highlight w:val="none"/>
        </w:rPr>
        <w:t>。</w:t>
      </w:r>
    </w:p>
    <w:p>
      <w:pPr>
        <w:spacing w:line="360" w:lineRule="auto"/>
        <w:ind w:right="105" w:rightChars="50" w:firstLine="420" w:firstLineChars="200"/>
        <w:jc w:val="left"/>
        <w:rPr>
          <w:rFonts w:ascii="宋体" w:hAnsi="宋体"/>
          <w:color w:val="auto"/>
          <w:szCs w:val="21"/>
          <w:highlight w:val="none"/>
        </w:rPr>
      </w:pPr>
      <w:r>
        <w:rPr>
          <w:rFonts w:hint="eastAsia" w:ascii="宋体" w:hAnsi="宋体"/>
          <w:color w:val="auto"/>
          <w:szCs w:val="21"/>
          <w:highlight w:val="none"/>
          <w:u w:val="single"/>
        </w:rPr>
        <w:t>2）对于依法必须招标的暂估价项目：达到招标规模标准的暂估价内容，包括专业工程暂估价和材料设备暂估价均应招标确定，并按暂估价招标文件约定结算</w:t>
      </w:r>
      <w:r>
        <w:rPr>
          <w:rFonts w:hint="eastAsia" w:ascii="宋体" w:hAnsi="宋体"/>
          <w:color w:val="auto"/>
          <w:szCs w:val="21"/>
          <w:highlight w:val="none"/>
        </w:rPr>
        <w:t>。</w:t>
      </w:r>
    </w:p>
    <w:p>
      <w:pPr>
        <w:spacing w:line="360" w:lineRule="auto"/>
        <w:ind w:right="105" w:rightChars="50" w:firstLine="420" w:firstLineChars="200"/>
        <w:jc w:val="left"/>
        <w:rPr>
          <w:rFonts w:ascii="宋体" w:hAnsi="宋体"/>
          <w:color w:val="auto"/>
          <w:szCs w:val="21"/>
          <w:highlight w:val="none"/>
        </w:rPr>
      </w:pPr>
      <w:r>
        <w:rPr>
          <w:rFonts w:hint="eastAsia" w:ascii="宋体" w:hAnsi="宋体"/>
          <w:color w:val="auto"/>
          <w:szCs w:val="21"/>
          <w:highlight w:val="none"/>
          <w:u w:val="single"/>
        </w:rPr>
        <w:t>3）总承包服务费：总承包服务费包干使用，结算时不作调整</w:t>
      </w:r>
      <w:r>
        <w:rPr>
          <w:rFonts w:hint="eastAsia" w:ascii="宋体" w:hAnsi="宋体"/>
          <w:color w:val="auto"/>
          <w:szCs w:val="21"/>
          <w:highlight w:val="none"/>
        </w:rPr>
        <w:t>。</w:t>
      </w:r>
    </w:p>
    <w:p>
      <w:pPr>
        <w:tabs>
          <w:tab w:val="left" w:pos="711"/>
          <w:tab w:val="left" w:pos="2580"/>
        </w:tabs>
        <w:spacing w:line="360" w:lineRule="auto"/>
        <w:ind w:right="105" w:rightChars="50" w:firstLine="420" w:firstLineChars="200"/>
        <w:jc w:val="left"/>
        <w:textAlignment w:val="baseline"/>
        <w:rPr>
          <w:rFonts w:ascii="宋体" w:hAnsi="宋体"/>
          <w:color w:val="auto"/>
          <w:szCs w:val="21"/>
          <w:highlight w:val="none"/>
        </w:rPr>
      </w:pPr>
      <w:r>
        <w:rPr>
          <w:rFonts w:hint="eastAsia" w:ascii="宋体" w:hAnsi="宋体"/>
          <w:color w:val="auto"/>
          <w:szCs w:val="21"/>
          <w:highlight w:val="none"/>
        </w:rPr>
        <w:t>（4）价格调整：</w:t>
      </w:r>
      <w:r>
        <w:rPr>
          <w:rFonts w:hint="eastAsia" w:ascii="宋体" w:hAnsi="宋体"/>
          <w:color w:val="auto"/>
          <w:szCs w:val="21"/>
          <w:highlight w:val="none"/>
          <w:u w:val="single"/>
        </w:rPr>
        <w:t>按照第11条〔价格调整〕约定约定执行</w:t>
      </w:r>
      <w:r>
        <w:rPr>
          <w:rFonts w:hint="eastAsia" w:ascii="宋体" w:hAnsi="宋体"/>
          <w:color w:val="auto"/>
          <w:szCs w:val="21"/>
          <w:highlight w:val="none"/>
        </w:rPr>
        <w:t>。</w:t>
      </w:r>
    </w:p>
    <w:p>
      <w:pPr>
        <w:tabs>
          <w:tab w:val="left" w:pos="711"/>
          <w:tab w:val="left" w:pos="2580"/>
        </w:tabs>
        <w:spacing w:line="360" w:lineRule="auto"/>
        <w:ind w:right="105" w:rightChars="50" w:firstLine="420" w:firstLineChars="200"/>
        <w:jc w:val="left"/>
        <w:textAlignment w:val="baseline"/>
        <w:rPr>
          <w:rFonts w:ascii="宋体" w:hAnsi="宋体"/>
          <w:color w:val="auto"/>
          <w:szCs w:val="21"/>
          <w:highlight w:val="none"/>
          <w:u w:val="single"/>
        </w:rPr>
      </w:pPr>
      <w:r>
        <w:rPr>
          <w:rFonts w:hint="eastAsia" w:ascii="宋体" w:hAnsi="宋体"/>
          <w:color w:val="auto"/>
          <w:szCs w:val="21"/>
          <w:highlight w:val="none"/>
        </w:rPr>
        <w:t>（5）工程变更、索赔与现场签证：</w:t>
      </w:r>
    </w:p>
    <w:p>
      <w:pPr>
        <w:tabs>
          <w:tab w:val="left" w:pos="711"/>
          <w:tab w:val="left" w:pos="2580"/>
        </w:tabs>
        <w:spacing w:line="360" w:lineRule="auto"/>
        <w:ind w:right="105" w:rightChars="50" w:firstLine="420" w:firstLineChars="200"/>
        <w:jc w:val="left"/>
        <w:textAlignment w:val="baseline"/>
        <w:rPr>
          <w:rFonts w:ascii="宋体" w:hAnsi="宋体"/>
          <w:color w:val="auto"/>
          <w:szCs w:val="21"/>
          <w:highlight w:val="none"/>
          <w:u w:val="single"/>
        </w:rPr>
      </w:pPr>
      <w:r>
        <w:rPr>
          <w:rFonts w:hint="eastAsia" w:ascii="宋体" w:hAnsi="宋体"/>
          <w:color w:val="auto"/>
          <w:szCs w:val="21"/>
          <w:highlight w:val="none"/>
        </w:rPr>
        <w:t>1）工程变更：按照第10.4.1项〔变更估价原则〕约定确定为总价包干的，按审定包干总价计入结算；其余项目按照有效的竣工结算资料和第12.3.1项〔计量原则〕约定确定的工程量乘以相应的按照第10.4.1项〔变更估价原则〕约定确定综合单价来确定该部分结算价。</w:t>
      </w:r>
    </w:p>
    <w:p>
      <w:pPr>
        <w:tabs>
          <w:tab w:val="left" w:pos="711"/>
          <w:tab w:val="left" w:pos="2580"/>
        </w:tabs>
        <w:spacing w:line="360" w:lineRule="auto"/>
        <w:ind w:right="105" w:rightChars="50" w:firstLine="420" w:firstLineChars="200"/>
        <w:jc w:val="left"/>
        <w:textAlignment w:val="baseline"/>
        <w:rPr>
          <w:rFonts w:ascii="宋体" w:hAnsi="宋体"/>
          <w:color w:val="auto"/>
          <w:szCs w:val="21"/>
          <w:highlight w:val="none"/>
          <w:u w:val="single"/>
        </w:rPr>
      </w:pPr>
      <w:r>
        <w:rPr>
          <w:rFonts w:hint="eastAsia" w:ascii="宋体" w:hAnsi="宋体"/>
          <w:color w:val="auto"/>
          <w:szCs w:val="21"/>
          <w:highlight w:val="none"/>
        </w:rPr>
        <w:t>2）索赔：按照第10.4.1项〔变更估价原则〕和第14.2.1项〔竣工结算办法〕约定执行。</w:t>
      </w:r>
    </w:p>
    <w:p>
      <w:pPr>
        <w:tabs>
          <w:tab w:val="left" w:pos="711"/>
          <w:tab w:val="left" w:pos="2580"/>
        </w:tabs>
        <w:spacing w:line="360" w:lineRule="auto"/>
        <w:ind w:right="105" w:rightChars="50" w:firstLine="420" w:firstLineChars="200"/>
        <w:jc w:val="left"/>
        <w:textAlignment w:val="baseline"/>
        <w:rPr>
          <w:rFonts w:ascii="宋体" w:hAnsi="宋体"/>
          <w:color w:val="auto"/>
          <w:szCs w:val="21"/>
          <w:highlight w:val="none"/>
          <w:u w:val="single"/>
        </w:rPr>
      </w:pPr>
      <w:r>
        <w:rPr>
          <w:rFonts w:hint="eastAsia" w:ascii="宋体" w:hAnsi="宋体"/>
          <w:color w:val="auto"/>
          <w:szCs w:val="21"/>
          <w:highlight w:val="none"/>
        </w:rPr>
        <w:t>3）现场签证：按照第10.4.1项〔变更估价原则〕和第14.2.1项〔竣工结算办法〕约定执行。</w:t>
      </w:r>
    </w:p>
    <w:p>
      <w:pPr>
        <w:tabs>
          <w:tab w:val="left" w:pos="711"/>
          <w:tab w:val="left" w:pos="2580"/>
        </w:tabs>
        <w:spacing w:line="360" w:lineRule="auto"/>
        <w:ind w:right="105" w:rightChars="50" w:firstLine="420" w:firstLineChars="200"/>
        <w:jc w:val="left"/>
        <w:textAlignment w:val="baseline"/>
        <w:rPr>
          <w:rFonts w:ascii="宋体" w:hAnsi="宋体"/>
          <w:color w:val="auto"/>
          <w:szCs w:val="21"/>
          <w:highlight w:val="none"/>
          <w:u w:val="single"/>
        </w:rPr>
      </w:pPr>
      <w:r>
        <w:rPr>
          <w:rFonts w:hint="eastAsia" w:ascii="宋体" w:hAnsi="宋体"/>
          <w:color w:val="auto"/>
          <w:szCs w:val="21"/>
          <w:highlight w:val="none"/>
        </w:rPr>
        <w:t>（6）奖励、罚金、违约金及其他费用：</w:t>
      </w:r>
      <w:r>
        <w:rPr>
          <w:rFonts w:hint="eastAsia" w:ascii="宋体" w:hAnsi="宋体"/>
          <w:color w:val="auto"/>
          <w:szCs w:val="21"/>
          <w:highlight w:val="none"/>
          <w:u w:val="single"/>
        </w:rPr>
        <w:t>按实进行结算</w:t>
      </w:r>
      <w:r>
        <w:rPr>
          <w:rFonts w:hint="eastAsia" w:ascii="宋体" w:hAnsi="宋体"/>
          <w:color w:val="auto"/>
          <w:szCs w:val="21"/>
          <w:highlight w:val="none"/>
        </w:rPr>
        <w:t>。</w:t>
      </w:r>
    </w:p>
    <w:p>
      <w:pPr>
        <w:tabs>
          <w:tab w:val="left" w:pos="711"/>
          <w:tab w:val="left" w:pos="2580"/>
        </w:tabs>
        <w:spacing w:line="360" w:lineRule="auto"/>
        <w:ind w:right="105" w:rightChars="50" w:firstLine="420" w:firstLineChars="200"/>
        <w:jc w:val="left"/>
        <w:textAlignment w:val="baseline"/>
        <w:rPr>
          <w:rFonts w:ascii="宋体" w:hAnsi="宋体"/>
          <w:color w:val="auto"/>
          <w:szCs w:val="21"/>
          <w:highlight w:val="none"/>
          <w:u w:val="single"/>
        </w:rPr>
      </w:pPr>
      <w:r>
        <w:rPr>
          <w:rFonts w:hint="eastAsia" w:ascii="宋体" w:hAnsi="宋体"/>
          <w:color w:val="auto"/>
          <w:szCs w:val="21"/>
          <w:highlight w:val="none"/>
        </w:rPr>
        <w:t>（7）规费：已标价工程量清单中规费费用按《重庆市建设工程费用定额》（CQFYDE-2018）执行。</w:t>
      </w:r>
    </w:p>
    <w:p>
      <w:pPr>
        <w:tabs>
          <w:tab w:val="left" w:pos="711"/>
          <w:tab w:val="left" w:pos="2580"/>
        </w:tabs>
        <w:spacing w:line="360" w:lineRule="auto"/>
        <w:ind w:right="105" w:rightChars="50" w:firstLine="420" w:firstLineChars="200"/>
        <w:jc w:val="left"/>
        <w:textAlignment w:val="baseline"/>
        <w:rPr>
          <w:rFonts w:ascii="宋体" w:hAnsi="宋体"/>
          <w:color w:val="auto"/>
          <w:szCs w:val="21"/>
          <w:highlight w:val="none"/>
          <w:u w:val="single"/>
        </w:rPr>
      </w:pPr>
      <w:r>
        <w:rPr>
          <w:rFonts w:hint="eastAsia" w:ascii="宋体" w:hAnsi="宋体"/>
          <w:color w:val="auto"/>
          <w:szCs w:val="21"/>
          <w:highlight w:val="none"/>
        </w:rPr>
        <w:t>（8）税金：包含增值税、城市维护建设税、教育费附加、地方教育附加以及环境保护税。其中增值税按《重庆市建设工程费用定额》（CQFYDE-2018）、《重庆市城乡建设委员会关于适用增值税新税率调整建设工程计价依据的通知》（渝建〔2019〕143号）规定执行，环境保护税按实结算。</w:t>
      </w:r>
    </w:p>
    <w:p>
      <w:pPr>
        <w:spacing w:line="360" w:lineRule="auto"/>
        <w:ind w:right="105" w:rightChars="50" w:firstLine="420" w:firstLineChars="200"/>
        <w:jc w:val="left"/>
        <w:rPr>
          <w:rFonts w:ascii="宋体" w:hAnsi="宋体"/>
          <w:color w:val="auto"/>
          <w:szCs w:val="21"/>
          <w:highlight w:val="none"/>
        </w:rPr>
      </w:pPr>
      <w:r>
        <w:rPr>
          <w:rFonts w:hint="eastAsia" w:ascii="宋体" w:hAnsi="宋体"/>
          <w:color w:val="auto"/>
          <w:szCs w:val="21"/>
          <w:highlight w:val="none"/>
        </w:rPr>
        <w:t>14.2.1.3竣工结算价</w:t>
      </w:r>
    </w:p>
    <w:p>
      <w:pPr>
        <w:tabs>
          <w:tab w:val="left" w:pos="711"/>
          <w:tab w:val="left" w:pos="2580"/>
        </w:tabs>
        <w:spacing w:line="360" w:lineRule="auto"/>
        <w:ind w:right="105" w:rightChars="50" w:firstLine="420" w:firstLineChars="200"/>
        <w:jc w:val="left"/>
        <w:textAlignment w:val="baseline"/>
        <w:rPr>
          <w:rFonts w:ascii="宋体" w:hAnsi="宋体"/>
          <w:color w:val="auto"/>
          <w:szCs w:val="21"/>
          <w:highlight w:val="none"/>
          <w:u w:val="single"/>
        </w:rPr>
      </w:pPr>
      <w:bookmarkStart w:id="1258" w:name="_Hlk528660512"/>
      <w:r>
        <w:rPr>
          <w:rFonts w:hint="eastAsia" w:ascii="宋体" w:hAnsi="宋体"/>
          <w:color w:val="auto"/>
          <w:szCs w:val="21"/>
          <w:highlight w:val="none"/>
          <w:u w:val="single"/>
        </w:rPr>
        <w:t>以发包人会同跟审单位、监理人、承包人根据有效资料共同确定竣工结算金额作为合同竣工结算价</w:t>
      </w:r>
      <w:r>
        <w:rPr>
          <w:rFonts w:hint="eastAsia" w:ascii="宋体" w:hAnsi="宋体"/>
          <w:color w:val="auto"/>
          <w:szCs w:val="21"/>
          <w:highlight w:val="none"/>
        </w:rPr>
        <w:t>。</w:t>
      </w:r>
    </w:p>
    <w:bookmarkEnd w:id="1258"/>
    <w:p>
      <w:pPr>
        <w:spacing w:line="360" w:lineRule="auto"/>
        <w:ind w:right="105" w:rightChars="50" w:firstLine="420" w:firstLineChars="200"/>
        <w:jc w:val="left"/>
        <w:rPr>
          <w:rFonts w:ascii="宋体" w:hAnsi="宋体"/>
          <w:color w:val="auto"/>
          <w:szCs w:val="21"/>
          <w:highlight w:val="none"/>
        </w:rPr>
      </w:pPr>
      <w:r>
        <w:rPr>
          <w:rFonts w:hint="eastAsia" w:ascii="宋体" w:hAnsi="宋体"/>
          <w:color w:val="auto"/>
          <w:szCs w:val="21"/>
          <w:highlight w:val="none"/>
        </w:rPr>
        <w:t>14.2.2 竣工结算审核期限</w:t>
      </w:r>
    </w:p>
    <w:p>
      <w:pPr>
        <w:spacing w:line="360" w:lineRule="auto"/>
        <w:ind w:right="105" w:rightChars="50" w:firstLine="420" w:firstLineChars="200"/>
        <w:jc w:val="left"/>
        <w:rPr>
          <w:rFonts w:ascii="宋体" w:hAnsi="宋体"/>
          <w:color w:val="auto"/>
          <w:szCs w:val="21"/>
          <w:highlight w:val="none"/>
        </w:rPr>
      </w:pPr>
      <w:r>
        <w:rPr>
          <w:rFonts w:hint="eastAsia" w:ascii="宋体" w:hAnsi="宋体"/>
          <w:color w:val="auto"/>
          <w:szCs w:val="21"/>
          <w:highlight w:val="none"/>
        </w:rPr>
        <w:t>监理人审核竣工付款申请单的期限：</w:t>
      </w:r>
      <w:r>
        <w:rPr>
          <w:rFonts w:hint="eastAsia" w:ascii="宋体" w:hAnsi="宋体"/>
          <w:color w:val="auto"/>
          <w:szCs w:val="21"/>
          <w:highlight w:val="none"/>
          <w:u w:val="single"/>
        </w:rPr>
        <w:t>不超过  日</w:t>
      </w:r>
      <w:r>
        <w:rPr>
          <w:rFonts w:hint="eastAsia" w:ascii="宋体" w:hAnsi="宋体"/>
          <w:color w:val="auto"/>
          <w:szCs w:val="21"/>
          <w:highlight w:val="none"/>
        </w:rPr>
        <w:t>。</w:t>
      </w:r>
    </w:p>
    <w:p>
      <w:pPr>
        <w:spacing w:line="360" w:lineRule="auto"/>
        <w:ind w:right="105" w:rightChars="50" w:firstLine="420" w:firstLineChars="200"/>
        <w:jc w:val="left"/>
        <w:rPr>
          <w:rFonts w:ascii="宋体" w:hAnsi="宋体"/>
          <w:color w:val="auto"/>
          <w:szCs w:val="21"/>
          <w:highlight w:val="none"/>
        </w:rPr>
      </w:pPr>
      <w:r>
        <w:rPr>
          <w:rFonts w:hint="eastAsia" w:ascii="宋体" w:hAnsi="宋体"/>
          <w:color w:val="auto"/>
          <w:szCs w:val="21"/>
          <w:highlight w:val="none"/>
        </w:rPr>
        <w:t>发包人审核竣工付款申请单的期限：</w:t>
      </w:r>
      <w:r>
        <w:rPr>
          <w:rFonts w:hint="eastAsia" w:ascii="宋体" w:hAnsi="宋体"/>
          <w:color w:val="auto"/>
          <w:szCs w:val="21"/>
          <w:highlight w:val="none"/>
          <w:u w:val="single"/>
        </w:rPr>
        <w:t>不超过  日</w:t>
      </w:r>
      <w:r>
        <w:rPr>
          <w:rFonts w:hint="eastAsia" w:ascii="宋体" w:hAnsi="宋体"/>
          <w:color w:val="auto"/>
          <w:szCs w:val="21"/>
          <w:highlight w:val="none"/>
        </w:rPr>
        <w:t>。</w:t>
      </w:r>
    </w:p>
    <w:p>
      <w:pPr>
        <w:spacing w:line="360" w:lineRule="auto"/>
        <w:ind w:right="105" w:rightChars="50" w:firstLine="420" w:firstLineChars="200"/>
        <w:jc w:val="left"/>
        <w:rPr>
          <w:rFonts w:ascii="宋体" w:hAnsi="宋体"/>
          <w:color w:val="auto"/>
          <w:szCs w:val="21"/>
          <w:highlight w:val="none"/>
        </w:rPr>
      </w:pPr>
      <w:r>
        <w:rPr>
          <w:rFonts w:hint="eastAsia" w:ascii="宋体" w:hAnsi="宋体"/>
          <w:color w:val="auto"/>
          <w:szCs w:val="21"/>
          <w:highlight w:val="none"/>
        </w:rPr>
        <w:t>发包人完成竣工付款的期限：</w:t>
      </w:r>
      <w:r>
        <w:rPr>
          <w:rFonts w:hint="eastAsia" w:ascii="宋体" w:hAnsi="宋体"/>
          <w:color w:val="auto"/>
          <w:szCs w:val="21"/>
          <w:highlight w:val="none"/>
          <w:u w:val="single"/>
        </w:rPr>
        <w:t>完成竣工付款申请单审核后  天内</w:t>
      </w:r>
      <w:r>
        <w:rPr>
          <w:rFonts w:hint="eastAsia" w:ascii="宋体" w:hAnsi="宋体"/>
          <w:color w:val="auto"/>
          <w:szCs w:val="21"/>
          <w:highlight w:val="none"/>
        </w:rPr>
        <w:t>。</w:t>
      </w:r>
    </w:p>
    <w:p>
      <w:pPr>
        <w:spacing w:line="360" w:lineRule="auto"/>
        <w:ind w:right="105" w:rightChars="50" w:firstLine="420" w:firstLineChars="200"/>
        <w:jc w:val="left"/>
        <w:rPr>
          <w:rFonts w:ascii="宋体" w:hAnsi="宋体"/>
          <w:color w:val="auto"/>
          <w:szCs w:val="21"/>
          <w:highlight w:val="none"/>
        </w:rPr>
      </w:pPr>
      <w:r>
        <w:rPr>
          <w:rFonts w:hint="eastAsia" w:ascii="宋体" w:hAnsi="宋体"/>
          <w:color w:val="auto"/>
          <w:szCs w:val="21"/>
          <w:highlight w:val="none"/>
        </w:rPr>
        <w:t>关于竣工付款证书异议部分复核的方式和程序： 按照第20条〔争议解决〕约定处理。</w:t>
      </w:r>
    </w:p>
    <w:p>
      <w:pPr>
        <w:pStyle w:val="6"/>
        <w:spacing w:before="0" w:beforeAutospacing="0" w:after="0" w:afterAutospacing="0" w:line="360" w:lineRule="auto"/>
        <w:ind w:firstLine="422" w:firstLineChars="200"/>
        <w:rPr>
          <w:color w:val="auto"/>
          <w:sz w:val="21"/>
          <w:szCs w:val="21"/>
          <w:highlight w:val="none"/>
        </w:rPr>
      </w:pPr>
      <w:bookmarkStart w:id="1259" w:name="_Toc532377396"/>
      <w:bookmarkStart w:id="1260" w:name="_Toc532375659"/>
      <w:r>
        <w:rPr>
          <w:rFonts w:hint="eastAsia"/>
          <w:color w:val="auto"/>
          <w:sz w:val="21"/>
          <w:szCs w:val="21"/>
          <w:highlight w:val="none"/>
        </w:rPr>
        <w:t>14.4 最终结清</w:t>
      </w:r>
      <w:bookmarkEnd w:id="1259"/>
      <w:bookmarkEnd w:id="1260"/>
    </w:p>
    <w:p>
      <w:pPr>
        <w:spacing w:line="360" w:lineRule="auto"/>
        <w:ind w:right="105" w:rightChars="50" w:firstLine="420" w:firstLineChars="200"/>
        <w:jc w:val="left"/>
        <w:rPr>
          <w:rFonts w:ascii="宋体" w:hAnsi="宋体"/>
          <w:color w:val="auto"/>
          <w:szCs w:val="21"/>
          <w:highlight w:val="none"/>
        </w:rPr>
      </w:pPr>
      <w:r>
        <w:rPr>
          <w:rFonts w:hint="eastAsia" w:ascii="宋体" w:hAnsi="宋体"/>
          <w:color w:val="auto"/>
          <w:szCs w:val="21"/>
          <w:highlight w:val="none"/>
        </w:rPr>
        <w:t>14.4.1 最终结清申请单</w:t>
      </w:r>
    </w:p>
    <w:p>
      <w:pPr>
        <w:spacing w:line="360" w:lineRule="auto"/>
        <w:ind w:right="105" w:rightChars="50" w:firstLine="420" w:firstLineChars="200"/>
        <w:jc w:val="left"/>
        <w:rPr>
          <w:rFonts w:ascii="宋体" w:hAnsi="宋体"/>
          <w:color w:val="auto"/>
          <w:szCs w:val="21"/>
          <w:highlight w:val="none"/>
        </w:rPr>
      </w:pPr>
      <w:r>
        <w:rPr>
          <w:rFonts w:hint="eastAsia" w:ascii="宋体" w:hAnsi="宋体"/>
          <w:color w:val="auto"/>
          <w:szCs w:val="21"/>
          <w:highlight w:val="none"/>
        </w:rPr>
        <w:t>承包人提交最终结清申请单的份数：</w:t>
      </w:r>
      <w:r>
        <w:rPr>
          <w:rFonts w:hint="eastAsia" w:ascii="宋体" w:hAnsi="宋体"/>
          <w:color w:val="auto"/>
          <w:szCs w:val="21"/>
          <w:highlight w:val="none"/>
          <w:u w:val="single"/>
        </w:rPr>
        <w:t>3份</w:t>
      </w:r>
      <w:r>
        <w:rPr>
          <w:rFonts w:hint="eastAsia" w:ascii="宋体" w:hAnsi="宋体"/>
          <w:color w:val="auto"/>
          <w:szCs w:val="21"/>
          <w:highlight w:val="none"/>
        </w:rPr>
        <w:t>。</w:t>
      </w:r>
    </w:p>
    <w:p>
      <w:pPr>
        <w:spacing w:line="360" w:lineRule="auto"/>
        <w:ind w:right="105" w:rightChars="50" w:firstLine="420" w:firstLineChars="200"/>
        <w:jc w:val="left"/>
        <w:rPr>
          <w:rFonts w:ascii="宋体" w:hAnsi="宋体"/>
          <w:color w:val="auto"/>
          <w:szCs w:val="21"/>
          <w:highlight w:val="none"/>
        </w:rPr>
      </w:pPr>
      <w:r>
        <w:rPr>
          <w:rFonts w:hint="eastAsia" w:ascii="宋体" w:hAnsi="宋体"/>
          <w:color w:val="auto"/>
          <w:szCs w:val="21"/>
          <w:highlight w:val="none"/>
        </w:rPr>
        <w:t>承包人提交最终结算申请单的期限：</w:t>
      </w:r>
      <w:r>
        <w:rPr>
          <w:rFonts w:hint="eastAsia" w:ascii="宋体" w:hAnsi="宋体"/>
          <w:color w:val="auto"/>
          <w:szCs w:val="21"/>
          <w:highlight w:val="none"/>
          <w:u w:val="single"/>
        </w:rPr>
        <w:t>缺陷责任期终止证书颁发后14天内</w:t>
      </w:r>
      <w:r>
        <w:rPr>
          <w:rFonts w:hint="eastAsia" w:ascii="宋体" w:hAnsi="宋体"/>
          <w:color w:val="auto"/>
          <w:szCs w:val="21"/>
          <w:highlight w:val="none"/>
        </w:rPr>
        <w:t>。</w:t>
      </w:r>
    </w:p>
    <w:p>
      <w:pPr>
        <w:spacing w:line="360" w:lineRule="auto"/>
        <w:ind w:right="105" w:rightChars="50" w:firstLine="420" w:firstLineChars="200"/>
        <w:jc w:val="left"/>
        <w:rPr>
          <w:rFonts w:ascii="宋体" w:hAnsi="宋体"/>
          <w:color w:val="auto"/>
          <w:szCs w:val="21"/>
          <w:highlight w:val="none"/>
        </w:rPr>
      </w:pPr>
      <w:r>
        <w:rPr>
          <w:rFonts w:hint="eastAsia" w:ascii="宋体" w:hAnsi="宋体"/>
          <w:color w:val="auto"/>
          <w:szCs w:val="21"/>
          <w:highlight w:val="none"/>
        </w:rPr>
        <w:t>14.4.2 最终结清证书和支付</w:t>
      </w:r>
    </w:p>
    <w:p>
      <w:pPr>
        <w:spacing w:line="360" w:lineRule="auto"/>
        <w:ind w:right="105" w:rightChars="50" w:firstLine="420" w:firstLineChars="200"/>
        <w:jc w:val="left"/>
        <w:rPr>
          <w:rFonts w:ascii="宋体" w:hAnsi="宋体"/>
          <w:color w:val="auto"/>
          <w:szCs w:val="21"/>
          <w:highlight w:val="none"/>
        </w:rPr>
      </w:pPr>
      <w:r>
        <w:rPr>
          <w:rFonts w:hint="eastAsia" w:ascii="宋体" w:hAnsi="宋体"/>
          <w:color w:val="auto"/>
          <w:szCs w:val="21"/>
          <w:highlight w:val="none"/>
        </w:rPr>
        <w:t>（1）发包人完成最终结清申请单的审批并颁发最终结清证书的期限：</w:t>
      </w:r>
      <w:r>
        <w:rPr>
          <w:rFonts w:hint="eastAsia" w:ascii="宋体" w:hAnsi="宋体"/>
          <w:color w:val="auto"/>
          <w:szCs w:val="21"/>
          <w:highlight w:val="none"/>
          <w:u w:val="single"/>
        </w:rPr>
        <w:t>发包人收到完整资料后14天内完成审批并颁发最终结清证书</w:t>
      </w:r>
      <w:r>
        <w:rPr>
          <w:rFonts w:hint="eastAsia" w:ascii="宋体" w:hAnsi="宋体"/>
          <w:color w:val="auto"/>
          <w:szCs w:val="21"/>
          <w:highlight w:val="none"/>
        </w:rPr>
        <w:t>。</w:t>
      </w:r>
    </w:p>
    <w:p>
      <w:pPr>
        <w:spacing w:line="360" w:lineRule="auto"/>
        <w:ind w:right="105" w:rightChars="50" w:firstLine="420" w:firstLineChars="200"/>
        <w:jc w:val="left"/>
        <w:rPr>
          <w:rFonts w:ascii="宋体" w:hAnsi="宋体"/>
          <w:color w:val="auto"/>
          <w:szCs w:val="21"/>
          <w:highlight w:val="none"/>
        </w:rPr>
      </w:pPr>
      <w:r>
        <w:rPr>
          <w:rFonts w:hint="eastAsia" w:ascii="宋体" w:hAnsi="宋体"/>
          <w:color w:val="auto"/>
          <w:szCs w:val="21"/>
          <w:highlight w:val="none"/>
        </w:rPr>
        <w:t>（2）发包人完成支付的期限：</w:t>
      </w:r>
      <w:r>
        <w:rPr>
          <w:rFonts w:hint="eastAsia" w:ascii="宋体" w:hAnsi="宋体"/>
          <w:color w:val="auto"/>
          <w:szCs w:val="21"/>
          <w:highlight w:val="none"/>
          <w:u w:val="single"/>
        </w:rPr>
        <w:t>颁发最终结清证书的14天内</w:t>
      </w:r>
      <w:r>
        <w:rPr>
          <w:rFonts w:hint="eastAsia" w:ascii="宋体" w:hAnsi="宋体"/>
          <w:color w:val="auto"/>
          <w:szCs w:val="21"/>
          <w:highlight w:val="none"/>
        </w:rPr>
        <w:t>。</w:t>
      </w:r>
    </w:p>
    <w:p>
      <w:pPr>
        <w:spacing w:line="360" w:lineRule="auto"/>
        <w:ind w:right="105" w:rightChars="50" w:firstLine="420" w:firstLineChars="200"/>
        <w:jc w:val="left"/>
        <w:rPr>
          <w:rFonts w:ascii="宋体" w:hAnsi="宋体"/>
          <w:color w:val="auto"/>
          <w:szCs w:val="21"/>
          <w:highlight w:val="none"/>
        </w:rPr>
      </w:pPr>
      <w:r>
        <w:rPr>
          <w:rFonts w:hint="eastAsia" w:ascii="宋体" w:hAnsi="宋体"/>
          <w:color w:val="auto"/>
          <w:szCs w:val="21"/>
          <w:highlight w:val="none"/>
        </w:rPr>
        <w:t>本条补充14.5款：</w:t>
      </w:r>
    </w:p>
    <w:bookmarkEnd w:id="1220"/>
    <w:bookmarkEnd w:id="1221"/>
    <w:bookmarkEnd w:id="1222"/>
    <w:bookmarkEnd w:id="1223"/>
    <w:bookmarkEnd w:id="1224"/>
    <w:bookmarkEnd w:id="1225"/>
    <w:bookmarkEnd w:id="1226"/>
    <w:bookmarkEnd w:id="1227"/>
    <w:p>
      <w:pPr>
        <w:pStyle w:val="6"/>
        <w:spacing w:before="0" w:beforeAutospacing="0" w:after="0" w:afterAutospacing="0" w:line="360" w:lineRule="auto"/>
        <w:ind w:firstLine="422" w:firstLineChars="200"/>
        <w:rPr>
          <w:color w:val="auto"/>
          <w:sz w:val="21"/>
          <w:szCs w:val="21"/>
          <w:highlight w:val="none"/>
        </w:rPr>
      </w:pPr>
      <w:bookmarkStart w:id="1261" w:name="_Toc532375660"/>
      <w:bookmarkStart w:id="1262" w:name="_Toc532377397"/>
      <w:r>
        <w:rPr>
          <w:rFonts w:hint="eastAsia"/>
          <w:color w:val="auto"/>
          <w:sz w:val="21"/>
          <w:szCs w:val="21"/>
          <w:highlight w:val="none"/>
        </w:rPr>
        <w:t>14.5 逾期办理或不配合办理竣工结算的处理</w:t>
      </w:r>
      <w:bookmarkEnd w:id="1261"/>
      <w:bookmarkEnd w:id="1262"/>
    </w:p>
    <w:p>
      <w:pPr>
        <w:spacing w:line="360" w:lineRule="auto"/>
        <w:ind w:right="105" w:rightChars="50" w:firstLine="420" w:firstLineChars="200"/>
        <w:jc w:val="left"/>
        <w:rPr>
          <w:rFonts w:ascii="宋体" w:hAnsi="宋体"/>
          <w:color w:val="auto"/>
          <w:szCs w:val="21"/>
          <w:highlight w:val="none"/>
        </w:rPr>
      </w:pPr>
      <w:r>
        <w:rPr>
          <w:rFonts w:hint="eastAsia" w:ascii="宋体" w:hAnsi="宋体"/>
          <w:color w:val="auto"/>
          <w:szCs w:val="21"/>
          <w:highlight w:val="none"/>
        </w:rPr>
        <w:t>有下列情形之一的，视为承包人放弃与发包人共同办理竣工结算的权利，发包人有权会同跟审单位、监理人根据有效资料共同确定竣工结算金额。</w:t>
      </w:r>
    </w:p>
    <w:p>
      <w:pPr>
        <w:spacing w:line="360" w:lineRule="auto"/>
        <w:ind w:right="105" w:rightChars="50" w:firstLine="420" w:firstLineChars="200"/>
        <w:jc w:val="left"/>
        <w:rPr>
          <w:rFonts w:ascii="宋体" w:hAnsi="宋体"/>
          <w:color w:val="auto"/>
          <w:szCs w:val="21"/>
          <w:highlight w:val="none"/>
        </w:rPr>
      </w:pPr>
      <w:r>
        <w:rPr>
          <w:rFonts w:hint="eastAsia" w:ascii="宋体" w:hAnsi="宋体"/>
          <w:color w:val="auto"/>
          <w:szCs w:val="21"/>
          <w:highlight w:val="none"/>
        </w:rPr>
        <w:t>（1）承包人逾期未报送竣工结算资料，亦未获得发包人批准延期报送，经发包人两</w:t>
      </w:r>
      <w:bookmarkStart w:id="1263" w:name="_Hlk529133622"/>
      <w:r>
        <w:rPr>
          <w:rFonts w:hint="eastAsia" w:ascii="宋体" w:hAnsi="宋体"/>
          <w:color w:val="auto"/>
          <w:szCs w:val="21"/>
          <w:highlight w:val="none"/>
        </w:rPr>
        <w:t>次书面催告仍未在限期内报送的</w:t>
      </w:r>
      <w:bookmarkEnd w:id="1263"/>
      <w:r>
        <w:rPr>
          <w:rFonts w:hint="eastAsia" w:ascii="宋体" w:hAnsi="宋体"/>
          <w:color w:val="auto"/>
          <w:szCs w:val="21"/>
          <w:highlight w:val="none"/>
        </w:rPr>
        <w:t>；</w:t>
      </w:r>
    </w:p>
    <w:p>
      <w:pPr>
        <w:spacing w:line="360" w:lineRule="auto"/>
        <w:ind w:right="105" w:rightChars="50" w:firstLine="420" w:firstLineChars="200"/>
        <w:jc w:val="left"/>
        <w:rPr>
          <w:rFonts w:ascii="宋体" w:hAnsi="宋体"/>
          <w:color w:val="auto"/>
          <w:szCs w:val="21"/>
          <w:highlight w:val="none"/>
        </w:rPr>
      </w:pPr>
      <w:r>
        <w:rPr>
          <w:rFonts w:hint="eastAsia" w:ascii="宋体" w:hAnsi="宋体"/>
          <w:color w:val="auto"/>
          <w:szCs w:val="21"/>
          <w:highlight w:val="none"/>
        </w:rPr>
        <w:t>（2）承包人在接到监理人或发包人对竣工结算申请单提出的审核意见后，未在限期内按监理人或发包人提出的合理要求补充资料和（或）修改竣工结算资料，亦未获得发包人批准延期报送，经发包人两次书面催告仍未在限期内报送的；</w:t>
      </w:r>
    </w:p>
    <w:p>
      <w:pPr>
        <w:spacing w:line="360" w:lineRule="auto"/>
        <w:ind w:right="105" w:rightChars="50" w:firstLine="420" w:firstLineChars="200"/>
        <w:jc w:val="left"/>
        <w:rPr>
          <w:rFonts w:ascii="宋体" w:hAnsi="宋体"/>
          <w:color w:val="auto"/>
          <w:szCs w:val="21"/>
          <w:highlight w:val="none"/>
        </w:rPr>
      </w:pPr>
      <w:r>
        <w:rPr>
          <w:rFonts w:hint="eastAsia" w:ascii="宋体" w:hAnsi="宋体"/>
          <w:color w:val="auto"/>
          <w:szCs w:val="21"/>
          <w:highlight w:val="none"/>
        </w:rPr>
        <w:t>（3）承包人不配合发包人、跟审单位、监理人、发包人委托的工程造价咨询服务单位办理竣工结算的，经发包人两次书面函告仍未改正的。</w:t>
      </w:r>
    </w:p>
    <w:p>
      <w:pPr>
        <w:spacing w:line="360" w:lineRule="auto"/>
        <w:ind w:right="105" w:rightChars="50" w:firstLine="420" w:firstLineChars="200"/>
        <w:jc w:val="left"/>
        <w:rPr>
          <w:rFonts w:ascii="宋体" w:hAnsi="宋体"/>
          <w:color w:val="auto"/>
          <w:szCs w:val="21"/>
          <w:highlight w:val="none"/>
        </w:rPr>
      </w:pPr>
      <w:r>
        <w:rPr>
          <w:rFonts w:hint="eastAsia" w:ascii="宋体" w:hAnsi="宋体"/>
          <w:color w:val="auto"/>
          <w:szCs w:val="21"/>
          <w:highlight w:val="none"/>
        </w:rPr>
        <w:t>（4）</w:t>
      </w:r>
      <w:r>
        <w:rPr>
          <w:rFonts w:hint="eastAsia" w:ascii="宋体" w:hAnsi="宋体"/>
          <w:color w:val="auto"/>
          <w:szCs w:val="21"/>
          <w:highlight w:val="none"/>
          <w:u w:val="single"/>
        </w:rPr>
        <w:t xml:space="preserve">        </w:t>
      </w:r>
      <w:r>
        <w:rPr>
          <w:rFonts w:hint="eastAsia" w:ascii="宋体" w:hAnsi="宋体"/>
          <w:color w:val="auto"/>
          <w:szCs w:val="21"/>
          <w:highlight w:val="none"/>
        </w:rPr>
        <w:t>。</w:t>
      </w:r>
    </w:p>
    <w:p>
      <w:pPr>
        <w:spacing w:line="360" w:lineRule="auto"/>
        <w:ind w:right="105" w:rightChars="50" w:firstLine="420" w:firstLineChars="200"/>
        <w:jc w:val="left"/>
        <w:rPr>
          <w:rFonts w:ascii="宋体" w:hAnsi="宋体"/>
          <w:color w:val="auto"/>
          <w:szCs w:val="21"/>
          <w:highlight w:val="none"/>
          <w:u w:val="single"/>
        </w:rPr>
      </w:pPr>
      <w:r>
        <w:rPr>
          <w:rFonts w:hint="eastAsia" w:ascii="宋体" w:hAnsi="宋体"/>
          <w:color w:val="auto"/>
          <w:szCs w:val="21"/>
          <w:highlight w:val="none"/>
          <w:u w:val="single"/>
        </w:rPr>
        <w:t>发包人应在竣工结算定案表确定后28天内，以书面函件形式将竣工结算定案表函告承包人，该定案表自送达之日起生效。该书面函件应采用直接送达方式送达，双方应办理书面签收手续，承包人实际签收日期为送达之日；若承包人拒绝签收的，视为已经送达，以该书面函件载明的签发日期为送达之日</w:t>
      </w:r>
      <w:r>
        <w:rPr>
          <w:rFonts w:hint="eastAsia" w:ascii="宋体" w:hAnsi="宋体"/>
          <w:color w:val="auto"/>
          <w:szCs w:val="21"/>
          <w:highlight w:val="none"/>
        </w:rPr>
        <w:t>。</w:t>
      </w:r>
    </w:p>
    <w:bookmarkEnd w:id="928"/>
    <w:bookmarkEnd w:id="929"/>
    <w:bookmarkEnd w:id="930"/>
    <w:bookmarkEnd w:id="931"/>
    <w:bookmarkEnd w:id="932"/>
    <w:bookmarkEnd w:id="933"/>
    <w:bookmarkEnd w:id="934"/>
    <w:bookmarkEnd w:id="935"/>
    <w:p>
      <w:pPr>
        <w:pStyle w:val="5"/>
        <w:keepNext/>
        <w:keepLines/>
        <w:spacing w:before="156" w:beforeLines="50" w:beforeAutospacing="0" w:after="156" w:afterLines="50" w:afterAutospacing="0" w:line="360" w:lineRule="auto"/>
        <w:jc w:val="both"/>
        <w:rPr>
          <w:bCs w:val="0"/>
          <w:color w:val="auto"/>
          <w:kern w:val="2"/>
          <w:sz w:val="21"/>
          <w:szCs w:val="21"/>
          <w:highlight w:val="none"/>
        </w:rPr>
      </w:pPr>
      <w:bookmarkStart w:id="1264" w:name="_Toc532375661"/>
      <w:bookmarkStart w:id="1265" w:name="_Toc351203647"/>
      <w:bookmarkStart w:id="1266" w:name="_Toc532377398"/>
      <w:bookmarkStart w:id="1267" w:name="_Toc267251483"/>
      <w:bookmarkStart w:id="1268" w:name="_Toc280868718"/>
      <w:bookmarkStart w:id="1269" w:name="_Toc280868717"/>
      <w:r>
        <w:rPr>
          <w:rFonts w:hint="eastAsia"/>
          <w:color w:val="auto"/>
          <w:kern w:val="2"/>
          <w:sz w:val="21"/>
          <w:szCs w:val="21"/>
          <w:highlight w:val="none"/>
        </w:rPr>
        <w:t>15. 缺陷责任期与保修</w:t>
      </w:r>
      <w:bookmarkEnd w:id="1264"/>
      <w:bookmarkEnd w:id="1265"/>
      <w:bookmarkEnd w:id="1266"/>
    </w:p>
    <w:bookmarkEnd w:id="1267"/>
    <w:p>
      <w:pPr>
        <w:pStyle w:val="6"/>
        <w:spacing w:before="0" w:beforeAutospacing="0" w:after="0" w:afterAutospacing="0" w:line="360" w:lineRule="auto"/>
        <w:ind w:firstLine="422" w:firstLineChars="200"/>
        <w:rPr>
          <w:color w:val="auto"/>
          <w:sz w:val="21"/>
          <w:szCs w:val="21"/>
          <w:highlight w:val="none"/>
        </w:rPr>
      </w:pPr>
      <w:bookmarkStart w:id="1270" w:name="_Toc532375662"/>
      <w:bookmarkStart w:id="1271" w:name="_Toc532377399"/>
      <w:r>
        <w:rPr>
          <w:rFonts w:hint="eastAsia"/>
          <w:color w:val="auto"/>
          <w:sz w:val="21"/>
          <w:szCs w:val="21"/>
          <w:highlight w:val="none"/>
        </w:rPr>
        <w:t>15.3 质量保证金</w:t>
      </w:r>
      <w:bookmarkEnd w:id="1270"/>
      <w:bookmarkEnd w:id="1271"/>
    </w:p>
    <w:p>
      <w:pPr>
        <w:spacing w:line="360" w:lineRule="auto"/>
        <w:ind w:right="105" w:rightChars="50" w:firstLine="420" w:firstLineChars="200"/>
        <w:jc w:val="left"/>
        <w:rPr>
          <w:rFonts w:ascii="宋体" w:hAnsi="宋体"/>
          <w:color w:val="auto"/>
          <w:szCs w:val="21"/>
          <w:highlight w:val="none"/>
        </w:rPr>
      </w:pPr>
      <w:r>
        <w:rPr>
          <w:rFonts w:hint="eastAsia" w:ascii="宋体" w:hAnsi="宋体"/>
          <w:color w:val="auto"/>
          <w:szCs w:val="21"/>
          <w:highlight w:val="none"/>
        </w:rPr>
        <w:t>15.3.1 承包人提供质量保证金的方式</w:t>
      </w:r>
    </w:p>
    <w:p>
      <w:pPr>
        <w:spacing w:line="360" w:lineRule="auto"/>
        <w:ind w:right="105" w:rightChars="50" w:firstLine="420" w:firstLineChars="200"/>
        <w:jc w:val="left"/>
        <w:rPr>
          <w:rFonts w:ascii="宋体" w:hAnsi="宋体"/>
          <w:color w:val="auto"/>
          <w:szCs w:val="21"/>
          <w:highlight w:val="none"/>
        </w:rPr>
      </w:pPr>
      <w:r>
        <w:rPr>
          <w:rFonts w:hint="eastAsia" w:ascii="宋体" w:hAnsi="宋体"/>
          <w:color w:val="auto"/>
          <w:szCs w:val="21"/>
          <w:highlight w:val="none"/>
        </w:rPr>
        <w:t>质量保证金采用以下第</w:t>
      </w:r>
      <w:r>
        <w:rPr>
          <w:rFonts w:hint="eastAsia" w:ascii="宋体" w:hAnsi="宋体"/>
          <w:color w:val="auto"/>
          <w:szCs w:val="21"/>
          <w:highlight w:val="none"/>
          <w:u w:val="single"/>
        </w:rPr>
        <w:t xml:space="preserve">    </w:t>
      </w:r>
      <w:r>
        <w:rPr>
          <w:rFonts w:hint="eastAsia" w:ascii="宋体" w:hAnsi="宋体"/>
          <w:color w:val="auto"/>
          <w:szCs w:val="21"/>
          <w:highlight w:val="none"/>
        </w:rPr>
        <w:t>种方式：</w:t>
      </w:r>
    </w:p>
    <w:p>
      <w:pPr>
        <w:spacing w:line="360" w:lineRule="auto"/>
        <w:ind w:right="105" w:rightChars="50" w:firstLine="420" w:firstLineChars="200"/>
        <w:jc w:val="left"/>
        <w:rPr>
          <w:rFonts w:ascii="宋体" w:hAnsi="宋体"/>
          <w:color w:val="auto"/>
          <w:szCs w:val="21"/>
          <w:highlight w:val="none"/>
        </w:rPr>
      </w:pPr>
      <w:r>
        <w:rPr>
          <w:rFonts w:hint="eastAsia" w:ascii="宋体" w:hAnsi="宋体"/>
          <w:color w:val="auto"/>
          <w:szCs w:val="21"/>
          <w:highlight w:val="none"/>
        </w:rPr>
        <w:t>（1）质量保证金保函</w:t>
      </w:r>
    </w:p>
    <w:p>
      <w:pPr>
        <w:spacing w:line="360" w:lineRule="auto"/>
        <w:ind w:right="105" w:rightChars="50" w:firstLine="420" w:firstLineChars="200"/>
        <w:jc w:val="left"/>
        <w:rPr>
          <w:rFonts w:ascii="宋体" w:hAnsi="宋体"/>
          <w:color w:val="auto"/>
          <w:szCs w:val="21"/>
          <w:highlight w:val="none"/>
        </w:rPr>
      </w:pPr>
      <w:r>
        <w:rPr>
          <w:rFonts w:hint="eastAsia" w:ascii="宋体" w:hAnsi="宋体"/>
          <w:color w:val="auto"/>
          <w:szCs w:val="21"/>
          <w:highlight w:val="none"/>
          <w:u w:val="single"/>
        </w:rPr>
        <w:t>1）按招标文件载明的格式或发包人认可的格式向发包人提交不可撤销的见索即付银行保函</w:t>
      </w:r>
      <w:r>
        <w:rPr>
          <w:rFonts w:hint="eastAsia" w:ascii="宋体" w:hAnsi="宋体"/>
          <w:color w:val="auto"/>
          <w:szCs w:val="21"/>
          <w:highlight w:val="none"/>
        </w:rPr>
        <w:t>；</w:t>
      </w:r>
    </w:p>
    <w:p>
      <w:pPr>
        <w:spacing w:line="360" w:lineRule="auto"/>
        <w:ind w:right="105" w:rightChars="50" w:firstLine="420" w:firstLineChars="200"/>
        <w:jc w:val="left"/>
        <w:rPr>
          <w:rFonts w:ascii="宋体" w:hAnsi="宋体"/>
          <w:color w:val="auto"/>
          <w:szCs w:val="21"/>
          <w:highlight w:val="none"/>
        </w:rPr>
      </w:pPr>
      <w:r>
        <w:rPr>
          <w:rFonts w:hint="eastAsia" w:ascii="宋体" w:hAnsi="宋体"/>
          <w:color w:val="auto"/>
          <w:szCs w:val="21"/>
          <w:highlight w:val="none"/>
        </w:rPr>
        <w:t>2）出具保函的银行级别：</w:t>
      </w:r>
      <w:r>
        <w:rPr>
          <w:rFonts w:hint="eastAsia" w:ascii="宋体" w:hAnsi="宋体"/>
          <w:color w:val="auto"/>
          <w:szCs w:val="21"/>
          <w:highlight w:val="none"/>
          <w:u w:val="single"/>
        </w:rPr>
        <w:t>地市级及以上国家政策性银行或股份制商业银行的支行或其上级银行</w:t>
      </w:r>
      <w:r>
        <w:rPr>
          <w:rFonts w:hint="eastAsia" w:ascii="宋体" w:hAnsi="宋体"/>
          <w:color w:val="auto"/>
          <w:szCs w:val="21"/>
          <w:highlight w:val="none"/>
        </w:rPr>
        <w:t>；</w:t>
      </w:r>
    </w:p>
    <w:p>
      <w:pPr>
        <w:spacing w:line="360" w:lineRule="auto"/>
        <w:ind w:right="105" w:rightChars="50" w:firstLine="420" w:firstLineChars="200"/>
        <w:jc w:val="left"/>
        <w:rPr>
          <w:rFonts w:ascii="宋体" w:hAnsi="宋体"/>
          <w:color w:val="auto"/>
          <w:szCs w:val="21"/>
          <w:highlight w:val="none"/>
        </w:rPr>
      </w:pPr>
      <w:r>
        <w:rPr>
          <w:rFonts w:hint="eastAsia" w:ascii="宋体" w:hAnsi="宋体"/>
          <w:color w:val="auto"/>
          <w:szCs w:val="21"/>
          <w:highlight w:val="none"/>
        </w:rPr>
        <w:t>3）保函金额为：</w:t>
      </w:r>
      <w:r>
        <w:rPr>
          <w:rFonts w:hint="eastAsia" w:ascii="宋体" w:hAnsi="宋体"/>
          <w:color w:val="auto"/>
          <w:szCs w:val="21"/>
          <w:highlight w:val="none"/>
          <w:u w:val="single"/>
        </w:rPr>
        <w:t xml:space="preserve">    </w:t>
      </w:r>
      <w:r>
        <w:rPr>
          <w:rFonts w:hint="eastAsia" w:ascii="宋体" w:hAnsi="宋体"/>
          <w:color w:val="auto"/>
          <w:szCs w:val="21"/>
          <w:highlight w:val="none"/>
        </w:rPr>
        <w:t>。</w:t>
      </w:r>
    </w:p>
    <w:p>
      <w:pPr>
        <w:spacing w:line="360" w:lineRule="auto"/>
        <w:ind w:right="105" w:rightChars="50" w:firstLine="420" w:firstLineChars="200"/>
        <w:jc w:val="left"/>
        <w:rPr>
          <w:rFonts w:ascii="宋体" w:hAnsi="宋体"/>
          <w:color w:val="auto"/>
          <w:szCs w:val="21"/>
          <w:highlight w:val="none"/>
        </w:rPr>
      </w:pPr>
      <w:r>
        <w:rPr>
          <w:rFonts w:hint="eastAsia" w:ascii="宋体" w:hAnsi="宋体"/>
          <w:color w:val="auto"/>
          <w:szCs w:val="21"/>
          <w:highlight w:val="none"/>
        </w:rPr>
        <w:t>4）提交时间：</w:t>
      </w:r>
      <w:r>
        <w:rPr>
          <w:rFonts w:hint="eastAsia" w:ascii="宋体" w:hAnsi="宋体"/>
          <w:color w:val="auto"/>
          <w:szCs w:val="21"/>
          <w:highlight w:val="none"/>
          <w:u w:val="single"/>
        </w:rPr>
        <w:t>工程竣工验收合格后14天内</w:t>
      </w:r>
      <w:r>
        <w:rPr>
          <w:rFonts w:hint="eastAsia" w:ascii="宋体" w:hAnsi="宋体"/>
          <w:color w:val="auto"/>
          <w:szCs w:val="21"/>
          <w:highlight w:val="none"/>
        </w:rPr>
        <w:t>。</w:t>
      </w:r>
    </w:p>
    <w:p>
      <w:pPr>
        <w:spacing w:line="360" w:lineRule="auto"/>
        <w:ind w:right="105" w:rightChars="50" w:firstLine="420" w:firstLineChars="200"/>
        <w:jc w:val="left"/>
        <w:rPr>
          <w:rFonts w:ascii="宋体" w:hAnsi="宋体"/>
          <w:color w:val="auto"/>
          <w:szCs w:val="21"/>
          <w:highlight w:val="none"/>
        </w:rPr>
      </w:pPr>
      <w:r>
        <w:rPr>
          <w:rFonts w:hint="eastAsia" w:ascii="宋体" w:hAnsi="宋体"/>
          <w:color w:val="auto"/>
          <w:szCs w:val="21"/>
          <w:highlight w:val="none"/>
          <w:u w:val="single"/>
        </w:rPr>
        <w:t>承包人提交质量保证金保函的，发包人应同时退还（若有）扣留的作为质量保证金的工程价款、履约担保、低价风险担保；保函金额不得超过工程价款结算总额的3%</w:t>
      </w:r>
      <w:r>
        <w:rPr>
          <w:rFonts w:hint="eastAsia" w:ascii="宋体" w:hAnsi="宋体"/>
          <w:color w:val="auto"/>
          <w:szCs w:val="21"/>
          <w:highlight w:val="none"/>
        </w:rPr>
        <w:t>。</w:t>
      </w:r>
    </w:p>
    <w:p>
      <w:pPr>
        <w:spacing w:line="360" w:lineRule="auto"/>
        <w:ind w:right="105" w:rightChars="50" w:firstLine="420" w:firstLineChars="200"/>
        <w:jc w:val="left"/>
        <w:rPr>
          <w:rFonts w:ascii="宋体" w:hAnsi="宋体"/>
          <w:color w:val="auto"/>
          <w:szCs w:val="21"/>
          <w:highlight w:val="none"/>
        </w:rPr>
      </w:pPr>
      <w:r>
        <w:rPr>
          <w:rFonts w:hint="eastAsia" w:ascii="宋体" w:hAnsi="宋体"/>
          <w:color w:val="auto"/>
          <w:szCs w:val="21"/>
          <w:highlight w:val="none"/>
        </w:rPr>
        <w:t>（2）竣工结算价的</w:t>
      </w:r>
      <w:r>
        <w:rPr>
          <w:rFonts w:hint="eastAsia" w:ascii="宋体" w:hAnsi="宋体"/>
          <w:color w:val="auto"/>
          <w:szCs w:val="21"/>
          <w:highlight w:val="none"/>
          <w:u w:val="single"/>
        </w:rPr>
        <w:t xml:space="preserve"> 3% </w:t>
      </w:r>
      <w:r>
        <w:rPr>
          <w:rFonts w:hint="eastAsia" w:ascii="宋体" w:hAnsi="宋体"/>
          <w:color w:val="auto"/>
          <w:szCs w:val="21"/>
          <w:highlight w:val="none"/>
        </w:rPr>
        <w:t>；</w:t>
      </w:r>
    </w:p>
    <w:p>
      <w:pPr>
        <w:spacing w:line="360" w:lineRule="auto"/>
        <w:ind w:right="105" w:rightChars="50" w:firstLine="420" w:firstLineChars="200"/>
        <w:jc w:val="left"/>
        <w:rPr>
          <w:rFonts w:ascii="宋体" w:hAnsi="宋体"/>
          <w:color w:val="auto"/>
          <w:szCs w:val="21"/>
          <w:highlight w:val="none"/>
        </w:rPr>
      </w:pPr>
      <w:r>
        <w:rPr>
          <w:rFonts w:hint="eastAsia" w:ascii="宋体" w:hAnsi="宋体"/>
          <w:color w:val="auto"/>
          <w:szCs w:val="21"/>
          <w:highlight w:val="none"/>
        </w:rPr>
        <w:t>（3）其他方式：</w:t>
      </w:r>
      <w:r>
        <w:rPr>
          <w:rFonts w:hint="eastAsia" w:ascii="宋体" w:hAnsi="宋体"/>
          <w:color w:val="auto"/>
          <w:szCs w:val="21"/>
          <w:highlight w:val="none"/>
          <w:u w:val="single"/>
        </w:rPr>
        <w:t xml:space="preserve"> / </w:t>
      </w:r>
      <w:r>
        <w:rPr>
          <w:rFonts w:hint="eastAsia" w:ascii="宋体" w:hAnsi="宋体"/>
          <w:color w:val="auto"/>
          <w:szCs w:val="21"/>
          <w:highlight w:val="none"/>
        </w:rPr>
        <w:t>。</w:t>
      </w:r>
    </w:p>
    <w:p>
      <w:pPr>
        <w:spacing w:line="360" w:lineRule="auto"/>
        <w:ind w:right="105" w:rightChars="50" w:firstLine="420" w:firstLineChars="200"/>
        <w:jc w:val="left"/>
        <w:rPr>
          <w:rFonts w:ascii="宋体" w:hAnsi="宋体"/>
          <w:color w:val="auto"/>
          <w:szCs w:val="21"/>
          <w:highlight w:val="none"/>
        </w:rPr>
      </w:pPr>
      <w:r>
        <w:rPr>
          <w:rFonts w:hint="eastAsia" w:ascii="宋体" w:hAnsi="宋体"/>
          <w:color w:val="auto"/>
          <w:szCs w:val="21"/>
          <w:highlight w:val="none"/>
        </w:rPr>
        <w:t>15.3.2 质量保证金的扣留</w:t>
      </w:r>
    </w:p>
    <w:p>
      <w:pPr>
        <w:spacing w:line="360" w:lineRule="auto"/>
        <w:ind w:right="105" w:rightChars="50" w:firstLine="420" w:firstLineChars="200"/>
        <w:jc w:val="left"/>
        <w:rPr>
          <w:rFonts w:ascii="宋体" w:hAnsi="宋体"/>
          <w:color w:val="auto"/>
          <w:szCs w:val="21"/>
          <w:highlight w:val="none"/>
        </w:rPr>
      </w:pPr>
      <w:r>
        <w:rPr>
          <w:rFonts w:hint="eastAsia" w:ascii="宋体" w:hAnsi="宋体"/>
          <w:color w:val="auto"/>
          <w:szCs w:val="21"/>
          <w:highlight w:val="none"/>
        </w:rPr>
        <w:t>质量保证金的扣留采取以下第</w:t>
      </w:r>
      <w:r>
        <w:rPr>
          <w:rFonts w:hint="eastAsia" w:ascii="宋体" w:hAnsi="宋体"/>
          <w:color w:val="auto"/>
          <w:szCs w:val="21"/>
          <w:highlight w:val="none"/>
          <w:u w:val="single"/>
        </w:rPr>
        <w:t xml:space="preserve">    </w:t>
      </w:r>
      <w:r>
        <w:rPr>
          <w:rFonts w:hint="eastAsia" w:ascii="宋体" w:hAnsi="宋体"/>
          <w:color w:val="auto"/>
          <w:szCs w:val="21"/>
          <w:highlight w:val="none"/>
        </w:rPr>
        <w:t>种方式：</w:t>
      </w:r>
    </w:p>
    <w:p>
      <w:pPr>
        <w:spacing w:line="360" w:lineRule="auto"/>
        <w:ind w:right="105" w:rightChars="50" w:firstLine="420" w:firstLineChars="200"/>
        <w:jc w:val="left"/>
        <w:rPr>
          <w:rFonts w:ascii="宋体" w:hAnsi="宋体"/>
          <w:color w:val="auto"/>
          <w:szCs w:val="21"/>
          <w:highlight w:val="none"/>
        </w:rPr>
      </w:pPr>
      <w:r>
        <w:rPr>
          <w:rFonts w:hint="eastAsia" w:ascii="宋体" w:hAnsi="宋体"/>
          <w:color w:val="auto"/>
          <w:szCs w:val="21"/>
          <w:highlight w:val="none"/>
        </w:rPr>
        <w:t>（1）在支付工程进度款时逐次扣留，在此情形下，质量保证金的计算基数不包括预付款的支付、扣回以及价格调整的金额；</w:t>
      </w:r>
    </w:p>
    <w:p>
      <w:pPr>
        <w:spacing w:line="360" w:lineRule="auto"/>
        <w:ind w:right="105" w:rightChars="50" w:firstLine="420" w:firstLineChars="200"/>
        <w:jc w:val="left"/>
        <w:rPr>
          <w:rFonts w:ascii="宋体" w:hAnsi="宋体"/>
          <w:color w:val="auto"/>
          <w:szCs w:val="21"/>
          <w:highlight w:val="none"/>
        </w:rPr>
      </w:pPr>
      <w:r>
        <w:rPr>
          <w:rFonts w:hint="eastAsia" w:ascii="宋体" w:hAnsi="宋体"/>
          <w:color w:val="auto"/>
          <w:szCs w:val="21"/>
          <w:highlight w:val="none"/>
        </w:rPr>
        <w:t>（2）工程竣工结算时一次性扣留质量保证金；</w:t>
      </w:r>
    </w:p>
    <w:p>
      <w:pPr>
        <w:autoSpaceDE w:val="0"/>
        <w:autoSpaceDN w:val="0"/>
        <w:spacing w:line="360" w:lineRule="auto"/>
        <w:ind w:right="105" w:rightChars="50" w:firstLine="420" w:firstLineChars="200"/>
        <w:jc w:val="left"/>
        <w:rPr>
          <w:rFonts w:ascii="宋体" w:hAnsi="宋体"/>
          <w:color w:val="auto"/>
          <w:szCs w:val="21"/>
          <w:highlight w:val="none"/>
          <w:u w:val="single"/>
        </w:rPr>
      </w:pPr>
      <w:r>
        <w:rPr>
          <w:rFonts w:hint="eastAsia" w:ascii="宋体" w:hAnsi="宋体"/>
          <w:color w:val="auto"/>
          <w:szCs w:val="21"/>
          <w:highlight w:val="none"/>
        </w:rPr>
        <w:t>（3）</w:t>
      </w:r>
      <w:r>
        <w:rPr>
          <w:rFonts w:hint="eastAsia" w:ascii="宋体" w:hAnsi="宋体"/>
          <w:color w:val="auto"/>
          <w:szCs w:val="21"/>
          <w:highlight w:val="none"/>
          <w:u w:val="single"/>
        </w:rPr>
        <w:t xml:space="preserve">其他扣留方式：        </w:t>
      </w:r>
      <w:r>
        <w:rPr>
          <w:rFonts w:hint="eastAsia" w:ascii="宋体" w:hAnsi="宋体"/>
          <w:color w:val="auto"/>
          <w:szCs w:val="21"/>
          <w:highlight w:val="none"/>
        </w:rPr>
        <w:t>。</w:t>
      </w:r>
    </w:p>
    <w:p>
      <w:pPr>
        <w:spacing w:line="360" w:lineRule="auto"/>
        <w:ind w:right="105" w:rightChars="50" w:firstLine="420" w:firstLineChars="200"/>
        <w:jc w:val="left"/>
        <w:rPr>
          <w:rFonts w:ascii="宋体" w:hAnsi="宋体"/>
          <w:color w:val="auto"/>
          <w:szCs w:val="21"/>
          <w:highlight w:val="none"/>
        </w:rPr>
      </w:pPr>
      <w:r>
        <w:rPr>
          <w:rFonts w:hint="eastAsia" w:ascii="宋体" w:hAnsi="宋体"/>
          <w:color w:val="auto"/>
          <w:szCs w:val="21"/>
          <w:highlight w:val="none"/>
        </w:rPr>
        <w:t>15.3.3质量保证金的退还</w:t>
      </w:r>
    </w:p>
    <w:p>
      <w:pPr>
        <w:spacing w:line="360" w:lineRule="auto"/>
        <w:ind w:right="105" w:rightChars="50" w:firstLine="420" w:firstLineChars="200"/>
        <w:jc w:val="left"/>
        <w:rPr>
          <w:rFonts w:ascii="宋体" w:hAnsi="宋体"/>
          <w:color w:val="auto"/>
          <w:szCs w:val="21"/>
          <w:highlight w:val="none"/>
        </w:rPr>
      </w:pPr>
      <w:r>
        <w:rPr>
          <w:rFonts w:hint="eastAsia" w:ascii="宋体" w:hAnsi="宋体"/>
          <w:color w:val="auto"/>
          <w:szCs w:val="21"/>
          <w:highlight w:val="none"/>
        </w:rPr>
        <w:t>（1）在发包人颁发缺陷责任期终止证书之日起14天内退还。</w:t>
      </w:r>
    </w:p>
    <w:p>
      <w:pPr>
        <w:spacing w:line="360" w:lineRule="auto"/>
        <w:ind w:right="105" w:rightChars="50" w:firstLine="420" w:firstLineChars="200"/>
        <w:jc w:val="left"/>
        <w:rPr>
          <w:rFonts w:ascii="宋体" w:hAnsi="宋体"/>
          <w:color w:val="auto"/>
          <w:szCs w:val="21"/>
          <w:highlight w:val="none"/>
        </w:rPr>
      </w:pPr>
      <w:r>
        <w:rPr>
          <w:rFonts w:hint="eastAsia" w:ascii="宋体" w:hAnsi="宋体"/>
          <w:color w:val="auto"/>
          <w:szCs w:val="21"/>
          <w:highlight w:val="none"/>
        </w:rPr>
        <w:t>（2）缺陷责任期内，承包人认真履行合同约定的责任，到期后，承包人可向发包人申请返还质量保证金。</w:t>
      </w:r>
    </w:p>
    <w:p>
      <w:pPr>
        <w:spacing w:line="360" w:lineRule="auto"/>
        <w:ind w:right="105" w:rightChars="50" w:firstLine="420" w:firstLineChars="200"/>
        <w:jc w:val="left"/>
        <w:rPr>
          <w:rFonts w:ascii="宋体" w:hAnsi="宋体"/>
          <w:color w:val="auto"/>
          <w:szCs w:val="21"/>
          <w:highlight w:val="none"/>
        </w:rPr>
      </w:pPr>
      <w:r>
        <w:rPr>
          <w:rFonts w:hint="eastAsia" w:ascii="宋体" w:hAnsi="宋体"/>
          <w:color w:val="auto"/>
          <w:szCs w:val="21"/>
          <w:highlight w:val="none"/>
        </w:rPr>
        <w:t>（3）质量保证金是否支付利息采取以下</w:t>
      </w:r>
      <w:r>
        <w:rPr>
          <w:rFonts w:hint="eastAsia" w:ascii="宋体" w:hAnsi="宋体"/>
          <w:color w:val="auto"/>
          <w:szCs w:val="21"/>
          <w:highlight w:val="none"/>
          <w:u w:val="single"/>
        </w:rPr>
        <w:t>第②种</w:t>
      </w:r>
      <w:r>
        <w:rPr>
          <w:rFonts w:hint="eastAsia" w:ascii="宋体" w:hAnsi="宋体"/>
          <w:color w:val="auto"/>
          <w:szCs w:val="21"/>
          <w:highlight w:val="none"/>
        </w:rPr>
        <w:t>方式：</w:t>
      </w:r>
    </w:p>
    <w:p>
      <w:pPr>
        <w:spacing w:line="360" w:lineRule="auto"/>
        <w:ind w:right="105" w:rightChars="50" w:firstLine="420" w:firstLineChars="200"/>
        <w:jc w:val="left"/>
        <w:rPr>
          <w:rFonts w:ascii="宋体" w:hAnsi="宋体"/>
          <w:color w:val="auto"/>
          <w:szCs w:val="21"/>
          <w:highlight w:val="none"/>
        </w:rPr>
      </w:pPr>
      <w:r>
        <w:rPr>
          <w:rFonts w:hint="eastAsia" w:ascii="宋体" w:hAnsi="宋体"/>
          <w:color w:val="auto"/>
          <w:szCs w:val="21"/>
          <w:highlight w:val="none"/>
          <w:u w:val="single"/>
        </w:rPr>
        <w:t>①按照中国人民银行  年  月公布的5年期贷款市场报价利率支付利息</w:t>
      </w:r>
      <w:r>
        <w:rPr>
          <w:rFonts w:hint="eastAsia" w:ascii="宋体" w:hAnsi="宋体"/>
          <w:color w:val="auto"/>
          <w:szCs w:val="21"/>
          <w:highlight w:val="none"/>
        </w:rPr>
        <w:t>。</w:t>
      </w:r>
    </w:p>
    <w:p>
      <w:pPr>
        <w:spacing w:line="360" w:lineRule="auto"/>
        <w:ind w:right="105" w:rightChars="50" w:firstLine="420" w:firstLineChars="200"/>
        <w:jc w:val="left"/>
        <w:rPr>
          <w:rFonts w:ascii="宋体" w:hAnsi="宋体"/>
          <w:color w:val="auto"/>
          <w:szCs w:val="21"/>
          <w:highlight w:val="none"/>
        </w:rPr>
      </w:pPr>
      <w:r>
        <w:rPr>
          <w:rFonts w:hint="eastAsia" w:ascii="宋体" w:hAnsi="宋体"/>
          <w:color w:val="auto"/>
          <w:szCs w:val="21"/>
          <w:highlight w:val="none"/>
          <w:u w:val="single"/>
        </w:rPr>
        <w:t>②不采用</w:t>
      </w:r>
      <w:r>
        <w:rPr>
          <w:rFonts w:hint="eastAsia" w:ascii="宋体" w:hAnsi="宋体"/>
          <w:color w:val="auto"/>
          <w:szCs w:val="21"/>
          <w:highlight w:val="none"/>
        </w:rPr>
        <w:t>。</w:t>
      </w:r>
    </w:p>
    <w:p>
      <w:pPr>
        <w:pStyle w:val="6"/>
        <w:spacing w:before="0" w:beforeAutospacing="0" w:after="0" w:afterAutospacing="0" w:line="360" w:lineRule="auto"/>
        <w:ind w:firstLine="422" w:firstLineChars="200"/>
        <w:rPr>
          <w:color w:val="auto"/>
          <w:sz w:val="21"/>
          <w:szCs w:val="21"/>
          <w:highlight w:val="none"/>
        </w:rPr>
      </w:pPr>
      <w:bookmarkStart w:id="1272" w:name="_Toc532375663"/>
      <w:bookmarkStart w:id="1273" w:name="_Toc532377400"/>
      <w:r>
        <w:rPr>
          <w:rFonts w:hint="eastAsia"/>
          <w:color w:val="auto"/>
          <w:sz w:val="21"/>
          <w:szCs w:val="21"/>
          <w:highlight w:val="none"/>
        </w:rPr>
        <w:t>15.4 保修</w:t>
      </w:r>
      <w:bookmarkEnd w:id="1272"/>
      <w:bookmarkEnd w:id="1273"/>
    </w:p>
    <w:p>
      <w:pPr>
        <w:spacing w:line="360" w:lineRule="auto"/>
        <w:ind w:right="105" w:rightChars="50" w:firstLine="420" w:firstLineChars="200"/>
        <w:jc w:val="left"/>
        <w:rPr>
          <w:rFonts w:ascii="宋体" w:hAnsi="宋体"/>
          <w:color w:val="auto"/>
          <w:szCs w:val="21"/>
          <w:highlight w:val="none"/>
        </w:rPr>
      </w:pPr>
      <w:r>
        <w:rPr>
          <w:rFonts w:hint="eastAsia" w:ascii="宋体" w:hAnsi="宋体"/>
          <w:color w:val="auto"/>
          <w:szCs w:val="21"/>
          <w:highlight w:val="none"/>
        </w:rPr>
        <w:t>15.4.1 保修责任</w:t>
      </w:r>
    </w:p>
    <w:p>
      <w:pPr>
        <w:spacing w:line="360" w:lineRule="auto"/>
        <w:ind w:right="105" w:rightChars="50" w:firstLine="420" w:firstLineChars="200"/>
        <w:jc w:val="left"/>
        <w:rPr>
          <w:rFonts w:ascii="宋体" w:hAnsi="宋体"/>
          <w:color w:val="auto"/>
          <w:szCs w:val="21"/>
          <w:highlight w:val="none"/>
        </w:rPr>
      </w:pPr>
      <w:r>
        <w:rPr>
          <w:rFonts w:hint="eastAsia" w:ascii="宋体" w:hAnsi="宋体"/>
          <w:color w:val="auto"/>
          <w:szCs w:val="21"/>
          <w:highlight w:val="none"/>
        </w:rPr>
        <w:t>工程保修期为：</w:t>
      </w:r>
      <w:bookmarkStart w:id="1274" w:name="_Hlk524381274"/>
      <w:r>
        <w:rPr>
          <w:rFonts w:hint="eastAsia" w:ascii="宋体" w:hAnsi="宋体"/>
          <w:color w:val="auto"/>
          <w:szCs w:val="21"/>
          <w:highlight w:val="none"/>
        </w:rPr>
        <w:t>按照附件1《工程质量保修书》的规定执行。</w:t>
      </w:r>
      <w:bookmarkEnd w:id="1274"/>
    </w:p>
    <w:p>
      <w:pPr>
        <w:spacing w:line="360" w:lineRule="auto"/>
        <w:ind w:right="105" w:rightChars="50" w:firstLine="420" w:firstLineChars="200"/>
        <w:jc w:val="left"/>
        <w:rPr>
          <w:rFonts w:ascii="宋体" w:hAnsi="宋体"/>
          <w:color w:val="auto"/>
          <w:szCs w:val="21"/>
          <w:highlight w:val="none"/>
        </w:rPr>
      </w:pPr>
      <w:r>
        <w:rPr>
          <w:rFonts w:hint="eastAsia" w:ascii="宋体" w:hAnsi="宋体"/>
          <w:color w:val="auto"/>
          <w:szCs w:val="21"/>
          <w:highlight w:val="none"/>
        </w:rPr>
        <w:t>15.4.3 修复通知</w:t>
      </w:r>
    </w:p>
    <w:p>
      <w:pPr>
        <w:spacing w:line="360" w:lineRule="auto"/>
        <w:ind w:right="105" w:rightChars="50" w:firstLine="420" w:firstLineChars="200"/>
        <w:jc w:val="left"/>
        <w:rPr>
          <w:rFonts w:ascii="宋体" w:hAnsi="宋体"/>
          <w:color w:val="auto"/>
          <w:szCs w:val="21"/>
          <w:highlight w:val="none"/>
        </w:rPr>
      </w:pPr>
      <w:r>
        <w:rPr>
          <w:rFonts w:hint="eastAsia" w:ascii="宋体" w:hAnsi="宋体"/>
          <w:color w:val="auto"/>
          <w:szCs w:val="21"/>
          <w:highlight w:val="none"/>
        </w:rPr>
        <w:t>承包人收到保修通知并到达工程现场的合理时间：</w:t>
      </w:r>
      <w:r>
        <w:rPr>
          <w:rFonts w:hint="eastAsia" w:ascii="宋体" w:hAnsi="宋体"/>
          <w:color w:val="auto"/>
          <w:szCs w:val="21"/>
          <w:highlight w:val="none"/>
          <w:u w:val="single"/>
        </w:rPr>
        <w:t xml:space="preserve">  小时内，最长不能超过  小时</w:t>
      </w:r>
      <w:r>
        <w:rPr>
          <w:rFonts w:hint="eastAsia" w:ascii="宋体" w:hAnsi="宋体"/>
          <w:color w:val="auto"/>
          <w:szCs w:val="21"/>
          <w:highlight w:val="none"/>
        </w:rPr>
        <w:t>。</w:t>
      </w:r>
    </w:p>
    <w:p>
      <w:pPr>
        <w:pStyle w:val="5"/>
        <w:keepNext/>
        <w:keepLines/>
        <w:spacing w:before="156" w:beforeLines="50" w:beforeAutospacing="0" w:after="156" w:afterLines="50" w:afterAutospacing="0" w:line="360" w:lineRule="auto"/>
        <w:jc w:val="both"/>
        <w:rPr>
          <w:bCs w:val="0"/>
          <w:color w:val="auto"/>
          <w:kern w:val="2"/>
          <w:sz w:val="21"/>
          <w:szCs w:val="21"/>
          <w:highlight w:val="none"/>
        </w:rPr>
      </w:pPr>
      <w:bookmarkStart w:id="1275" w:name="_Toc532377401"/>
      <w:bookmarkStart w:id="1276" w:name="_Toc351203648"/>
      <w:bookmarkStart w:id="1277" w:name="_Toc532375664"/>
      <w:r>
        <w:rPr>
          <w:rFonts w:hint="eastAsia"/>
          <w:color w:val="auto"/>
          <w:kern w:val="2"/>
          <w:sz w:val="21"/>
          <w:szCs w:val="21"/>
          <w:highlight w:val="none"/>
        </w:rPr>
        <w:t>16. 违约</w:t>
      </w:r>
      <w:bookmarkEnd w:id="1275"/>
      <w:bookmarkEnd w:id="1276"/>
      <w:bookmarkEnd w:id="1277"/>
    </w:p>
    <w:p>
      <w:pPr>
        <w:pStyle w:val="6"/>
        <w:spacing w:before="0" w:beforeAutospacing="0" w:after="0" w:afterAutospacing="0" w:line="360" w:lineRule="auto"/>
        <w:ind w:firstLine="422" w:firstLineChars="200"/>
        <w:rPr>
          <w:color w:val="auto"/>
          <w:sz w:val="21"/>
          <w:szCs w:val="21"/>
          <w:highlight w:val="none"/>
        </w:rPr>
      </w:pPr>
      <w:bookmarkStart w:id="1278" w:name="_Toc532377402"/>
      <w:r>
        <w:rPr>
          <w:rFonts w:hint="eastAsia"/>
          <w:color w:val="auto"/>
          <w:sz w:val="21"/>
          <w:szCs w:val="21"/>
          <w:highlight w:val="none"/>
        </w:rPr>
        <w:t>16.1 发包人违约</w:t>
      </w:r>
      <w:bookmarkEnd w:id="1278"/>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16.1.1 发包人违约的情形</w:t>
      </w:r>
    </w:p>
    <w:p>
      <w:pPr>
        <w:spacing w:line="360" w:lineRule="auto"/>
        <w:ind w:firstLine="420" w:firstLineChars="200"/>
        <w:rPr>
          <w:rFonts w:ascii="宋体" w:hAnsi="宋体"/>
          <w:color w:val="auto"/>
          <w:szCs w:val="21"/>
          <w:highlight w:val="none"/>
        </w:rPr>
      </w:pPr>
      <w:r>
        <w:rPr>
          <w:rFonts w:hint="eastAsia" w:ascii="宋体" w:hAnsi="宋体" w:cs="Microsoft Sans Serif"/>
          <w:color w:val="auto"/>
          <w:kern w:val="0"/>
          <w:szCs w:val="21"/>
          <w:highlight w:val="none"/>
        </w:rPr>
        <w:t>除通用合同条款约定外，发包人违约的其他情形：</w:t>
      </w:r>
    </w:p>
    <w:p>
      <w:pPr>
        <w:spacing w:line="360" w:lineRule="auto"/>
        <w:ind w:firstLine="420" w:firstLineChars="200"/>
        <w:rPr>
          <w:rFonts w:ascii="宋体" w:hAnsi="宋体"/>
          <w:color w:val="auto"/>
          <w:szCs w:val="21"/>
          <w:highlight w:val="none"/>
        </w:rPr>
      </w:pPr>
      <w:r>
        <w:rPr>
          <w:rFonts w:hint="eastAsia" w:ascii="宋体" w:hAnsi="宋体" w:cs="Microsoft Sans Serif"/>
          <w:color w:val="auto"/>
          <w:kern w:val="0"/>
          <w:szCs w:val="21"/>
          <w:highlight w:val="none"/>
        </w:rPr>
        <w:t>（1）根据专用合同条款7.5.1项因发包人原因导致工期延误的；</w:t>
      </w:r>
    </w:p>
    <w:p>
      <w:pPr>
        <w:snapToGrid w:val="0"/>
        <w:spacing w:line="360" w:lineRule="auto"/>
        <w:ind w:firstLine="420" w:firstLineChars="200"/>
        <w:jc w:val="left"/>
        <w:rPr>
          <w:rFonts w:ascii="宋体" w:hAnsi="宋体" w:cs="Microsoft Sans Serif"/>
          <w:color w:val="auto"/>
          <w:kern w:val="0"/>
          <w:szCs w:val="21"/>
          <w:highlight w:val="none"/>
        </w:rPr>
      </w:pPr>
      <w:r>
        <w:rPr>
          <w:rFonts w:hint="eastAsia" w:ascii="宋体" w:hAnsi="宋体" w:cs="Microsoft Sans Serif"/>
          <w:color w:val="auto"/>
          <w:kern w:val="0"/>
          <w:szCs w:val="21"/>
          <w:highlight w:val="none"/>
        </w:rPr>
        <w:t>（2）因发包人原因未能及时办理完毕合同约定的许可、批准或备案的；</w:t>
      </w:r>
    </w:p>
    <w:p>
      <w:pPr>
        <w:snapToGrid w:val="0"/>
        <w:spacing w:line="360" w:lineRule="auto"/>
        <w:ind w:firstLine="420" w:firstLineChars="200"/>
        <w:jc w:val="left"/>
        <w:rPr>
          <w:rFonts w:ascii="宋体" w:hAnsi="宋体" w:cs="Microsoft Sans Serif"/>
          <w:color w:val="auto"/>
          <w:kern w:val="0"/>
          <w:szCs w:val="21"/>
          <w:highlight w:val="none"/>
        </w:rPr>
      </w:pPr>
      <w:r>
        <w:rPr>
          <w:rFonts w:hint="eastAsia" w:ascii="宋体" w:hAnsi="宋体" w:cs="Microsoft Sans Serif"/>
          <w:color w:val="auto"/>
          <w:kern w:val="0"/>
          <w:szCs w:val="21"/>
          <w:highlight w:val="none"/>
        </w:rPr>
        <w:t>（3）因监理人未能按合同约定发出指示、指示延误或发出了错误指示而导致承包人费用增加和（或）工期延误的；</w:t>
      </w:r>
    </w:p>
    <w:p>
      <w:pPr>
        <w:snapToGrid w:val="0"/>
        <w:spacing w:line="360" w:lineRule="auto"/>
        <w:ind w:firstLine="420" w:firstLineChars="200"/>
        <w:jc w:val="left"/>
        <w:rPr>
          <w:rFonts w:ascii="宋体" w:hAnsi="宋体" w:cs="Microsoft Sans Serif"/>
          <w:color w:val="auto"/>
          <w:kern w:val="0"/>
          <w:szCs w:val="21"/>
          <w:highlight w:val="none"/>
        </w:rPr>
      </w:pPr>
      <w:r>
        <w:rPr>
          <w:rFonts w:hint="eastAsia" w:ascii="宋体" w:hAnsi="宋体" w:cs="Microsoft Sans Serif"/>
          <w:color w:val="auto"/>
          <w:kern w:val="0"/>
          <w:szCs w:val="21"/>
          <w:highlight w:val="none"/>
        </w:rPr>
        <w:t>（4）根据5.3.3发包人或监理人要求重新检查的，经检查证明工程质量符合合同要求的，并由此产生增加的费用和（或）延误的工期的；</w:t>
      </w:r>
    </w:p>
    <w:p>
      <w:pPr>
        <w:snapToGrid w:val="0"/>
        <w:spacing w:line="360" w:lineRule="auto"/>
        <w:ind w:firstLine="420" w:firstLineChars="200"/>
        <w:jc w:val="left"/>
        <w:rPr>
          <w:rFonts w:ascii="宋体" w:hAnsi="宋体" w:cs="Microsoft Sans Serif"/>
          <w:color w:val="auto"/>
          <w:kern w:val="0"/>
          <w:szCs w:val="21"/>
          <w:highlight w:val="none"/>
        </w:rPr>
      </w:pPr>
      <w:r>
        <w:rPr>
          <w:rFonts w:hint="eastAsia" w:ascii="宋体" w:hAnsi="宋体" w:cs="Microsoft Sans Serif"/>
          <w:color w:val="auto"/>
          <w:kern w:val="0"/>
          <w:szCs w:val="21"/>
          <w:highlight w:val="none"/>
        </w:rPr>
        <w:t>（5）因发包人原因造成工程质量未达到合同约定标准的；</w:t>
      </w:r>
    </w:p>
    <w:p>
      <w:pPr>
        <w:snapToGrid w:val="0"/>
        <w:spacing w:line="360" w:lineRule="auto"/>
        <w:ind w:firstLine="420" w:firstLineChars="200"/>
        <w:jc w:val="left"/>
        <w:rPr>
          <w:rFonts w:ascii="宋体" w:hAnsi="宋体" w:cs="Microsoft Sans Serif"/>
          <w:color w:val="auto"/>
          <w:kern w:val="0"/>
          <w:szCs w:val="21"/>
          <w:highlight w:val="none"/>
        </w:rPr>
      </w:pPr>
      <w:r>
        <w:rPr>
          <w:rFonts w:hint="eastAsia" w:ascii="宋体" w:hAnsi="宋体" w:cs="Microsoft Sans Serif"/>
          <w:color w:val="auto"/>
          <w:kern w:val="0"/>
          <w:szCs w:val="21"/>
          <w:highlight w:val="none"/>
        </w:rPr>
        <w:t>（6）由于发包人原因对承包人造成的人员人身伤亡和财产损失的；</w:t>
      </w:r>
    </w:p>
    <w:p>
      <w:pPr>
        <w:pStyle w:val="11"/>
        <w:spacing w:line="360" w:lineRule="auto"/>
        <w:jc w:val="left"/>
        <w:rPr>
          <w:rFonts w:ascii="宋体" w:hAnsi="宋体" w:cs="Microsoft Sans Serif"/>
          <w:color w:val="auto"/>
          <w:kern w:val="0"/>
          <w:sz w:val="21"/>
          <w:szCs w:val="21"/>
          <w:highlight w:val="none"/>
        </w:rPr>
      </w:pPr>
      <w:r>
        <w:rPr>
          <w:rFonts w:hint="eastAsia" w:ascii="宋体" w:hAnsi="宋体" w:cs="Microsoft Sans Serif"/>
          <w:color w:val="auto"/>
          <w:kern w:val="0"/>
          <w:sz w:val="21"/>
          <w:szCs w:val="21"/>
          <w:highlight w:val="none"/>
        </w:rPr>
        <w:t>（7）因发包人原因导致工程无法按期办理竣工验收或竣工结算的；</w:t>
      </w:r>
    </w:p>
    <w:p>
      <w:pPr>
        <w:pStyle w:val="11"/>
        <w:spacing w:line="360" w:lineRule="auto"/>
        <w:jc w:val="left"/>
        <w:rPr>
          <w:rFonts w:ascii="宋体" w:hAnsi="宋体" w:cs="Microsoft Sans Serif"/>
          <w:color w:val="auto"/>
          <w:kern w:val="0"/>
          <w:sz w:val="21"/>
          <w:szCs w:val="21"/>
          <w:highlight w:val="none"/>
        </w:rPr>
      </w:pPr>
      <w:r>
        <w:rPr>
          <w:rFonts w:hint="eastAsia" w:ascii="宋体" w:hAnsi="宋体" w:cs="Microsoft Sans Serif"/>
          <w:color w:val="auto"/>
          <w:kern w:val="0"/>
          <w:sz w:val="21"/>
          <w:szCs w:val="21"/>
          <w:highlight w:val="none"/>
        </w:rPr>
        <w:t>（8）发包人无正当理由未按约定退还履约担保、低价风险担保、预付款担保或质量保证金的；</w:t>
      </w:r>
    </w:p>
    <w:p>
      <w:pPr>
        <w:pStyle w:val="11"/>
        <w:spacing w:line="360" w:lineRule="auto"/>
        <w:jc w:val="left"/>
        <w:rPr>
          <w:rFonts w:ascii="宋体" w:hAnsi="宋体" w:cs="Microsoft Sans Serif"/>
          <w:color w:val="auto"/>
          <w:kern w:val="0"/>
          <w:sz w:val="21"/>
          <w:szCs w:val="21"/>
          <w:highlight w:val="none"/>
        </w:rPr>
      </w:pPr>
      <w:r>
        <w:rPr>
          <w:rFonts w:hint="eastAsia" w:ascii="宋体" w:hAnsi="宋体" w:cs="Microsoft Sans Serif"/>
          <w:color w:val="auto"/>
          <w:kern w:val="0"/>
          <w:sz w:val="21"/>
          <w:szCs w:val="21"/>
          <w:highlight w:val="none"/>
        </w:rPr>
        <w:t>（9）发包人不当提取履约担保、低价风险担保或质量保证金的；</w:t>
      </w:r>
    </w:p>
    <w:p>
      <w:pPr>
        <w:pStyle w:val="11"/>
        <w:spacing w:line="360" w:lineRule="auto"/>
        <w:jc w:val="left"/>
        <w:rPr>
          <w:rFonts w:ascii="宋体" w:hAnsi="宋体" w:cs="Microsoft Sans Serif"/>
          <w:color w:val="auto"/>
          <w:kern w:val="0"/>
          <w:sz w:val="21"/>
          <w:szCs w:val="21"/>
          <w:highlight w:val="none"/>
        </w:rPr>
      </w:pPr>
      <w:r>
        <w:rPr>
          <w:rFonts w:hint="eastAsia" w:ascii="宋体" w:hAnsi="宋体" w:cs="Microsoft Sans Serif"/>
          <w:color w:val="auto"/>
          <w:kern w:val="0"/>
          <w:sz w:val="21"/>
          <w:szCs w:val="21"/>
          <w:highlight w:val="none"/>
        </w:rPr>
        <w:t>（10）发包人未按合同约定接收全部或部分工作的；</w:t>
      </w:r>
    </w:p>
    <w:p>
      <w:pPr>
        <w:pStyle w:val="11"/>
        <w:spacing w:line="360" w:lineRule="auto"/>
        <w:jc w:val="left"/>
        <w:rPr>
          <w:rFonts w:ascii="宋体" w:hAnsi="宋体" w:cs="Microsoft Sans Serif"/>
          <w:color w:val="auto"/>
          <w:kern w:val="0"/>
          <w:sz w:val="21"/>
          <w:szCs w:val="21"/>
          <w:highlight w:val="none"/>
          <w:u w:val="single"/>
        </w:rPr>
      </w:pPr>
      <w:r>
        <w:rPr>
          <w:rFonts w:hint="eastAsia" w:ascii="宋体" w:hAnsi="宋体" w:cs="Microsoft Sans Serif"/>
          <w:color w:val="auto"/>
          <w:kern w:val="0"/>
          <w:sz w:val="21"/>
          <w:szCs w:val="21"/>
          <w:highlight w:val="none"/>
        </w:rPr>
        <w:t>（11）发包人未按合同约定办理保险的；</w:t>
      </w:r>
    </w:p>
    <w:p>
      <w:pPr>
        <w:snapToGrid w:val="0"/>
        <w:spacing w:line="360" w:lineRule="auto"/>
        <w:ind w:firstLine="420" w:firstLineChars="200"/>
        <w:jc w:val="left"/>
        <w:rPr>
          <w:rFonts w:ascii="宋体" w:hAnsi="宋体" w:cs="Microsoft Sans Serif"/>
          <w:color w:val="auto"/>
          <w:kern w:val="0"/>
          <w:szCs w:val="21"/>
          <w:highlight w:val="none"/>
          <w:u w:val="single"/>
        </w:rPr>
      </w:pPr>
      <w:r>
        <w:rPr>
          <w:rFonts w:hint="eastAsia" w:ascii="宋体" w:hAnsi="宋体" w:cs="Microsoft Sans Serif"/>
          <w:color w:val="auto"/>
          <w:kern w:val="0"/>
          <w:szCs w:val="21"/>
          <w:highlight w:val="none"/>
          <w:u w:val="single"/>
        </w:rPr>
        <w:t xml:space="preserve">（12）其他：        </w:t>
      </w:r>
      <w:r>
        <w:rPr>
          <w:rFonts w:hint="eastAsia" w:ascii="宋体" w:hAnsi="宋体" w:cs="Microsoft Sans Serif"/>
          <w:color w:val="auto"/>
          <w:kern w:val="0"/>
          <w:szCs w:val="21"/>
          <w:highlight w:val="none"/>
        </w:rPr>
        <w:t>。</w:t>
      </w:r>
    </w:p>
    <w:p>
      <w:pPr>
        <w:pStyle w:val="11"/>
        <w:spacing w:line="360" w:lineRule="auto"/>
        <w:rPr>
          <w:rFonts w:ascii="宋体" w:hAnsi="宋体"/>
          <w:color w:val="auto"/>
          <w:sz w:val="21"/>
          <w:szCs w:val="21"/>
          <w:highlight w:val="none"/>
        </w:rPr>
      </w:pPr>
      <w:r>
        <w:rPr>
          <w:rFonts w:hint="eastAsia" w:ascii="宋体" w:hAnsi="宋体"/>
          <w:color w:val="auto"/>
          <w:sz w:val="21"/>
          <w:szCs w:val="21"/>
          <w:highlight w:val="none"/>
        </w:rPr>
        <w:t>16.1.2发包人违约的责任</w:t>
      </w:r>
    </w:p>
    <w:p>
      <w:pPr>
        <w:snapToGrid w:val="0"/>
        <w:spacing w:line="360" w:lineRule="auto"/>
        <w:ind w:firstLine="420" w:firstLineChars="200"/>
        <w:jc w:val="left"/>
        <w:rPr>
          <w:rFonts w:ascii="宋体" w:hAnsi="宋体" w:cs="Microsoft Sans Serif"/>
          <w:color w:val="auto"/>
          <w:kern w:val="0"/>
          <w:szCs w:val="21"/>
          <w:highlight w:val="none"/>
        </w:rPr>
      </w:pPr>
      <w:r>
        <w:rPr>
          <w:rFonts w:hint="eastAsia" w:ascii="宋体" w:hAnsi="宋体" w:cs="Microsoft Sans Serif"/>
          <w:color w:val="auto"/>
          <w:kern w:val="0"/>
          <w:szCs w:val="21"/>
          <w:highlight w:val="none"/>
        </w:rPr>
        <w:t>（1）因发包人原因未能及时办理完毕前述许可、批准或备案的违约责任：由发包人承担由此增加的费用和（或）顺延工期，并支付合理利润，具体索赔程序按照第19条〔索赔〕约定执行。</w:t>
      </w:r>
    </w:p>
    <w:p>
      <w:pPr>
        <w:snapToGrid w:val="0"/>
        <w:spacing w:line="360" w:lineRule="auto"/>
        <w:ind w:firstLine="420" w:firstLineChars="200"/>
        <w:jc w:val="left"/>
        <w:rPr>
          <w:rFonts w:ascii="宋体" w:hAnsi="宋体" w:cs="Microsoft Sans Serif"/>
          <w:color w:val="auto"/>
          <w:kern w:val="0"/>
          <w:szCs w:val="21"/>
          <w:highlight w:val="none"/>
        </w:rPr>
      </w:pPr>
      <w:r>
        <w:rPr>
          <w:rFonts w:hint="eastAsia" w:ascii="宋体" w:hAnsi="宋体" w:cs="Microsoft Sans Serif"/>
          <w:color w:val="auto"/>
          <w:kern w:val="0"/>
          <w:szCs w:val="21"/>
          <w:highlight w:val="none"/>
        </w:rPr>
        <w:t>（2）因监理人未能按合同约定发出指示、指示延误或发出了错误指示而导致承包人费用增加和（或）工期延误的，由发包人承担由此增加的费用和（或）顺延工期，并支付合理利润，具体索赔程序按照第19条〔索赔〕约定执行。</w:t>
      </w:r>
    </w:p>
    <w:p>
      <w:pPr>
        <w:snapToGrid w:val="0"/>
        <w:spacing w:line="360" w:lineRule="auto"/>
        <w:ind w:firstLine="420" w:firstLineChars="200"/>
        <w:jc w:val="left"/>
        <w:rPr>
          <w:rFonts w:ascii="宋体" w:hAnsi="宋体" w:cs="Microsoft Sans Serif"/>
          <w:color w:val="auto"/>
          <w:kern w:val="0"/>
          <w:szCs w:val="21"/>
          <w:highlight w:val="none"/>
        </w:rPr>
      </w:pPr>
      <w:r>
        <w:rPr>
          <w:rFonts w:hint="eastAsia" w:ascii="宋体" w:hAnsi="宋体" w:cs="Microsoft Sans Serif"/>
          <w:color w:val="auto"/>
          <w:kern w:val="0"/>
          <w:szCs w:val="21"/>
          <w:highlight w:val="none"/>
        </w:rPr>
        <w:t>（3）因发包人原因导致工期延误的违约责任：由发包人承担由此增加的费用和（或）顺延工期，并支付合理利润，具体索赔程序按照第19条〔索赔〕约定执行。</w:t>
      </w:r>
    </w:p>
    <w:p>
      <w:pPr>
        <w:snapToGrid w:val="0"/>
        <w:spacing w:line="360" w:lineRule="auto"/>
        <w:ind w:firstLine="420" w:firstLineChars="200"/>
        <w:jc w:val="left"/>
        <w:rPr>
          <w:rFonts w:ascii="宋体" w:hAnsi="宋体" w:cs="Microsoft Sans Serif"/>
          <w:color w:val="auto"/>
          <w:kern w:val="0"/>
          <w:szCs w:val="21"/>
          <w:highlight w:val="none"/>
        </w:rPr>
      </w:pPr>
      <w:r>
        <w:rPr>
          <w:rFonts w:hint="eastAsia" w:ascii="宋体" w:hAnsi="宋体" w:cs="Microsoft Sans Serif"/>
          <w:color w:val="auto"/>
          <w:kern w:val="0"/>
          <w:szCs w:val="21"/>
          <w:highlight w:val="none"/>
        </w:rPr>
        <w:t>（4）因发包人原因未能在计划开工日期前7天内下达开工通知的违约责任：由发包人承担由此增加的费用和（或）顺延工期，并支付合理利润，具体索赔程序按照第19条〔索赔〕约定执行。</w:t>
      </w:r>
    </w:p>
    <w:p>
      <w:pPr>
        <w:spacing w:line="360" w:lineRule="auto"/>
        <w:ind w:firstLine="420" w:firstLineChars="200"/>
        <w:jc w:val="left"/>
        <w:rPr>
          <w:rFonts w:ascii="宋体" w:hAnsi="宋体" w:cs="Microsoft Sans Serif"/>
          <w:color w:val="auto"/>
          <w:kern w:val="0"/>
          <w:szCs w:val="21"/>
          <w:highlight w:val="none"/>
        </w:rPr>
      </w:pPr>
      <w:r>
        <w:rPr>
          <w:rFonts w:hint="eastAsia" w:ascii="宋体" w:hAnsi="宋体" w:cs="Microsoft Sans Serif"/>
          <w:color w:val="auto"/>
          <w:kern w:val="0"/>
          <w:szCs w:val="21"/>
          <w:highlight w:val="none"/>
        </w:rPr>
        <w:t>（5）根据5.3.3项发包人或监理人要求重新检查的，经检查证明工程质量符合合同要求的，由发包人承担由此增加的费用和（或）顺延工期，并支付合理利润，具体索赔程序按照第19条〔索赔〕约定执行。</w:t>
      </w:r>
    </w:p>
    <w:p>
      <w:pPr>
        <w:spacing w:line="360" w:lineRule="auto"/>
        <w:ind w:firstLine="420" w:firstLineChars="200"/>
        <w:jc w:val="left"/>
        <w:rPr>
          <w:rFonts w:ascii="宋体" w:hAnsi="宋体" w:cs="Microsoft Sans Serif"/>
          <w:color w:val="auto"/>
          <w:kern w:val="0"/>
          <w:szCs w:val="21"/>
          <w:highlight w:val="none"/>
        </w:rPr>
      </w:pPr>
      <w:r>
        <w:rPr>
          <w:rFonts w:hint="eastAsia" w:ascii="宋体" w:hAnsi="宋体" w:cs="Microsoft Sans Serif"/>
          <w:color w:val="auto"/>
          <w:kern w:val="0"/>
          <w:szCs w:val="21"/>
          <w:highlight w:val="none"/>
        </w:rPr>
        <w:t>（6）因发包人原因未按合同约定支付合同价款的违约责任：发包人应向承包人支付违约金，自应当支付之日起28天后开始计算违约金，计算公式：</w:t>
      </w:r>
      <w:r>
        <w:rPr>
          <w:rFonts w:hint="eastAsia" w:ascii="宋体" w:hAnsi="宋体" w:cs="Microsoft Sans Serif"/>
          <w:color w:val="auto"/>
          <w:kern w:val="0"/>
          <w:szCs w:val="21"/>
          <w:highlight w:val="none"/>
          <w:u w:val="single"/>
        </w:rPr>
        <w:t>违约金=应付未付金额×中国人民银行  年  月公布的5年期贷款市场报价利率/360天×逾期天数</w:t>
      </w:r>
      <w:r>
        <w:rPr>
          <w:rFonts w:hint="eastAsia" w:ascii="宋体" w:hAnsi="宋体"/>
          <w:color w:val="auto"/>
          <w:szCs w:val="21"/>
          <w:highlight w:val="none"/>
          <w:u w:val="single"/>
        </w:rPr>
        <w:t>（自第29天起计算）</w:t>
      </w:r>
      <w:r>
        <w:rPr>
          <w:rFonts w:hint="eastAsia" w:ascii="宋体" w:hAnsi="宋体" w:cs="Microsoft Sans Serif"/>
          <w:color w:val="auto"/>
          <w:kern w:val="0"/>
          <w:szCs w:val="21"/>
          <w:highlight w:val="none"/>
          <w:u w:val="single"/>
        </w:rPr>
        <w:t>；逾期天数超过56天的，超过部分天数按上述利率的两倍计算并支付违约金</w:t>
      </w:r>
      <w:r>
        <w:rPr>
          <w:rFonts w:hint="eastAsia" w:ascii="宋体" w:hAnsi="宋体" w:cs="Microsoft Sans Serif"/>
          <w:color w:val="auto"/>
          <w:kern w:val="0"/>
          <w:szCs w:val="21"/>
          <w:highlight w:val="none"/>
        </w:rPr>
        <w:t>。</w:t>
      </w:r>
    </w:p>
    <w:p>
      <w:pPr>
        <w:spacing w:line="360" w:lineRule="auto"/>
        <w:ind w:firstLine="420" w:firstLineChars="200"/>
        <w:jc w:val="left"/>
        <w:rPr>
          <w:rFonts w:ascii="宋体" w:hAnsi="宋体" w:cs="Microsoft Sans Serif"/>
          <w:color w:val="auto"/>
          <w:kern w:val="0"/>
          <w:szCs w:val="21"/>
          <w:highlight w:val="none"/>
        </w:rPr>
      </w:pPr>
      <w:r>
        <w:rPr>
          <w:rFonts w:hint="eastAsia" w:ascii="宋体" w:hAnsi="宋体" w:cs="Microsoft Sans Serif"/>
          <w:color w:val="auto"/>
          <w:kern w:val="0"/>
          <w:szCs w:val="21"/>
          <w:highlight w:val="none"/>
        </w:rPr>
        <w:t>（7）发包人违反合同约定，自行实施或转由他人实施被取消的合同工作内容的违约责任：由发包人承担由此给承包人造成的实际损失并支付合理利润。</w:t>
      </w:r>
    </w:p>
    <w:p>
      <w:pPr>
        <w:spacing w:line="360" w:lineRule="auto"/>
        <w:ind w:firstLine="420" w:firstLineChars="200"/>
        <w:jc w:val="left"/>
        <w:rPr>
          <w:rFonts w:ascii="宋体" w:hAnsi="宋体" w:cs="Microsoft Sans Serif"/>
          <w:color w:val="auto"/>
          <w:kern w:val="0"/>
          <w:szCs w:val="21"/>
          <w:highlight w:val="none"/>
        </w:rPr>
      </w:pPr>
      <w:r>
        <w:rPr>
          <w:rFonts w:hint="eastAsia" w:ascii="宋体" w:hAnsi="宋体" w:cs="Microsoft Sans Serif"/>
          <w:color w:val="auto"/>
          <w:kern w:val="0"/>
          <w:szCs w:val="21"/>
          <w:highlight w:val="none"/>
        </w:rPr>
        <w:t>（8）发包人提供的基准资料错误并导致承包人测量放线工作返工或造成工程损失的，以及发包人提供的材料、工程设备的规格、数量或质量不符合合同约定，或因发包人原因导致交货日期延误或交货地点变更等情况的违约责任：由发包人承担由此增加的费用和（或）顺延工期，并支付合理利润，具体索赔程序按照第19条〔索赔〕约定执行。</w:t>
      </w:r>
    </w:p>
    <w:p>
      <w:pPr>
        <w:spacing w:line="360" w:lineRule="auto"/>
        <w:ind w:firstLine="420" w:firstLineChars="200"/>
        <w:jc w:val="left"/>
        <w:rPr>
          <w:rFonts w:ascii="宋体" w:hAnsi="宋体" w:cs="Microsoft Sans Serif"/>
          <w:color w:val="auto"/>
          <w:kern w:val="0"/>
          <w:szCs w:val="21"/>
          <w:highlight w:val="none"/>
        </w:rPr>
      </w:pPr>
      <w:r>
        <w:rPr>
          <w:rFonts w:hint="eastAsia" w:ascii="宋体" w:hAnsi="宋体" w:cs="Microsoft Sans Serif"/>
          <w:color w:val="auto"/>
          <w:kern w:val="0"/>
          <w:szCs w:val="21"/>
          <w:highlight w:val="none"/>
        </w:rPr>
        <w:t>（9）因发包人原因造成工程质量未达到合同约定标准的，由发包人承担由此增加的费用和（或）延误的工期，并支付合理利润。</w:t>
      </w:r>
    </w:p>
    <w:p>
      <w:pPr>
        <w:spacing w:line="360" w:lineRule="auto"/>
        <w:ind w:firstLine="420" w:firstLineChars="200"/>
        <w:jc w:val="left"/>
        <w:rPr>
          <w:rFonts w:ascii="宋体" w:hAnsi="宋体" w:cs="Microsoft Sans Serif"/>
          <w:color w:val="auto"/>
          <w:kern w:val="0"/>
          <w:szCs w:val="21"/>
          <w:highlight w:val="none"/>
        </w:rPr>
      </w:pPr>
      <w:r>
        <w:rPr>
          <w:rFonts w:hint="eastAsia" w:ascii="宋体" w:hAnsi="宋体" w:cs="Microsoft Sans Serif"/>
          <w:color w:val="auto"/>
          <w:kern w:val="0"/>
          <w:szCs w:val="21"/>
          <w:highlight w:val="none"/>
        </w:rPr>
        <w:t>（10）因发包人违反合同约定造成暂停施工的违约责任：由发包人承担由此增加的费用和（或）顺延工期，并支付合理利润，具体索赔程序按照第19条〔索赔〕约定执行。</w:t>
      </w:r>
    </w:p>
    <w:p>
      <w:pPr>
        <w:spacing w:line="360" w:lineRule="auto"/>
        <w:ind w:firstLine="420" w:firstLineChars="200"/>
        <w:jc w:val="left"/>
        <w:rPr>
          <w:rFonts w:ascii="宋体" w:hAnsi="宋体" w:cs="Microsoft Sans Serif"/>
          <w:color w:val="auto"/>
          <w:kern w:val="0"/>
          <w:szCs w:val="21"/>
          <w:highlight w:val="none"/>
        </w:rPr>
      </w:pPr>
      <w:r>
        <w:rPr>
          <w:rFonts w:hint="eastAsia" w:ascii="宋体" w:hAnsi="宋体" w:cs="Microsoft Sans Serif"/>
          <w:color w:val="auto"/>
          <w:kern w:val="0"/>
          <w:szCs w:val="21"/>
          <w:highlight w:val="none"/>
        </w:rPr>
        <w:t>（11）发包人无正当理由没有在约定期限内发出复工指示，导致承包人无法复工的违约责任：由发包人承担由此增加的费用和（或）顺延工期，并支付合理利润，具体索赔程序按照第19条〔索赔〕约定执行。</w:t>
      </w:r>
    </w:p>
    <w:p>
      <w:pPr>
        <w:spacing w:line="360" w:lineRule="auto"/>
        <w:ind w:firstLine="420" w:firstLineChars="200"/>
        <w:jc w:val="left"/>
        <w:rPr>
          <w:rFonts w:ascii="宋体" w:hAnsi="宋体" w:cs="Microsoft Sans Serif"/>
          <w:color w:val="auto"/>
          <w:kern w:val="0"/>
          <w:szCs w:val="21"/>
          <w:highlight w:val="none"/>
          <w:u w:val="single"/>
        </w:rPr>
      </w:pPr>
      <w:r>
        <w:rPr>
          <w:rFonts w:hint="eastAsia" w:ascii="宋体" w:hAnsi="宋体" w:cs="Microsoft Sans Serif"/>
          <w:color w:val="auto"/>
          <w:kern w:val="0"/>
          <w:szCs w:val="21"/>
          <w:highlight w:val="none"/>
        </w:rPr>
        <w:t>（12）因发包人原因导致工程无法按期办理竣工验收或竣工结算的违约责任：由发包人承担由此增加的费用和（或）顺延工期，并支付合理利润，具体索赔程序按照第19条〔索赔〕约定执行。</w:t>
      </w:r>
    </w:p>
    <w:p>
      <w:pPr>
        <w:spacing w:line="360" w:lineRule="auto"/>
        <w:ind w:firstLine="420" w:firstLineChars="200"/>
        <w:jc w:val="left"/>
        <w:rPr>
          <w:rFonts w:ascii="宋体" w:hAnsi="宋体" w:cs="Microsoft Sans Serif"/>
          <w:color w:val="auto"/>
          <w:kern w:val="0"/>
          <w:szCs w:val="21"/>
          <w:highlight w:val="none"/>
          <w:u w:val="single"/>
        </w:rPr>
      </w:pPr>
      <w:r>
        <w:rPr>
          <w:rFonts w:hint="eastAsia" w:ascii="宋体" w:hAnsi="宋体"/>
          <w:color w:val="auto"/>
          <w:szCs w:val="21"/>
          <w:highlight w:val="none"/>
        </w:rPr>
        <w:t>（13）</w:t>
      </w:r>
      <w:r>
        <w:rPr>
          <w:rFonts w:hint="eastAsia" w:ascii="宋体" w:hAnsi="宋体" w:cs="Microsoft Sans Serif"/>
          <w:color w:val="auto"/>
          <w:kern w:val="0"/>
          <w:szCs w:val="21"/>
          <w:highlight w:val="none"/>
        </w:rPr>
        <w:t>发包人无正当理由未按约定退还履约担保、低价风险担保、预付款担保或质量保证金的违约责任：发包人应向承包人支付违约金，自应当退还之日起28天后开始计算违约金，</w:t>
      </w:r>
      <w:r>
        <w:rPr>
          <w:rFonts w:hint="eastAsia" w:ascii="宋体" w:hAnsi="宋体" w:cs="Microsoft Sans Serif"/>
          <w:color w:val="auto"/>
          <w:kern w:val="0"/>
          <w:szCs w:val="21"/>
          <w:highlight w:val="none"/>
          <w:u w:val="single"/>
        </w:rPr>
        <w:t>计算公式：违约金=应退未退担保金额×中国人民银行  年  月公布的5年期贷款市场报价利率/360天×逾期天数</w:t>
      </w:r>
      <w:r>
        <w:rPr>
          <w:rFonts w:hint="eastAsia" w:ascii="宋体" w:hAnsi="宋体"/>
          <w:color w:val="auto"/>
          <w:szCs w:val="21"/>
          <w:highlight w:val="none"/>
          <w:u w:val="single"/>
        </w:rPr>
        <w:t>（自第29天起计算）</w:t>
      </w:r>
      <w:r>
        <w:rPr>
          <w:rFonts w:hint="eastAsia" w:ascii="宋体" w:hAnsi="宋体" w:cs="Microsoft Sans Serif"/>
          <w:color w:val="auto"/>
          <w:kern w:val="0"/>
          <w:szCs w:val="21"/>
          <w:highlight w:val="none"/>
        </w:rPr>
        <w:t>。</w:t>
      </w:r>
    </w:p>
    <w:p>
      <w:pPr>
        <w:pStyle w:val="2"/>
        <w:spacing w:after="0" w:line="360" w:lineRule="auto"/>
        <w:ind w:firstLine="420" w:firstLineChars="200"/>
        <w:rPr>
          <w:rFonts w:ascii="宋体" w:hAnsi="宋体" w:cs="Microsoft Sans Serif"/>
          <w:color w:val="auto"/>
          <w:kern w:val="0"/>
          <w:szCs w:val="21"/>
          <w:highlight w:val="none"/>
        </w:rPr>
      </w:pPr>
      <w:r>
        <w:rPr>
          <w:rFonts w:hint="eastAsia" w:ascii="宋体" w:hAnsi="宋体" w:cs="Microsoft Sans Serif"/>
          <w:color w:val="auto"/>
          <w:kern w:val="0"/>
          <w:szCs w:val="21"/>
          <w:highlight w:val="none"/>
        </w:rPr>
        <w:t>（14）</w:t>
      </w:r>
      <w:r>
        <w:rPr>
          <w:rFonts w:hint="eastAsia" w:ascii="宋体" w:hAnsi="宋体"/>
          <w:color w:val="auto"/>
          <w:szCs w:val="21"/>
          <w:highlight w:val="none"/>
        </w:rPr>
        <w:t>发包人不当提取履约担保、低价风险担保、预付款担保或质量保证金的，应及时予以退还，若不当提取超过28天的，应承担违约责任：发包人应向承包人支付违约金，</w:t>
      </w:r>
      <w:r>
        <w:rPr>
          <w:rFonts w:hint="eastAsia" w:ascii="宋体" w:hAnsi="宋体"/>
          <w:color w:val="auto"/>
          <w:szCs w:val="21"/>
          <w:highlight w:val="none"/>
          <w:u w:val="single"/>
        </w:rPr>
        <w:t>计算公式：违约金=不当提取的担保金额×中国人民银行  年  月公布的5年期贷款市场报价利率/360天×逾期天数（自第29天起计算）</w:t>
      </w:r>
      <w:r>
        <w:rPr>
          <w:rFonts w:hint="eastAsia" w:ascii="宋体" w:hAnsi="宋体"/>
          <w:color w:val="auto"/>
          <w:szCs w:val="21"/>
          <w:highlight w:val="none"/>
        </w:rPr>
        <w:t>。</w:t>
      </w:r>
    </w:p>
    <w:p>
      <w:pPr>
        <w:pStyle w:val="2"/>
        <w:spacing w:after="0" w:line="360" w:lineRule="auto"/>
        <w:ind w:firstLine="420" w:firstLineChars="200"/>
        <w:rPr>
          <w:rFonts w:ascii="宋体" w:hAnsi="宋体"/>
          <w:color w:val="auto"/>
          <w:szCs w:val="21"/>
          <w:highlight w:val="none"/>
        </w:rPr>
      </w:pPr>
      <w:r>
        <w:rPr>
          <w:rFonts w:hint="eastAsia" w:ascii="宋体" w:hAnsi="宋体" w:cs="Microsoft Sans Serif"/>
          <w:color w:val="auto"/>
          <w:kern w:val="0"/>
          <w:szCs w:val="21"/>
          <w:highlight w:val="none"/>
        </w:rPr>
        <w:t>（15）发包人未按合同约定接收全部或部分工作的违约责任：由发包人承担自应当接收工程之日起的工程照管、成品保护、保管等与工程有关的各项费用。</w:t>
      </w:r>
    </w:p>
    <w:p>
      <w:pPr>
        <w:snapToGrid w:val="0"/>
        <w:spacing w:line="360" w:lineRule="auto"/>
        <w:ind w:firstLine="420" w:firstLineChars="200"/>
        <w:jc w:val="left"/>
        <w:rPr>
          <w:rFonts w:ascii="宋体" w:hAnsi="宋体" w:cs="Microsoft Sans Serif"/>
          <w:color w:val="auto"/>
          <w:kern w:val="0"/>
          <w:szCs w:val="21"/>
          <w:highlight w:val="none"/>
        </w:rPr>
      </w:pPr>
      <w:r>
        <w:rPr>
          <w:rFonts w:hint="eastAsia" w:ascii="宋体" w:hAnsi="宋体" w:cs="Microsoft Sans Serif"/>
          <w:color w:val="auto"/>
          <w:kern w:val="0"/>
          <w:szCs w:val="21"/>
          <w:highlight w:val="none"/>
        </w:rPr>
        <w:t>（16）由于发包人原因对承包人造成的人员人身伤亡和财产损失的，由发包人负责赔偿，并承担由此增加的费用和（或）延误的工期，并支付合理利润。</w:t>
      </w:r>
    </w:p>
    <w:p>
      <w:pPr>
        <w:spacing w:line="360" w:lineRule="auto"/>
        <w:ind w:firstLine="420" w:firstLineChars="200"/>
        <w:jc w:val="left"/>
        <w:rPr>
          <w:rFonts w:ascii="宋体" w:hAnsi="宋体" w:cs="Microsoft Sans Serif"/>
          <w:color w:val="auto"/>
          <w:kern w:val="0"/>
          <w:szCs w:val="21"/>
          <w:highlight w:val="none"/>
        </w:rPr>
      </w:pPr>
      <w:r>
        <w:rPr>
          <w:rFonts w:hint="eastAsia" w:ascii="宋体" w:hAnsi="宋体" w:cs="Microsoft Sans Serif"/>
          <w:color w:val="auto"/>
          <w:kern w:val="0"/>
          <w:szCs w:val="21"/>
          <w:highlight w:val="none"/>
        </w:rPr>
        <w:t>（17）发包人未按合同约定办理保险的违约责任：除按18.6.1项约定执行外，每延迟1天，按</w:t>
      </w:r>
      <w:r>
        <w:rPr>
          <w:rFonts w:hint="eastAsia" w:ascii="宋体" w:hAnsi="宋体" w:cs="Microsoft Sans Serif"/>
          <w:color w:val="auto"/>
          <w:kern w:val="0"/>
          <w:szCs w:val="21"/>
          <w:highlight w:val="none"/>
          <w:u w:val="single"/>
        </w:rPr>
        <w:t>500元/天</w:t>
      </w:r>
      <w:r>
        <w:rPr>
          <w:rFonts w:hint="eastAsia" w:ascii="宋体" w:hAnsi="宋体" w:cs="Microsoft Sans Serif"/>
          <w:color w:val="auto"/>
          <w:kern w:val="0"/>
          <w:szCs w:val="21"/>
          <w:highlight w:val="none"/>
        </w:rPr>
        <w:t>支付违约金。</w:t>
      </w:r>
    </w:p>
    <w:p>
      <w:pPr>
        <w:spacing w:line="360" w:lineRule="auto"/>
        <w:ind w:firstLine="420" w:firstLineChars="200"/>
        <w:jc w:val="left"/>
        <w:rPr>
          <w:rFonts w:ascii="宋体" w:hAnsi="宋体" w:cs="Microsoft Sans Serif"/>
          <w:color w:val="auto"/>
          <w:kern w:val="0"/>
          <w:szCs w:val="21"/>
          <w:highlight w:val="none"/>
        </w:rPr>
      </w:pPr>
      <w:r>
        <w:rPr>
          <w:rFonts w:hint="eastAsia" w:ascii="宋体" w:hAnsi="宋体" w:cs="Microsoft Sans Serif"/>
          <w:color w:val="auto"/>
          <w:kern w:val="0"/>
          <w:szCs w:val="21"/>
          <w:highlight w:val="none"/>
        </w:rPr>
        <w:t>（18）其他：</w:t>
      </w:r>
      <w:r>
        <w:rPr>
          <w:rFonts w:hint="eastAsia" w:ascii="宋体" w:hAnsi="宋体" w:cs="Microsoft Sans Serif"/>
          <w:color w:val="auto"/>
          <w:kern w:val="0"/>
          <w:szCs w:val="21"/>
          <w:highlight w:val="none"/>
          <w:u w:val="single"/>
        </w:rPr>
        <w:t xml:space="preserve">        </w:t>
      </w:r>
      <w:r>
        <w:rPr>
          <w:rFonts w:hint="eastAsia" w:ascii="宋体" w:hAnsi="宋体" w:cs="Microsoft Sans Serif"/>
          <w:color w:val="auto"/>
          <w:kern w:val="0"/>
          <w:szCs w:val="21"/>
          <w:highlight w:val="none"/>
        </w:rPr>
        <w:t>。</w:t>
      </w:r>
    </w:p>
    <w:p>
      <w:pPr>
        <w:autoSpaceDE w:val="0"/>
        <w:autoSpaceDN w:val="0"/>
        <w:adjustRightInd w:val="0"/>
        <w:spacing w:line="360" w:lineRule="auto"/>
        <w:ind w:firstLine="420" w:firstLineChars="200"/>
        <w:jc w:val="left"/>
        <w:rPr>
          <w:rFonts w:ascii="宋体" w:hAnsi="宋体" w:cs="Microsoft Sans Serif"/>
          <w:color w:val="auto"/>
          <w:kern w:val="0"/>
          <w:szCs w:val="21"/>
          <w:highlight w:val="none"/>
        </w:rPr>
      </w:pPr>
      <w:r>
        <w:rPr>
          <w:rFonts w:hint="eastAsia" w:ascii="宋体" w:hAnsi="宋体" w:cs="Microsoft Sans Serif"/>
          <w:color w:val="auto"/>
          <w:kern w:val="0"/>
          <w:szCs w:val="21"/>
          <w:highlight w:val="none"/>
        </w:rPr>
        <w:t>发包人发生除通用条款第16.1.1项第（7）目以外的违约情况时，承包人可向发包人发出通知，要求发包人采取有效措施纠正违约行为。发包人收到承包人通知后的28天内仍不履行合同义务，承包人有权暂停施工，并通知监理人。</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16.1.3 因发包人违约解除合同</w:t>
      </w:r>
    </w:p>
    <w:p>
      <w:pPr>
        <w:autoSpaceDE w:val="0"/>
        <w:autoSpaceDN w:val="0"/>
        <w:adjustRightInd w:val="0"/>
        <w:spacing w:line="360" w:lineRule="auto"/>
        <w:ind w:firstLine="420" w:firstLineChars="200"/>
        <w:jc w:val="left"/>
        <w:rPr>
          <w:rFonts w:ascii="宋体" w:hAnsi="宋体" w:cs="Microsoft Sans Serif"/>
          <w:color w:val="auto"/>
          <w:kern w:val="0"/>
          <w:szCs w:val="21"/>
          <w:highlight w:val="none"/>
        </w:rPr>
      </w:pPr>
      <w:r>
        <w:rPr>
          <w:rFonts w:hint="eastAsia" w:ascii="宋体" w:hAnsi="宋体" w:cs="Microsoft Sans Serif"/>
          <w:color w:val="auto"/>
          <w:kern w:val="0"/>
          <w:szCs w:val="21"/>
          <w:highlight w:val="none"/>
        </w:rPr>
        <w:t>因发包人违约并致使合同目的不能实现的，承包人有权解除合同：</w:t>
      </w:r>
    </w:p>
    <w:p>
      <w:pPr>
        <w:autoSpaceDE w:val="0"/>
        <w:autoSpaceDN w:val="0"/>
        <w:adjustRightInd w:val="0"/>
        <w:spacing w:line="360" w:lineRule="auto"/>
        <w:ind w:firstLine="420" w:firstLineChars="200"/>
        <w:jc w:val="left"/>
        <w:rPr>
          <w:rFonts w:ascii="宋体" w:hAnsi="宋体" w:cs="Microsoft Sans Serif"/>
          <w:color w:val="auto"/>
          <w:kern w:val="0"/>
          <w:szCs w:val="21"/>
          <w:highlight w:val="none"/>
        </w:rPr>
      </w:pPr>
      <w:r>
        <w:rPr>
          <w:rFonts w:hint="eastAsia" w:ascii="宋体" w:hAnsi="宋体" w:cs="Microsoft Sans Serif"/>
          <w:color w:val="auto"/>
          <w:kern w:val="0"/>
          <w:szCs w:val="21"/>
          <w:highlight w:val="none"/>
        </w:rPr>
        <w:t>（1）因发包人原因延迟支付合同价款超过180天的；</w:t>
      </w:r>
    </w:p>
    <w:p>
      <w:pPr>
        <w:autoSpaceDE w:val="0"/>
        <w:autoSpaceDN w:val="0"/>
        <w:adjustRightInd w:val="0"/>
        <w:spacing w:line="360" w:lineRule="auto"/>
        <w:ind w:firstLine="420" w:firstLineChars="200"/>
        <w:jc w:val="left"/>
        <w:rPr>
          <w:rFonts w:ascii="宋体" w:hAnsi="宋体" w:cs="Microsoft Sans Serif"/>
          <w:color w:val="auto"/>
          <w:kern w:val="0"/>
          <w:szCs w:val="21"/>
          <w:highlight w:val="none"/>
        </w:rPr>
      </w:pPr>
      <w:r>
        <w:rPr>
          <w:rFonts w:hint="eastAsia" w:ascii="宋体" w:hAnsi="宋体" w:cs="Microsoft Sans Serif"/>
          <w:color w:val="auto"/>
          <w:kern w:val="0"/>
          <w:szCs w:val="21"/>
          <w:highlight w:val="none"/>
        </w:rPr>
        <w:t>（2）因发包人原因导致工期延误超过90天的；</w:t>
      </w:r>
    </w:p>
    <w:p>
      <w:pPr>
        <w:snapToGrid w:val="0"/>
        <w:spacing w:line="360" w:lineRule="auto"/>
        <w:ind w:firstLine="420" w:firstLineChars="200"/>
        <w:jc w:val="left"/>
        <w:rPr>
          <w:rFonts w:ascii="宋体" w:hAnsi="宋体" w:cs="Microsoft Sans Serif"/>
          <w:color w:val="auto"/>
          <w:kern w:val="0"/>
          <w:szCs w:val="21"/>
          <w:highlight w:val="none"/>
        </w:rPr>
      </w:pPr>
      <w:r>
        <w:rPr>
          <w:rFonts w:hint="eastAsia" w:ascii="宋体" w:hAnsi="宋体" w:cs="Microsoft Sans Serif"/>
          <w:color w:val="auto"/>
          <w:kern w:val="0"/>
          <w:szCs w:val="21"/>
          <w:highlight w:val="none"/>
        </w:rPr>
        <w:t>（3）因发包人第16.1.2（5）违约情形导致暂停施工满56天，且发包人仍未纠正其违约行为的；</w:t>
      </w:r>
    </w:p>
    <w:p>
      <w:pPr>
        <w:snapToGrid w:val="0"/>
        <w:spacing w:line="360" w:lineRule="auto"/>
        <w:ind w:firstLine="420" w:firstLineChars="200"/>
        <w:jc w:val="left"/>
        <w:rPr>
          <w:rFonts w:hint="eastAsia" w:ascii="宋体" w:hAnsi="宋体" w:cs="Microsoft Sans Serif"/>
          <w:color w:val="auto"/>
          <w:kern w:val="0"/>
          <w:szCs w:val="21"/>
          <w:highlight w:val="none"/>
        </w:rPr>
      </w:pPr>
      <w:r>
        <w:rPr>
          <w:rFonts w:hint="eastAsia" w:ascii="宋体" w:hAnsi="宋体" w:cs="Microsoft Sans Serif"/>
          <w:color w:val="auto"/>
          <w:kern w:val="0"/>
          <w:szCs w:val="21"/>
          <w:highlight w:val="none"/>
        </w:rPr>
        <w:t>（4）其他未履行合同项下的义务构成对合同的实质性违约，并且在收到承包人要求说明其违约并予以补救的通知后56天内仍未补救该实质性违约的；</w:t>
      </w:r>
    </w:p>
    <w:p>
      <w:pPr>
        <w:snapToGrid w:val="0"/>
        <w:spacing w:line="360" w:lineRule="auto"/>
        <w:ind w:firstLine="420" w:firstLineChars="200"/>
        <w:jc w:val="left"/>
        <w:rPr>
          <w:rFonts w:hint="eastAsia" w:ascii="宋体" w:hAnsi="宋体" w:cs="Microsoft Sans Serif"/>
          <w:color w:val="auto"/>
          <w:kern w:val="0"/>
          <w:szCs w:val="21"/>
          <w:highlight w:val="none"/>
        </w:rPr>
      </w:pPr>
      <w:r>
        <w:rPr>
          <w:rFonts w:hint="eastAsia" w:ascii="宋体" w:hAnsi="宋体" w:cs="Microsoft Sans Serif"/>
          <w:color w:val="auto"/>
          <w:kern w:val="0"/>
          <w:szCs w:val="21"/>
          <w:highlight w:val="none"/>
        </w:rPr>
        <w:t>（5）</w:t>
      </w:r>
      <w:r>
        <w:rPr>
          <w:rFonts w:hint="eastAsia" w:ascii="宋体" w:hAnsi="宋体" w:cs="Microsoft Sans Serif"/>
          <w:color w:val="auto"/>
          <w:kern w:val="0"/>
          <w:szCs w:val="21"/>
          <w:highlight w:val="none"/>
          <w:u w:val="single"/>
        </w:rPr>
        <w:t>合同约定的承包人有权解除合同的其他情形</w:t>
      </w:r>
      <w:r>
        <w:rPr>
          <w:rFonts w:hint="eastAsia" w:ascii="宋体" w:hAnsi="宋体" w:cs="Microsoft Sans Serif"/>
          <w:color w:val="auto"/>
          <w:kern w:val="0"/>
          <w:szCs w:val="21"/>
          <w:highlight w:val="none"/>
        </w:rPr>
        <w:t>。</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16.1.4 因发包人违约解除合同后的付款</w:t>
      </w:r>
    </w:p>
    <w:p>
      <w:pPr>
        <w:snapToGrid w:val="0"/>
        <w:spacing w:line="360" w:lineRule="auto"/>
        <w:ind w:firstLine="420" w:firstLineChars="200"/>
        <w:jc w:val="left"/>
        <w:rPr>
          <w:rFonts w:ascii="宋体" w:hAnsi="宋体" w:cs="Microsoft Sans Serif"/>
          <w:color w:val="auto"/>
          <w:kern w:val="0"/>
          <w:szCs w:val="21"/>
          <w:highlight w:val="none"/>
        </w:rPr>
      </w:pPr>
      <w:r>
        <w:rPr>
          <w:rFonts w:hint="eastAsia" w:ascii="宋体" w:hAnsi="宋体" w:cs="Microsoft Sans Serif"/>
          <w:color w:val="auto"/>
          <w:kern w:val="0"/>
          <w:szCs w:val="21"/>
          <w:highlight w:val="none"/>
        </w:rPr>
        <w:t>承包人按照本款约定解除合同的，发包人应在解除合同后28天内支付下列款项，并解除履约担保、低价风险担保、预付款担保：</w:t>
      </w:r>
    </w:p>
    <w:p>
      <w:pPr>
        <w:snapToGrid w:val="0"/>
        <w:spacing w:line="360" w:lineRule="auto"/>
        <w:ind w:firstLine="420" w:firstLineChars="200"/>
        <w:jc w:val="left"/>
        <w:rPr>
          <w:rFonts w:ascii="宋体" w:hAnsi="宋体" w:cs="Microsoft Sans Serif"/>
          <w:color w:val="auto"/>
          <w:kern w:val="0"/>
          <w:szCs w:val="21"/>
          <w:highlight w:val="none"/>
        </w:rPr>
      </w:pPr>
      <w:r>
        <w:rPr>
          <w:rFonts w:hint="eastAsia" w:ascii="宋体" w:hAnsi="宋体" w:cs="Microsoft Sans Serif"/>
          <w:color w:val="auto"/>
          <w:kern w:val="0"/>
          <w:szCs w:val="21"/>
          <w:highlight w:val="none"/>
        </w:rPr>
        <w:t>（1）合同解除前所完成工作的价款；</w:t>
      </w:r>
    </w:p>
    <w:p>
      <w:pPr>
        <w:snapToGrid w:val="0"/>
        <w:spacing w:line="360" w:lineRule="auto"/>
        <w:ind w:firstLine="420" w:firstLineChars="200"/>
        <w:jc w:val="left"/>
        <w:rPr>
          <w:rFonts w:ascii="宋体" w:hAnsi="宋体" w:cs="Microsoft Sans Serif"/>
          <w:color w:val="auto"/>
          <w:kern w:val="0"/>
          <w:szCs w:val="21"/>
          <w:highlight w:val="none"/>
        </w:rPr>
      </w:pPr>
      <w:r>
        <w:rPr>
          <w:rFonts w:hint="eastAsia" w:ascii="宋体" w:hAnsi="宋体" w:cs="Microsoft Sans Serif"/>
          <w:color w:val="auto"/>
          <w:kern w:val="0"/>
          <w:szCs w:val="21"/>
          <w:highlight w:val="none"/>
        </w:rPr>
        <w:t>（2）承包人为工程施工订购并已付款的材料、工程设备和其他物品的价款；</w:t>
      </w:r>
    </w:p>
    <w:p>
      <w:pPr>
        <w:snapToGrid w:val="0"/>
        <w:spacing w:line="360" w:lineRule="auto"/>
        <w:ind w:firstLine="420" w:firstLineChars="200"/>
        <w:jc w:val="left"/>
        <w:rPr>
          <w:rFonts w:ascii="宋体" w:hAnsi="宋体" w:cs="Microsoft Sans Serif"/>
          <w:color w:val="auto"/>
          <w:kern w:val="0"/>
          <w:szCs w:val="21"/>
          <w:highlight w:val="none"/>
        </w:rPr>
      </w:pPr>
      <w:r>
        <w:rPr>
          <w:rFonts w:hint="eastAsia" w:ascii="宋体" w:hAnsi="宋体" w:cs="Microsoft Sans Serif"/>
          <w:color w:val="auto"/>
          <w:kern w:val="0"/>
          <w:szCs w:val="21"/>
          <w:highlight w:val="none"/>
        </w:rPr>
        <w:t>（3）承包人撤离施工现场以及遣散承包人人员的款项；</w:t>
      </w:r>
    </w:p>
    <w:p>
      <w:pPr>
        <w:snapToGrid w:val="0"/>
        <w:spacing w:line="360" w:lineRule="auto"/>
        <w:ind w:firstLine="420" w:firstLineChars="200"/>
        <w:jc w:val="left"/>
        <w:rPr>
          <w:rFonts w:ascii="宋体" w:hAnsi="宋体" w:cs="Microsoft Sans Serif"/>
          <w:color w:val="auto"/>
          <w:kern w:val="0"/>
          <w:szCs w:val="21"/>
          <w:highlight w:val="none"/>
        </w:rPr>
      </w:pPr>
      <w:r>
        <w:rPr>
          <w:rFonts w:hint="eastAsia" w:ascii="宋体" w:hAnsi="宋体" w:cs="Microsoft Sans Serif"/>
          <w:color w:val="auto"/>
          <w:kern w:val="0"/>
          <w:szCs w:val="21"/>
          <w:highlight w:val="none"/>
        </w:rPr>
        <w:t>（4）按照合同约定在合同解除前应支付的违约金；</w:t>
      </w:r>
    </w:p>
    <w:p>
      <w:pPr>
        <w:snapToGrid w:val="0"/>
        <w:spacing w:line="360" w:lineRule="auto"/>
        <w:ind w:firstLine="420" w:firstLineChars="200"/>
        <w:jc w:val="left"/>
        <w:rPr>
          <w:rFonts w:ascii="宋体" w:hAnsi="宋体" w:cs="Microsoft Sans Serif"/>
          <w:color w:val="auto"/>
          <w:kern w:val="0"/>
          <w:szCs w:val="21"/>
          <w:highlight w:val="none"/>
        </w:rPr>
      </w:pPr>
      <w:r>
        <w:rPr>
          <w:rFonts w:hint="eastAsia" w:ascii="宋体" w:hAnsi="宋体" w:cs="Microsoft Sans Serif"/>
          <w:color w:val="auto"/>
          <w:kern w:val="0"/>
          <w:szCs w:val="21"/>
          <w:highlight w:val="none"/>
        </w:rPr>
        <w:t>（5）按照合同约定应当支付给承包人的其他款项；</w:t>
      </w:r>
    </w:p>
    <w:p>
      <w:pPr>
        <w:snapToGrid w:val="0"/>
        <w:spacing w:line="360" w:lineRule="auto"/>
        <w:ind w:firstLine="420" w:firstLineChars="200"/>
        <w:jc w:val="left"/>
        <w:rPr>
          <w:rFonts w:ascii="宋体" w:hAnsi="宋体" w:cs="Microsoft Sans Serif"/>
          <w:color w:val="auto"/>
          <w:kern w:val="0"/>
          <w:szCs w:val="21"/>
          <w:highlight w:val="none"/>
        </w:rPr>
      </w:pPr>
      <w:r>
        <w:rPr>
          <w:rFonts w:hint="eastAsia" w:ascii="宋体" w:hAnsi="宋体" w:cs="Microsoft Sans Serif"/>
          <w:color w:val="auto"/>
          <w:kern w:val="0"/>
          <w:szCs w:val="21"/>
          <w:highlight w:val="none"/>
        </w:rPr>
        <w:t>（6）按照合同约定应退还的质量保证金；</w:t>
      </w:r>
    </w:p>
    <w:p>
      <w:pPr>
        <w:snapToGrid w:val="0"/>
        <w:spacing w:line="360" w:lineRule="auto"/>
        <w:ind w:firstLine="420" w:firstLineChars="200"/>
        <w:jc w:val="left"/>
        <w:rPr>
          <w:rFonts w:hint="eastAsia" w:ascii="宋体" w:hAnsi="宋体" w:cs="Microsoft Sans Serif"/>
          <w:color w:val="auto"/>
          <w:kern w:val="0"/>
          <w:szCs w:val="21"/>
          <w:highlight w:val="none"/>
        </w:rPr>
      </w:pPr>
      <w:r>
        <w:rPr>
          <w:rFonts w:hint="eastAsia" w:ascii="宋体" w:hAnsi="宋体" w:cs="Microsoft Sans Serif"/>
          <w:color w:val="auto"/>
          <w:kern w:val="0"/>
          <w:szCs w:val="21"/>
          <w:highlight w:val="none"/>
        </w:rPr>
        <w:t>（7）因解除合同给承包人造成的损失；</w:t>
      </w:r>
    </w:p>
    <w:p>
      <w:pPr>
        <w:snapToGrid w:val="0"/>
        <w:spacing w:line="360" w:lineRule="auto"/>
        <w:ind w:firstLine="420" w:firstLineChars="200"/>
        <w:jc w:val="left"/>
        <w:rPr>
          <w:rFonts w:hint="eastAsia" w:ascii="宋体" w:hAnsi="宋体" w:cs="Microsoft Sans Serif"/>
          <w:color w:val="auto"/>
          <w:kern w:val="0"/>
          <w:szCs w:val="21"/>
          <w:highlight w:val="none"/>
        </w:rPr>
      </w:pPr>
      <w:r>
        <w:rPr>
          <w:rFonts w:hint="eastAsia" w:ascii="宋体" w:hAnsi="宋体" w:cs="Microsoft Sans Serif"/>
          <w:color w:val="auto"/>
          <w:kern w:val="0"/>
          <w:szCs w:val="21"/>
          <w:highlight w:val="none"/>
        </w:rPr>
        <w:t>（8）</w:t>
      </w:r>
      <w:r>
        <w:rPr>
          <w:rFonts w:hint="eastAsia" w:ascii="宋体" w:hAnsi="宋体" w:cs="Microsoft Sans Serif"/>
          <w:color w:val="auto"/>
          <w:kern w:val="0"/>
          <w:szCs w:val="21"/>
          <w:highlight w:val="none"/>
          <w:u w:val="single"/>
        </w:rPr>
        <w:t xml:space="preserve">        。</w:t>
      </w:r>
    </w:p>
    <w:p>
      <w:pPr>
        <w:snapToGrid w:val="0"/>
        <w:spacing w:line="360" w:lineRule="auto"/>
        <w:ind w:firstLine="420" w:firstLineChars="200"/>
        <w:jc w:val="left"/>
        <w:rPr>
          <w:rFonts w:ascii="宋体" w:hAnsi="宋体" w:cs="Microsoft Sans Serif"/>
          <w:color w:val="auto"/>
          <w:kern w:val="0"/>
          <w:szCs w:val="21"/>
          <w:highlight w:val="none"/>
        </w:rPr>
      </w:pPr>
      <w:r>
        <w:rPr>
          <w:rFonts w:hint="eastAsia" w:ascii="宋体" w:hAnsi="宋体" w:cs="Microsoft Sans Serif"/>
          <w:color w:val="auto"/>
          <w:kern w:val="0"/>
          <w:szCs w:val="21"/>
          <w:highlight w:val="none"/>
        </w:rPr>
        <w:t>合同当事人未能就解除合同后的结清达成一致的，按照第20条〔争议解决〕的约定处理。</w:t>
      </w:r>
    </w:p>
    <w:p>
      <w:pPr>
        <w:snapToGrid w:val="0"/>
        <w:spacing w:line="360" w:lineRule="auto"/>
        <w:ind w:firstLine="420" w:firstLineChars="200"/>
        <w:jc w:val="left"/>
        <w:rPr>
          <w:rFonts w:ascii="宋体" w:hAnsi="宋体" w:cs="Microsoft Sans Serif"/>
          <w:color w:val="auto"/>
          <w:kern w:val="0"/>
          <w:szCs w:val="21"/>
          <w:highlight w:val="none"/>
          <w:u w:val="single"/>
        </w:rPr>
      </w:pPr>
      <w:r>
        <w:rPr>
          <w:rFonts w:hint="eastAsia" w:ascii="宋体" w:hAnsi="宋体" w:cs="Microsoft Sans Serif"/>
          <w:color w:val="auto"/>
          <w:kern w:val="0"/>
          <w:szCs w:val="21"/>
          <w:highlight w:val="none"/>
        </w:rPr>
        <w:t>承包人应妥善做好已完工程和与工程有关的已购材料、工程设备的保护和移交工作，并将施工设备和人员撤出施工现场，发包人应为承包人撤出提供必要条件。</w:t>
      </w:r>
    </w:p>
    <w:p>
      <w:pPr>
        <w:pStyle w:val="6"/>
        <w:spacing w:before="0" w:beforeAutospacing="0" w:after="0" w:afterAutospacing="0" w:line="360" w:lineRule="auto"/>
        <w:ind w:firstLine="422" w:firstLineChars="200"/>
        <w:rPr>
          <w:color w:val="auto"/>
          <w:sz w:val="21"/>
          <w:szCs w:val="21"/>
          <w:highlight w:val="none"/>
        </w:rPr>
      </w:pPr>
      <w:bookmarkStart w:id="1279" w:name="_Toc532377403"/>
      <w:r>
        <w:rPr>
          <w:rFonts w:hint="eastAsia"/>
          <w:color w:val="auto"/>
          <w:sz w:val="21"/>
          <w:szCs w:val="21"/>
          <w:highlight w:val="none"/>
        </w:rPr>
        <w:t>16.2 承包人违约</w:t>
      </w:r>
      <w:bookmarkEnd w:id="1279"/>
    </w:p>
    <w:p>
      <w:pPr>
        <w:snapToGrid w:val="0"/>
        <w:spacing w:line="360" w:lineRule="auto"/>
        <w:ind w:firstLine="420" w:firstLineChars="200"/>
        <w:jc w:val="left"/>
        <w:rPr>
          <w:rFonts w:ascii="宋体" w:hAnsi="宋体" w:cs="Microsoft Sans Serif"/>
          <w:color w:val="auto"/>
          <w:kern w:val="0"/>
          <w:szCs w:val="21"/>
          <w:highlight w:val="none"/>
        </w:rPr>
      </w:pPr>
      <w:bookmarkStart w:id="1280" w:name="_Hlk524380579"/>
      <w:r>
        <w:rPr>
          <w:rFonts w:hint="eastAsia" w:ascii="宋体" w:hAnsi="宋体" w:cs="Microsoft Sans Serif"/>
          <w:color w:val="auto"/>
          <w:kern w:val="0"/>
          <w:szCs w:val="21"/>
          <w:highlight w:val="none"/>
        </w:rPr>
        <w:t>16.2.1 承包人违约的情形</w:t>
      </w:r>
    </w:p>
    <w:p>
      <w:pPr>
        <w:snapToGrid w:val="0"/>
        <w:spacing w:line="360" w:lineRule="auto"/>
        <w:ind w:firstLine="420" w:firstLineChars="200"/>
        <w:jc w:val="left"/>
        <w:rPr>
          <w:rFonts w:ascii="宋体" w:hAnsi="宋体" w:cs="Microsoft Sans Serif"/>
          <w:color w:val="auto"/>
          <w:kern w:val="0"/>
          <w:szCs w:val="21"/>
          <w:highlight w:val="none"/>
          <w:u w:val="single"/>
        </w:rPr>
      </w:pPr>
      <w:r>
        <w:rPr>
          <w:rFonts w:hint="eastAsia" w:ascii="宋体" w:hAnsi="宋体" w:cs="Microsoft Sans Serif"/>
          <w:color w:val="auto"/>
          <w:kern w:val="0"/>
          <w:szCs w:val="21"/>
          <w:highlight w:val="none"/>
        </w:rPr>
        <w:t>除通用合同条款约定外，承包人违约的其他情形：</w:t>
      </w:r>
    </w:p>
    <w:p>
      <w:pPr>
        <w:snapToGrid w:val="0"/>
        <w:spacing w:line="360" w:lineRule="auto"/>
        <w:ind w:firstLine="420" w:firstLineChars="200"/>
        <w:jc w:val="left"/>
        <w:rPr>
          <w:rFonts w:ascii="宋体" w:hAnsi="宋体" w:cs="Microsoft Sans Serif"/>
          <w:color w:val="auto"/>
          <w:kern w:val="0"/>
          <w:szCs w:val="21"/>
          <w:highlight w:val="none"/>
        </w:rPr>
      </w:pPr>
      <w:r>
        <w:rPr>
          <w:rFonts w:hint="eastAsia" w:ascii="宋体" w:hAnsi="宋体" w:cs="Microsoft Sans Serif"/>
          <w:color w:val="auto"/>
          <w:kern w:val="0"/>
          <w:szCs w:val="21"/>
          <w:highlight w:val="none"/>
        </w:rPr>
        <w:t>（1）承包人未按合同约定提交履约担保或质量保证金的；</w:t>
      </w:r>
    </w:p>
    <w:p>
      <w:pPr>
        <w:snapToGrid w:val="0"/>
        <w:spacing w:line="360" w:lineRule="auto"/>
        <w:ind w:firstLine="420" w:firstLineChars="200"/>
        <w:jc w:val="left"/>
        <w:rPr>
          <w:rFonts w:ascii="宋体" w:hAnsi="宋体" w:cs="Microsoft Sans Serif"/>
          <w:color w:val="auto"/>
          <w:kern w:val="0"/>
          <w:szCs w:val="21"/>
          <w:highlight w:val="none"/>
        </w:rPr>
      </w:pPr>
      <w:r>
        <w:rPr>
          <w:rFonts w:hint="eastAsia" w:ascii="宋体" w:hAnsi="宋体" w:cs="Microsoft Sans Serif"/>
          <w:color w:val="auto"/>
          <w:kern w:val="0"/>
          <w:szCs w:val="21"/>
          <w:highlight w:val="none"/>
        </w:rPr>
        <w:t>（2）承包人未能按期开工的；</w:t>
      </w:r>
    </w:p>
    <w:p>
      <w:pPr>
        <w:snapToGrid w:val="0"/>
        <w:spacing w:line="360" w:lineRule="auto"/>
        <w:ind w:firstLine="420" w:firstLineChars="200"/>
        <w:jc w:val="left"/>
        <w:rPr>
          <w:rFonts w:ascii="宋体" w:hAnsi="宋体" w:cs="Microsoft Sans Serif"/>
          <w:color w:val="auto"/>
          <w:kern w:val="0"/>
          <w:szCs w:val="21"/>
          <w:highlight w:val="none"/>
        </w:rPr>
      </w:pPr>
      <w:r>
        <w:rPr>
          <w:rFonts w:hint="eastAsia" w:ascii="宋体" w:hAnsi="宋体" w:cs="Microsoft Sans Serif"/>
          <w:color w:val="auto"/>
          <w:kern w:val="0"/>
          <w:szCs w:val="21"/>
          <w:highlight w:val="none"/>
        </w:rPr>
        <w:t>（3）承包人未按投标文件或监理人的要求及时配备称职的主要管理人员，或承包人未按经审定的施工组织设计配备或更换关键施工设备的；</w:t>
      </w:r>
    </w:p>
    <w:p>
      <w:pPr>
        <w:snapToGrid w:val="0"/>
        <w:spacing w:line="360" w:lineRule="auto"/>
        <w:ind w:firstLine="420" w:firstLineChars="200"/>
        <w:jc w:val="left"/>
        <w:rPr>
          <w:rFonts w:ascii="宋体" w:hAnsi="宋体" w:cs="Microsoft Sans Serif"/>
          <w:color w:val="auto"/>
          <w:kern w:val="0"/>
          <w:szCs w:val="21"/>
          <w:highlight w:val="none"/>
        </w:rPr>
      </w:pPr>
      <w:r>
        <w:rPr>
          <w:rFonts w:hint="eastAsia" w:ascii="宋体" w:hAnsi="宋体" w:cs="Microsoft Sans Serif"/>
          <w:color w:val="auto"/>
          <w:kern w:val="0"/>
          <w:szCs w:val="21"/>
          <w:highlight w:val="none"/>
        </w:rPr>
        <w:t>（4）承包人有安全问题或有违反安全管理规章制度情况的；</w:t>
      </w:r>
    </w:p>
    <w:p>
      <w:pPr>
        <w:snapToGrid w:val="0"/>
        <w:spacing w:line="360" w:lineRule="auto"/>
        <w:ind w:firstLine="420" w:firstLineChars="200"/>
        <w:jc w:val="left"/>
        <w:rPr>
          <w:rFonts w:ascii="宋体" w:hAnsi="宋体" w:cs="Microsoft Sans Serif"/>
          <w:color w:val="auto"/>
          <w:kern w:val="0"/>
          <w:szCs w:val="21"/>
          <w:highlight w:val="none"/>
        </w:rPr>
      </w:pPr>
      <w:r>
        <w:rPr>
          <w:rFonts w:hint="eastAsia" w:ascii="宋体" w:hAnsi="宋体" w:cs="Microsoft Sans Serif"/>
          <w:color w:val="auto"/>
          <w:kern w:val="0"/>
          <w:szCs w:val="21"/>
          <w:highlight w:val="none"/>
        </w:rPr>
        <w:t>（5）承包人在缺陷责任期及保修期内，未能在合理期限对工程缺陷进行修复，或拒绝按发包人要求进行修复的；</w:t>
      </w:r>
    </w:p>
    <w:p>
      <w:pPr>
        <w:snapToGrid w:val="0"/>
        <w:spacing w:line="360" w:lineRule="auto"/>
        <w:ind w:firstLine="420" w:firstLineChars="200"/>
        <w:jc w:val="left"/>
        <w:rPr>
          <w:rFonts w:ascii="宋体" w:hAnsi="宋体" w:cs="Microsoft Sans Serif"/>
          <w:color w:val="auto"/>
          <w:kern w:val="0"/>
          <w:szCs w:val="21"/>
          <w:highlight w:val="none"/>
        </w:rPr>
      </w:pPr>
      <w:r>
        <w:rPr>
          <w:rFonts w:hint="eastAsia" w:ascii="宋体" w:hAnsi="宋体" w:cs="Microsoft Sans Serif"/>
          <w:color w:val="auto"/>
          <w:kern w:val="0"/>
          <w:szCs w:val="21"/>
          <w:highlight w:val="none"/>
        </w:rPr>
        <w:t>（6）承包人拖欠其工人或所雇人员工资或报酬，导致其工人或所雇人员向有关部门投诉、控告、检举或以聚集等方式讨要工资或报酬的；</w:t>
      </w:r>
    </w:p>
    <w:p>
      <w:pPr>
        <w:snapToGrid w:val="0"/>
        <w:spacing w:line="360" w:lineRule="auto"/>
        <w:ind w:firstLine="420" w:firstLineChars="200"/>
        <w:jc w:val="left"/>
        <w:rPr>
          <w:rFonts w:ascii="宋体" w:hAnsi="宋体" w:cs="Microsoft Sans Serif"/>
          <w:color w:val="auto"/>
          <w:kern w:val="0"/>
          <w:szCs w:val="21"/>
          <w:highlight w:val="none"/>
        </w:rPr>
      </w:pPr>
      <w:r>
        <w:rPr>
          <w:rFonts w:hint="eastAsia" w:ascii="宋体" w:hAnsi="宋体" w:cs="Microsoft Sans Serif"/>
          <w:color w:val="auto"/>
          <w:kern w:val="0"/>
          <w:szCs w:val="21"/>
          <w:highlight w:val="none"/>
        </w:rPr>
        <w:t>（7）承包人不配合发包人、监理人及发包人委托的工程造价咨询服务单位结算审核或承包人其他原因导致未按期完成工程竣工结算的；</w:t>
      </w:r>
    </w:p>
    <w:p>
      <w:pPr>
        <w:snapToGrid w:val="0"/>
        <w:spacing w:line="360" w:lineRule="auto"/>
        <w:ind w:firstLine="420" w:firstLineChars="200"/>
        <w:jc w:val="left"/>
        <w:rPr>
          <w:rFonts w:ascii="宋体" w:hAnsi="宋体" w:cs="Microsoft Sans Serif"/>
          <w:color w:val="auto"/>
          <w:kern w:val="0"/>
          <w:szCs w:val="21"/>
          <w:highlight w:val="none"/>
        </w:rPr>
      </w:pPr>
      <w:r>
        <w:rPr>
          <w:rFonts w:hint="eastAsia" w:ascii="宋体" w:hAnsi="宋体" w:cs="Microsoft Sans Serif"/>
          <w:color w:val="auto"/>
          <w:kern w:val="0"/>
          <w:szCs w:val="21"/>
          <w:highlight w:val="none"/>
        </w:rPr>
        <w:t>（8）承包人违反合同约定进行转包或违法分包的；</w:t>
      </w:r>
    </w:p>
    <w:p>
      <w:pPr>
        <w:snapToGrid w:val="0"/>
        <w:spacing w:line="360" w:lineRule="auto"/>
        <w:ind w:firstLine="420" w:firstLineChars="200"/>
        <w:jc w:val="left"/>
        <w:rPr>
          <w:rFonts w:ascii="宋体" w:hAnsi="宋体" w:cs="Microsoft Sans Serif"/>
          <w:color w:val="auto"/>
          <w:kern w:val="0"/>
          <w:szCs w:val="21"/>
          <w:highlight w:val="none"/>
        </w:rPr>
      </w:pPr>
      <w:r>
        <w:rPr>
          <w:rFonts w:hint="eastAsia" w:ascii="宋体" w:hAnsi="宋体" w:cs="Microsoft Sans Serif"/>
          <w:color w:val="auto"/>
          <w:kern w:val="0"/>
          <w:szCs w:val="21"/>
          <w:highlight w:val="none"/>
        </w:rPr>
        <w:t>（9）承包人未按合同约定移交全部或部分工作的；</w:t>
      </w:r>
    </w:p>
    <w:p>
      <w:pPr>
        <w:snapToGrid w:val="0"/>
        <w:spacing w:line="360" w:lineRule="auto"/>
        <w:ind w:firstLine="420" w:firstLineChars="200"/>
        <w:jc w:val="left"/>
        <w:rPr>
          <w:rFonts w:ascii="宋体" w:hAnsi="宋体" w:cs="Microsoft Sans Serif"/>
          <w:color w:val="auto"/>
          <w:kern w:val="0"/>
          <w:szCs w:val="21"/>
          <w:highlight w:val="none"/>
        </w:rPr>
      </w:pPr>
      <w:r>
        <w:rPr>
          <w:rFonts w:hint="eastAsia" w:ascii="宋体" w:hAnsi="宋体" w:cs="Microsoft Sans Serif"/>
          <w:color w:val="auto"/>
          <w:kern w:val="0"/>
          <w:szCs w:val="21"/>
          <w:highlight w:val="none"/>
        </w:rPr>
        <w:t>（10）承包人未按合同约定购买保险的；</w:t>
      </w:r>
    </w:p>
    <w:p>
      <w:pPr>
        <w:snapToGrid w:val="0"/>
        <w:spacing w:line="360" w:lineRule="auto"/>
        <w:ind w:firstLine="420" w:firstLineChars="200"/>
        <w:jc w:val="left"/>
        <w:rPr>
          <w:rFonts w:ascii="宋体" w:hAnsi="宋体"/>
          <w:color w:val="auto"/>
          <w:szCs w:val="21"/>
          <w:highlight w:val="none"/>
        </w:rPr>
      </w:pPr>
      <w:r>
        <w:rPr>
          <w:rFonts w:hint="eastAsia" w:ascii="宋体" w:hAnsi="宋体" w:cs="Microsoft Sans Serif"/>
          <w:color w:val="auto"/>
          <w:kern w:val="0"/>
          <w:szCs w:val="21"/>
          <w:highlight w:val="none"/>
        </w:rPr>
        <w:t>（11）项目经理若有以下情形，属于承包人违约：</w:t>
      </w:r>
    </w:p>
    <w:p>
      <w:pPr>
        <w:snapToGrid w:val="0"/>
        <w:spacing w:line="360" w:lineRule="auto"/>
        <w:ind w:firstLine="420" w:firstLineChars="200"/>
        <w:jc w:val="left"/>
        <w:rPr>
          <w:rFonts w:hint="eastAsia" w:ascii="宋体" w:hAnsi="宋体" w:cs="Microsoft Sans Serif"/>
          <w:color w:val="auto"/>
          <w:kern w:val="0"/>
          <w:szCs w:val="21"/>
          <w:highlight w:val="none"/>
        </w:rPr>
      </w:pPr>
      <w:r>
        <w:rPr>
          <w:rFonts w:hint="eastAsia" w:ascii="宋体" w:hAnsi="宋体" w:cs="Microsoft Sans Serif"/>
          <w:color w:val="auto"/>
          <w:kern w:val="0"/>
          <w:szCs w:val="21"/>
          <w:highlight w:val="none"/>
        </w:rPr>
        <w:t>1）项目经理不按承诺到岗的；</w:t>
      </w:r>
    </w:p>
    <w:p>
      <w:pPr>
        <w:snapToGrid w:val="0"/>
        <w:spacing w:line="360" w:lineRule="auto"/>
        <w:ind w:firstLine="420" w:firstLineChars="200"/>
        <w:jc w:val="left"/>
        <w:rPr>
          <w:rFonts w:ascii="宋体" w:hAnsi="宋体" w:cs="Microsoft Sans Serif"/>
          <w:color w:val="auto"/>
          <w:kern w:val="0"/>
          <w:szCs w:val="21"/>
          <w:highlight w:val="none"/>
        </w:rPr>
      </w:pPr>
      <w:r>
        <w:rPr>
          <w:rFonts w:hint="eastAsia" w:ascii="宋体" w:hAnsi="宋体" w:cs="Microsoft Sans Serif"/>
          <w:color w:val="auto"/>
          <w:kern w:val="0"/>
          <w:szCs w:val="21"/>
          <w:highlight w:val="none"/>
        </w:rPr>
        <w:t>2）每月在施工现场的天数少于约定天数的；</w:t>
      </w:r>
    </w:p>
    <w:p>
      <w:pPr>
        <w:snapToGrid w:val="0"/>
        <w:spacing w:line="360" w:lineRule="auto"/>
        <w:ind w:firstLine="420" w:firstLineChars="200"/>
        <w:jc w:val="left"/>
        <w:rPr>
          <w:rFonts w:ascii="宋体" w:hAnsi="宋体" w:cs="Microsoft Sans Serif"/>
          <w:color w:val="auto"/>
          <w:kern w:val="0"/>
          <w:szCs w:val="21"/>
          <w:highlight w:val="none"/>
        </w:rPr>
      </w:pPr>
      <w:r>
        <w:rPr>
          <w:rFonts w:hint="eastAsia" w:ascii="宋体" w:hAnsi="宋体" w:cs="Microsoft Sans Serif"/>
          <w:color w:val="auto"/>
          <w:kern w:val="0"/>
          <w:szCs w:val="21"/>
          <w:highlight w:val="none"/>
        </w:rPr>
        <w:t>3）承包人未提交项目经理劳动合同和社会保险证明的；</w:t>
      </w:r>
    </w:p>
    <w:p>
      <w:pPr>
        <w:snapToGrid w:val="0"/>
        <w:spacing w:line="360" w:lineRule="auto"/>
        <w:ind w:firstLine="420" w:firstLineChars="200"/>
        <w:jc w:val="left"/>
        <w:rPr>
          <w:rFonts w:ascii="宋体" w:hAnsi="宋体" w:cs="Microsoft Sans Serif"/>
          <w:color w:val="auto"/>
          <w:kern w:val="0"/>
          <w:szCs w:val="21"/>
          <w:highlight w:val="none"/>
        </w:rPr>
      </w:pPr>
      <w:r>
        <w:rPr>
          <w:rFonts w:hint="eastAsia" w:ascii="宋体" w:hAnsi="宋体" w:cs="Microsoft Sans Serif"/>
          <w:color w:val="auto"/>
          <w:kern w:val="0"/>
          <w:szCs w:val="21"/>
          <w:highlight w:val="none"/>
        </w:rPr>
        <w:t>4）未经批准，擅自离开施工现场（超过约定时间）的；</w:t>
      </w:r>
    </w:p>
    <w:p>
      <w:pPr>
        <w:snapToGrid w:val="0"/>
        <w:spacing w:line="360" w:lineRule="auto"/>
        <w:ind w:firstLine="420" w:firstLineChars="200"/>
        <w:jc w:val="left"/>
        <w:rPr>
          <w:rFonts w:hint="eastAsia" w:ascii="宋体" w:hAnsi="宋体" w:cs="Microsoft Sans Serif"/>
          <w:color w:val="auto"/>
          <w:kern w:val="0"/>
          <w:szCs w:val="21"/>
          <w:highlight w:val="none"/>
        </w:rPr>
      </w:pPr>
      <w:r>
        <w:rPr>
          <w:rFonts w:hint="eastAsia" w:ascii="宋体" w:hAnsi="宋体" w:cs="Microsoft Sans Serif"/>
          <w:color w:val="auto"/>
          <w:kern w:val="0"/>
          <w:szCs w:val="21"/>
          <w:highlight w:val="none"/>
        </w:rPr>
        <w:t>5）未经批准，擅自变更项目经理的；</w:t>
      </w:r>
    </w:p>
    <w:p>
      <w:pPr>
        <w:snapToGrid w:val="0"/>
        <w:spacing w:line="360" w:lineRule="auto"/>
        <w:ind w:firstLine="420" w:firstLineChars="200"/>
        <w:jc w:val="left"/>
        <w:rPr>
          <w:rFonts w:ascii="宋体" w:hAnsi="宋体" w:cs="Microsoft Sans Serif"/>
          <w:color w:val="auto"/>
          <w:kern w:val="0"/>
          <w:szCs w:val="21"/>
          <w:highlight w:val="none"/>
        </w:rPr>
      </w:pPr>
      <w:r>
        <w:rPr>
          <w:rFonts w:hint="eastAsia" w:ascii="宋体" w:hAnsi="宋体" w:cs="Microsoft Sans Serif"/>
          <w:color w:val="auto"/>
          <w:kern w:val="0"/>
          <w:szCs w:val="21"/>
          <w:highlight w:val="none"/>
        </w:rPr>
        <w:t>6）按照渝建发〔2015〕35号文的要求，施工期间，项目经理因在一个记分周期内累计记分达到12分，被建设行政主管部门依法责令停止执业的；</w:t>
      </w:r>
    </w:p>
    <w:p>
      <w:pPr>
        <w:snapToGrid w:val="0"/>
        <w:spacing w:line="360" w:lineRule="auto"/>
        <w:ind w:firstLine="420" w:firstLineChars="200"/>
        <w:jc w:val="left"/>
        <w:rPr>
          <w:rFonts w:ascii="宋体" w:hAnsi="宋体" w:cs="Microsoft Sans Serif"/>
          <w:color w:val="auto"/>
          <w:kern w:val="0"/>
          <w:szCs w:val="21"/>
          <w:highlight w:val="none"/>
        </w:rPr>
      </w:pPr>
      <w:r>
        <w:rPr>
          <w:rFonts w:hint="eastAsia" w:ascii="宋体" w:hAnsi="宋体" w:cs="Microsoft Sans Serif"/>
          <w:color w:val="auto"/>
          <w:kern w:val="0"/>
          <w:szCs w:val="21"/>
          <w:highlight w:val="none"/>
        </w:rPr>
        <w:t>7）发包人有正当理由认为项目经理不称职/不履职，且承包人在约定时间内不予更换的；</w:t>
      </w:r>
    </w:p>
    <w:p>
      <w:pPr>
        <w:snapToGrid w:val="0"/>
        <w:spacing w:line="360" w:lineRule="auto"/>
        <w:ind w:firstLine="420" w:firstLineChars="200"/>
        <w:jc w:val="left"/>
        <w:rPr>
          <w:rFonts w:ascii="宋体" w:hAnsi="宋体" w:cs="Microsoft Sans Serif"/>
          <w:color w:val="auto"/>
          <w:kern w:val="0"/>
          <w:szCs w:val="21"/>
          <w:highlight w:val="none"/>
        </w:rPr>
      </w:pPr>
      <w:r>
        <w:rPr>
          <w:rFonts w:hint="eastAsia" w:ascii="宋体" w:hAnsi="宋体" w:cs="Microsoft Sans Serif"/>
          <w:color w:val="auto"/>
          <w:kern w:val="0"/>
          <w:szCs w:val="21"/>
          <w:highlight w:val="none"/>
        </w:rPr>
        <w:t>8）其他双方约定的情形：</w:t>
      </w:r>
      <w:r>
        <w:rPr>
          <w:rFonts w:hint="eastAsia" w:ascii="宋体" w:hAnsi="宋体" w:cs="Microsoft Sans Serif"/>
          <w:color w:val="auto"/>
          <w:kern w:val="0"/>
          <w:szCs w:val="21"/>
          <w:highlight w:val="none"/>
          <w:u w:val="single"/>
        </w:rPr>
        <w:t xml:space="preserve">        </w:t>
      </w:r>
      <w:r>
        <w:rPr>
          <w:rFonts w:hint="eastAsia" w:ascii="宋体" w:hAnsi="宋体" w:cs="Microsoft Sans Serif"/>
          <w:color w:val="auto"/>
          <w:kern w:val="0"/>
          <w:szCs w:val="21"/>
          <w:highlight w:val="none"/>
        </w:rPr>
        <w:t>。</w:t>
      </w:r>
    </w:p>
    <w:p>
      <w:pPr>
        <w:snapToGrid w:val="0"/>
        <w:spacing w:line="360" w:lineRule="auto"/>
        <w:ind w:firstLine="420" w:firstLineChars="200"/>
        <w:jc w:val="left"/>
        <w:rPr>
          <w:rFonts w:ascii="宋体" w:hAnsi="宋体" w:cs="Microsoft Sans Serif"/>
          <w:color w:val="auto"/>
          <w:kern w:val="0"/>
          <w:szCs w:val="21"/>
          <w:highlight w:val="none"/>
        </w:rPr>
      </w:pPr>
      <w:r>
        <w:rPr>
          <w:rFonts w:hint="eastAsia" w:ascii="宋体" w:hAnsi="宋体" w:cs="Microsoft Sans Serif"/>
          <w:color w:val="auto"/>
          <w:kern w:val="0"/>
          <w:szCs w:val="21"/>
          <w:highlight w:val="none"/>
        </w:rPr>
        <w:t>（12）技术负责人若有以下情形，属于承包人违约：</w:t>
      </w:r>
    </w:p>
    <w:p>
      <w:pPr>
        <w:snapToGrid w:val="0"/>
        <w:spacing w:line="360" w:lineRule="auto"/>
        <w:ind w:firstLine="420" w:firstLineChars="200"/>
        <w:jc w:val="left"/>
        <w:rPr>
          <w:rFonts w:ascii="宋体" w:hAnsi="宋体" w:cs="Microsoft Sans Serif"/>
          <w:color w:val="auto"/>
          <w:kern w:val="0"/>
          <w:szCs w:val="21"/>
          <w:highlight w:val="none"/>
        </w:rPr>
      </w:pPr>
      <w:r>
        <w:rPr>
          <w:rFonts w:hint="eastAsia" w:ascii="宋体" w:hAnsi="宋体" w:cs="Microsoft Sans Serif"/>
          <w:color w:val="auto"/>
          <w:kern w:val="0"/>
          <w:szCs w:val="21"/>
          <w:highlight w:val="none"/>
        </w:rPr>
        <w:t>1）每月在施工现场的天数少于约定天数的；</w:t>
      </w:r>
    </w:p>
    <w:p>
      <w:pPr>
        <w:snapToGrid w:val="0"/>
        <w:spacing w:line="360" w:lineRule="auto"/>
        <w:ind w:firstLine="420" w:firstLineChars="200"/>
        <w:jc w:val="left"/>
        <w:rPr>
          <w:rFonts w:ascii="宋体" w:hAnsi="宋体" w:cs="Microsoft Sans Serif"/>
          <w:color w:val="auto"/>
          <w:kern w:val="0"/>
          <w:szCs w:val="21"/>
          <w:highlight w:val="none"/>
        </w:rPr>
      </w:pPr>
      <w:r>
        <w:rPr>
          <w:rFonts w:hint="eastAsia" w:ascii="宋体" w:hAnsi="宋体" w:cs="Microsoft Sans Serif"/>
          <w:color w:val="auto"/>
          <w:kern w:val="0"/>
          <w:szCs w:val="21"/>
          <w:highlight w:val="none"/>
        </w:rPr>
        <w:t>2）承包人未提交技术负责人劳动合同和社会保险证明的；</w:t>
      </w:r>
    </w:p>
    <w:p>
      <w:pPr>
        <w:snapToGrid w:val="0"/>
        <w:spacing w:line="360" w:lineRule="auto"/>
        <w:ind w:firstLine="420" w:firstLineChars="200"/>
        <w:jc w:val="left"/>
        <w:rPr>
          <w:rFonts w:ascii="宋体" w:hAnsi="宋体" w:cs="Microsoft Sans Serif"/>
          <w:color w:val="auto"/>
          <w:kern w:val="0"/>
          <w:szCs w:val="21"/>
          <w:highlight w:val="none"/>
        </w:rPr>
      </w:pPr>
      <w:r>
        <w:rPr>
          <w:rFonts w:hint="eastAsia" w:ascii="宋体" w:hAnsi="宋体" w:cs="Microsoft Sans Serif"/>
          <w:color w:val="auto"/>
          <w:kern w:val="0"/>
          <w:szCs w:val="21"/>
          <w:highlight w:val="none"/>
        </w:rPr>
        <w:t>3）未经批准，擅自离开施工现场（超过约定时间）的；</w:t>
      </w:r>
    </w:p>
    <w:p>
      <w:pPr>
        <w:snapToGrid w:val="0"/>
        <w:spacing w:line="360" w:lineRule="auto"/>
        <w:ind w:firstLine="420" w:firstLineChars="200"/>
        <w:jc w:val="left"/>
        <w:rPr>
          <w:rFonts w:ascii="宋体" w:hAnsi="宋体" w:cs="Microsoft Sans Serif"/>
          <w:color w:val="auto"/>
          <w:kern w:val="0"/>
          <w:szCs w:val="21"/>
          <w:highlight w:val="none"/>
        </w:rPr>
      </w:pPr>
      <w:r>
        <w:rPr>
          <w:rFonts w:hint="eastAsia" w:ascii="宋体" w:hAnsi="宋体" w:cs="Microsoft Sans Serif"/>
          <w:color w:val="auto"/>
          <w:kern w:val="0"/>
          <w:szCs w:val="21"/>
          <w:highlight w:val="none"/>
        </w:rPr>
        <w:t>4）未经批准，擅自变更技术负责人的；</w:t>
      </w:r>
    </w:p>
    <w:p>
      <w:pPr>
        <w:snapToGrid w:val="0"/>
        <w:spacing w:line="360" w:lineRule="auto"/>
        <w:ind w:firstLine="420" w:firstLineChars="200"/>
        <w:jc w:val="left"/>
        <w:rPr>
          <w:rFonts w:ascii="宋体" w:hAnsi="宋体" w:cs="Microsoft Sans Serif"/>
          <w:color w:val="auto"/>
          <w:kern w:val="0"/>
          <w:szCs w:val="21"/>
          <w:highlight w:val="none"/>
        </w:rPr>
      </w:pPr>
      <w:r>
        <w:rPr>
          <w:rFonts w:hint="eastAsia" w:ascii="宋体" w:hAnsi="宋体" w:cs="Microsoft Sans Serif"/>
          <w:color w:val="auto"/>
          <w:kern w:val="0"/>
          <w:szCs w:val="21"/>
          <w:highlight w:val="none"/>
        </w:rPr>
        <w:t>5）发包人有正当理由认为技术负责人不称职/不履职，且承包人在约定时间内不予更换的；</w:t>
      </w:r>
    </w:p>
    <w:p>
      <w:pPr>
        <w:snapToGrid w:val="0"/>
        <w:spacing w:line="360" w:lineRule="auto"/>
        <w:ind w:firstLine="420" w:firstLineChars="200"/>
        <w:jc w:val="left"/>
        <w:rPr>
          <w:rFonts w:ascii="宋体" w:hAnsi="宋体" w:cs="Microsoft Sans Serif"/>
          <w:color w:val="auto"/>
          <w:kern w:val="0"/>
          <w:szCs w:val="21"/>
          <w:highlight w:val="none"/>
        </w:rPr>
      </w:pPr>
      <w:r>
        <w:rPr>
          <w:rFonts w:hint="eastAsia" w:ascii="宋体" w:hAnsi="宋体" w:cs="Microsoft Sans Serif"/>
          <w:color w:val="auto"/>
          <w:kern w:val="0"/>
          <w:szCs w:val="21"/>
          <w:highlight w:val="none"/>
        </w:rPr>
        <w:t>6）其他双方约定的情形：</w:t>
      </w:r>
      <w:r>
        <w:rPr>
          <w:rFonts w:hint="eastAsia" w:ascii="宋体" w:hAnsi="宋体" w:cs="Microsoft Sans Serif"/>
          <w:color w:val="auto"/>
          <w:kern w:val="0"/>
          <w:szCs w:val="21"/>
          <w:highlight w:val="none"/>
          <w:u w:val="single"/>
        </w:rPr>
        <w:t xml:space="preserve">        </w:t>
      </w:r>
      <w:r>
        <w:rPr>
          <w:rFonts w:hint="eastAsia" w:ascii="宋体" w:hAnsi="宋体" w:cs="Microsoft Sans Serif"/>
          <w:color w:val="auto"/>
          <w:kern w:val="0"/>
          <w:szCs w:val="21"/>
          <w:highlight w:val="none"/>
        </w:rPr>
        <w:t>。</w:t>
      </w:r>
    </w:p>
    <w:p>
      <w:pPr>
        <w:snapToGrid w:val="0"/>
        <w:spacing w:line="360" w:lineRule="auto"/>
        <w:ind w:firstLine="420" w:firstLineChars="200"/>
        <w:jc w:val="left"/>
        <w:rPr>
          <w:rFonts w:ascii="宋体" w:hAnsi="宋体" w:cs="Microsoft Sans Serif"/>
          <w:color w:val="auto"/>
          <w:kern w:val="0"/>
          <w:szCs w:val="21"/>
          <w:highlight w:val="none"/>
        </w:rPr>
      </w:pPr>
      <w:r>
        <w:rPr>
          <w:rFonts w:hint="eastAsia" w:ascii="宋体" w:hAnsi="宋体" w:cs="Microsoft Sans Serif"/>
          <w:color w:val="auto"/>
          <w:kern w:val="0"/>
          <w:szCs w:val="21"/>
          <w:highlight w:val="none"/>
        </w:rPr>
        <w:t>（13）主要施工管理人员若有以下情形，属于承包人违约：</w:t>
      </w:r>
    </w:p>
    <w:p>
      <w:pPr>
        <w:snapToGrid w:val="0"/>
        <w:spacing w:line="360" w:lineRule="auto"/>
        <w:ind w:firstLine="420" w:firstLineChars="200"/>
        <w:jc w:val="left"/>
        <w:rPr>
          <w:rFonts w:ascii="宋体" w:hAnsi="宋体" w:cs="Microsoft Sans Serif"/>
          <w:color w:val="auto"/>
          <w:kern w:val="0"/>
          <w:szCs w:val="21"/>
          <w:highlight w:val="none"/>
        </w:rPr>
      </w:pPr>
      <w:r>
        <w:rPr>
          <w:rFonts w:hint="eastAsia" w:ascii="宋体" w:hAnsi="宋体" w:cs="Microsoft Sans Serif"/>
          <w:color w:val="auto"/>
          <w:kern w:val="0"/>
          <w:szCs w:val="21"/>
          <w:highlight w:val="none"/>
        </w:rPr>
        <w:t>1）承包人未提交主要施工管理人员劳动合同和社会保险证明的；</w:t>
      </w:r>
    </w:p>
    <w:p>
      <w:pPr>
        <w:snapToGrid w:val="0"/>
        <w:spacing w:line="360" w:lineRule="auto"/>
        <w:ind w:firstLine="420" w:firstLineChars="200"/>
        <w:jc w:val="left"/>
        <w:rPr>
          <w:rFonts w:ascii="宋体" w:hAnsi="宋体" w:cs="Microsoft Sans Serif"/>
          <w:color w:val="auto"/>
          <w:kern w:val="0"/>
          <w:szCs w:val="21"/>
          <w:highlight w:val="none"/>
        </w:rPr>
      </w:pPr>
      <w:r>
        <w:rPr>
          <w:rFonts w:hint="eastAsia" w:ascii="宋体" w:hAnsi="宋体" w:cs="Microsoft Sans Serif"/>
          <w:color w:val="auto"/>
          <w:kern w:val="0"/>
          <w:szCs w:val="21"/>
          <w:highlight w:val="none"/>
        </w:rPr>
        <w:t>2）未经批准，擅自离开施工现场（超过约定时间）的；</w:t>
      </w:r>
    </w:p>
    <w:p>
      <w:pPr>
        <w:snapToGrid w:val="0"/>
        <w:spacing w:line="360" w:lineRule="auto"/>
        <w:ind w:firstLine="420" w:firstLineChars="200"/>
        <w:jc w:val="left"/>
        <w:rPr>
          <w:rFonts w:ascii="宋体" w:hAnsi="宋体" w:cs="Microsoft Sans Serif"/>
          <w:color w:val="auto"/>
          <w:kern w:val="0"/>
          <w:szCs w:val="21"/>
          <w:highlight w:val="none"/>
        </w:rPr>
      </w:pPr>
      <w:r>
        <w:rPr>
          <w:rFonts w:hint="eastAsia" w:ascii="宋体" w:hAnsi="宋体" w:cs="Microsoft Sans Serif"/>
          <w:color w:val="auto"/>
          <w:kern w:val="0"/>
          <w:szCs w:val="21"/>
          <w:highlight w:val="none"/>
        </w:rPr>
        <w:t>3）未经批准，擅自变更主要施工管理人员的；</w:t>
      </w:r>
    </w:p>
    <w:p>
      <w:pPr>
        <w:snapToGrid w:val="0"/>
        <w:spacing w:line="360" w:lineRule="auto"/>
        <w:ind w:firstLine="420" w:firstLineChars="200"/>
        <w:jc w:val="left"/>
        <w:rPr>
          <w:rFonts w:ascii="宋体" w:hAnsi="宋体" w:cs="Microsoft Sans Serif"/>
          <w:color w:val="auto"/>
          <w:kern w:val="0"/>
          <w:szCs w:val="21"/>
          <w:highlight w:val="none"/>
        </w:rPr>
      </w:pPr>
      <w:r>
        <w:rPr>
          <w:rFonts w:hint="eastAsia" w:ascii="宋体" w:hAnsi="宋体" w:cs="Microsoft Sans Serif"/>
          <w:color w:val="auto"/>
          <w:kern w:val="0"/>
          <w:szCs w:val="21"/>
          <w:highlight w:val="none"/>
        </w:rPr>
        <w:t>4）发包人有正当理由认为主要施工管理人员不称职/不履职，且承包人在约定时间内不予更换的；</w:t>
      </w:r>
    </w:p>
    <w:p>
      <w:pPr>
        <w:snapToGrid w:val="0"/>
        <w:spacing w:line="360" w:lineRule="auto"/>
        <w:ind w:firstLine="420" w:firstLineChars="200"/>
        <w:jc w:val="left"/>
        <w:rPr>
          <w:rFonts w:ascii="宋体" w:hAnsi="宋体" w:cs="Microsoft Sans Serif"/>
          <w:color w:val="auto"/>
          <w:kern w:val="0"/>
          <w:szCs w:val="21"/>
          <w:highlight w:val="none"/>
        </w:rPr>
      </w:pPr>
      <w:r>
        <w:rPr>
          <w:rFonts w:hint="eastAsia" w:ascii="宋体" w:hAnsi="宋体" w:cs="Microsoft Sans Serif"/>
          <w:color w:val="auto"/>
          <w:kern w:val="0"/>
          <w:szCs w:val="21"/>
          <w:highlight w:val="none"/>
        </w:rPr>
        <w:t>5）其他双方约定的情形：</w:t>
      </w:r>
      <w:r>
        <w:rPr>
          <w:rFonts w:hint="eastAsia" w:ascii="宋体" w:hAnsi="宋体" w:cs="Microsoft Sans Serif"/>
          <w:color w:val="auto"/>
          <w:kern w:val="0"/>
          <w:szCs w:val="21"/>
          <w:highlight w:val="none"/>
          <w:u w:val="single"/>
        </w:rPr>
        <w:t xml:space="preserve">        </w:t>
      </w:r>
      <w:r>
        <w:rPr>
          <w:rFonts w:hint="eastAsia" w:ascii="宋体" w:hAnsi="宋体" w:cs="Microsoft Sans Serif"/>
          <w:color w:val="auto"/>
          <w:kern w:val="0"/>
          <w:szCs w:val="21"/>
          <w:highlight w:val="none"/>
        </w:rPr>
        <w:t>。</w:t>
      </w:r>
    </w:p>
    <w:bookmarkEnd w:id="1280"/>
    <w:p>
      <w:pPr>
        <w:adjustRightInd w:val="0"/>
        <w:snapToGrid w:val="0"/>
        <w:spacing w:line="360" w:lineRule="auto"/>
        <w:ind w:firstLine="420" w:firstLineChars="200"/>
        <w:rPr>
          <w:rFonts w:hint="eastAsia" w:ascii="宋体" w:hAnsi="宋体" w:cs="Microsoft Sans Serif"/>
          <w:color w:val="auto"/>
          <w:kern w:val="0"/>
          <w:szCs w:val="21"/>
          <w:highlight w:val="none"/>
        </w:rPr>
      </w:pPr>
      <w:r>
        <w:rPr>
          <w:rFonts w:hint="eastAsia" w:ascii="宋体" w:hAnsi="宋体" w:cs="Microsoft Sans Serif"/>
          <w:color w:val="auto"/>
          <w:kern w:val="0"/>
          <w:szCs w:val="21"/>
          <w:highlight w:val="none"/>
        </w:rPr>
        <w:t>（14）发包人在合同签订前对承包人已标价工程量清单清标时发现承包人的工程量清单综合单价报价超过招标时给出的工程量清单综合单价最高限价，结算时拒不接受发包人以发出的工程量清单综合单价最高限价为基础，按照承包人的中标总报价与本工程的总价最高限价的下浮比例进行同比例下调的。</w:t>
      </w:r>
    </w:p>
    <w:p>
      <w:pPr>
        <w:adjustRightInd w:val="0"/>
        <w:snapToGrid w:val="0"/>
        <w:spacing w:line="360" w:lineRule="auto"/>
        <w:ind w:firstLine="420" w:firstLineChars="200"/>
        <w:rPr>
          <w:rFonts w:hint="eastAsia" w:ascii="宋体" w:hAnsi="宋体" w:cs="Microsoft Sans Serif"/>
          <w:color w:val="auto"/>
          <w:kern w:val="0"/>
          <w:szCs w:val="21"/>
          <w:highlight w:val="none"/>
        </w:rPr>
      </w:pPr>
      <w:r>
        <w:rPr>
          <w:rFonts w:hint="eastAsia" w:ascii="宋体" w:hAnsi="宋体" w:cs="Microsoft Sans Serif"/>
          <w:color w:val="auto"/>
          <w:kern w:val="0"/>
          <w:szCs w:val="21"/>
          <w:highlight w:val="none"/>
        </w:rPr>
        <w:t>（15）</w:t>
      </w:r>
      <w:r>
        <w:rPr>
          <w:rFonts w:hint="eastAsia" w:ascii="宋体" w:hAnsi="宋体" w:cs="Microsoft Sans Serif"/>
          <w:color w:val="auto"/>
          <w:kern w:val="0"/>
          <w:szCs w:val="21"/>
          <w:highlight w:val="none"/>
          <w:u w:val="single"/>
        </w:rPr>
        <w:t xml:space="preserve">        </w:t>
      </w:r>
      <w:r>
        <w:rPr>
          <w:rFonts w:hint="eastAsia" w:ascii="宋体" w:hAnsi="宋体" w:cs="Microsoft Sans Serif"/>
          <w:color w:val="auto"/>
          <w:kern w:val="0"/>
          <w:szCs w:val="21"/>
          <w:highlight w:val="none"/>
        </w:rPr>
        <w:t>。</w:t>
      </w:r>
    </w:p>
    <w:p>
      <w:pPr>
        <w:adjustRightInd w:val="0"/>
        <w:snapToGrid w:val="0"/>
        <w:spacing w:line="360" w:lineRule="auto"/>
        <w:ind w:firstLine="420" w:firstLineChars="200"/>
        <w:rPr>
          <w:rFonts w:ascii="宋体" w:hAnsi="宋体" w:cs="Microsoft Sans Serif"/>
          <w:color w:val="auto"/>
          <w:kern w:val="0"/>
          <w:szCs w:val="21"/>
          <w:highlight w:val="none"/>
        </w:rPr>
      </w:pPr>
      <w:r>
        <w:rPr>
          <w:rFonts w:hint="eastAsia" w:ascii="宋体" w:hAnsi="宋体" w:cs="Microsoft Sans Serif"/>
          <w:color w:val="auto"/>
          <w:kern w:val="0"/>
          <w:szCs w:val="21"/>
          <w:highlight w:val="none"/>
        </w:rPr>
        <w:t>16.2.2 承包人违约的责任</w:t>
      </w:r>
    </w:p>
    <w:p>
      <w:pPr>
        <w:adjustRightInd w:val="0"/>
        <w:snapToGrid w:val="0"/>
        <w:spacing w:line="360" w:lineRule="auto"/>
        <w:ind w:firstLine="420" w:firstLineChars="200"/>
        <w:rPr>
          <w:rFonts w:ascii="宋体" w:hAnsi="宋体" w:cs="Microsoft Sans Serif"/>
          <w:color w:val="auto"/>
          <w:kern w:val="0"/>
          <w:szCs w:val="21"/>
          <w:highlight w:val="none"/>
        </w:rPr>
      </w:pPr>
      <w:r>
        <w:rPr>
          <w:rFonts w:hint="eastAsia" w:ascii="宋体" w:hAnsi="宋体" w:cs="Microsoft Sans Serif"/>
          <w:color w:val="auto"/>
          <w:kern w:val="0"/>
          <w:szCs w:val="21"/>
          <w:highlight w:val="none"/>
        </w:rPr>
        <w:t>承包人违约责任的承担方式和计算方法：</w:t>
      </w:r>
    </w:p>
    <w:p>
      <w:pPr>
        <w:snapToGrid w:val="0"/>
        <w:spacing w:line="360" w:lineRule="auto"/>
        <w:ind w:firstLine="420" w:firstLineChars="200"/>
        <w:jc w:val="left"/>
        <w:rPr>
          <w:rFonts w:ascii="宋体" w:hAnsi="宋体" w:cs="Microsoft Sans Serif"/>
          <w:color w:val="auto"/>
          <w:kern w:val="0"/>
          <w:szCs w:val="21"/>
          <w:highlight w:val="none"/>
        </w:rPr>
      </w:pPr>
      <w:r>
        <w:rPr>
          <w:rFonts w:hint="eastAsia" w:ascii="宋体" w:hAnsi="宋体" w:cs="Microsoft Sans Serif"/>
          <w:color w:val="auto"/>
          <w:kern w:val="0"/>
          <w:szCs w:val="21"/>
          <w:highlight w:val="none"/>
        </w:rPr>
        <w:t>（1）承包人未按合同约定提交履约担保、质量保证金的违约责任：承包人应支付违约金，</w:t>
      </w:r>
      <w:r>
        <w:rPr>
          <w:rFonts w:hint="eastAsia" w:ascii="宋体" w:hAnsi="宋体" w:cs="Microsoft Sans Serif"/>
          <w:color w:val="auto"/>
          <w:szCs w:val="21"/>
          <w:highlight w:val="none"/>
        </w:rPr>
        <w:t>违约金的计算方法：</w:t>
      </w:r>
      <w:r>
        <w:rPr>
          <w:rFonts w:hint="eastAsia" w:ascii="宋体" w:hAnsi="宋体" w:cs="Microsoft Sans Serif"/>
          <w:color w:val="auto"/>
          <w:kern w:val="0"/>
          <w:szCs w:val="21"/>
          <w:highlight w:val="none"/>
        </w:rPr>
        <w:t>每延误1天，承包人按</w:t>
      </w:r>
      <w:r>
        <w:rPr>
          <w:rFonts w:hint="eastAsia" w:ascii="宋体" w:hAnsi="宋体" w:cs="Microsoft Sans Serif"/>
          <w:color w:val="auto"/>
          <w:kern w:val="0"/>
          <w:szCs w:val="21"/>
          <w:highlight w:val="none"/>
          <w:u w:val="single"/>
        </w:rPr>
        <w:t xml:space="preserve">  （5000～50000）元/天</w:t>
      </w:r>
      <w:r>
        <w:rPr>
          <w:rFonts w:hint="eastAsia" w:ascii="宋体" w:hAnsi="宋体" w:cs="Microsoft Sans Serif"/>
          <w:color w:val="auto"/>
          <w:kern w:val="0"/>
          <w:szCs w:val="21"/>
          <w:highlight w:val="none"/>
        </w:rPr>
        <w:t>计算违约金，累计违约金上限：</w:t>
      </w:r>
      <w:r>
        <w:rPr>
          <w:rFonts w:hint="eastAsia" w:ascii="宋体" w:hAnsi="宋体" w:cs="Microsoft Sans Serif"/>
          <w:color w:val="auto"/>
          <w:kern w:val="0"/>
          <w:szCs w:val="21"/>
          <w:highlight w:val="none"/>
          <w:u w:val="single"/>
        </w:rPr>
        <w:t xml:space="preserve">  万元（不超过签约合同价的3%）</w:t>
      </w:r>
      <w:r>
        <w:rPr>
          <w:rFonts w:hint="eastAsia" w:ascii="宋体" w:hAnsi="宋体" w:cs="Microsoft Sans Serif"/>
          <w:color w:val="auto"/>
          <w:kern w:val="0"/>
          <w:szCs w:val="21"/>
          <w:highlight w:val="none"/>
          <w:lang w:val="zh-CN"/>
        </w:rPr>
        <w:t>。</w:t>
      </w:r>
    </w:p>
    <w:p>
      <w:pPr>
        <w:snapToGrid w:val="0"/>
        <w:spacing w:line="360" w:lineRule="auto"/>
        <w:ind w:firstLine="420" w:firstLineChars="200"/>
        <w:jc w:val="left"/>
        <w:rPr>
          <w:rFonts w:ascii="宋体" w:hAnsi="宋体" w:cs="Microsoft Sans Serif"/>
          <w:color w:val="auto"/>
          <w:kern w:val="0"/>
          <w:szCs w:val="21"/>
          <w:highlight w:val="none"/>
        </w:rPr>
      </w:pPr>
      <w:r>
        <w:rPr>
          <w:rFonts w:hint="eastAsia" w:ascii="宋体" w:hAnsi="宋体" w:cs="Microsoft Sans Serif"/>
          <w:color w:val="auto"/>
          <w:kern w:val="0"/>
          <w:szCs w:val="21"/>
          <w:highlight w:val="none"/>
        </w:rPr>
        <w:t>（2）承包人违反合同约定进行转包或违法分包的违约责任：按照违反合同约定进行转包和（或）违法分包相应转包和（或）分包合同的合同金额的</w:t>
      </w:r>
      <w:r>
        <w:rPr>
          <w:rFonts w:hint="eastAsia" w:ascii="宋体" w:hAnsi="宋体" w:cs="Microsoft Sans Serif"/>
          <w:color w:val="auto"/>
          <w:kern w:val="0"/>
          <w:szCs w:val="21"/>
          <w:highlight w:val="none"/>
          <w:u w:val="single"/>
        </w:rPr>
        <w:t xml:space="preserve">  （5～10）%</w:t>
      </w:r>
      <w:r>
        <w:rPr>
          <w:rFonts w:hint="eastAsia" w:ascii="宋体" w:hAnsi="宋体" w:cs="Microsoft Sans Serif"/>
          <w:color w:val="auto"/>
          <w:kern w:val="0"/>
          <w:szCs w:val="21"/>
          <w:highlight w:val="none"/>
        </w:rPr>
        <w:t>支付违约金，违法转/分包商应在7天内撤离出场。</w:t>
      </w:r>
    </w:p>
    <w:p>
      <w:pPr>
        <w:snapToGrid w:val="0"/>
        <w:spacing w:line="360" w:lineRule="auto"/>
        <w:ind w:firstLine="420" w:firstLineChars="200"/>
        <w:jc w:val="left"/>
        <w:rPr>
          <w:rFonts w:ascii="宋体" w:hAnsi="宋体" w:cs="Microsoft Sans Serif"/>
          <w:color w:val="auto"/>
          <w:kern w:val="0"/>
          <w:szCs w:val="21"/>
          <w:highlight w:val="none"/>
        </w:rPr>
      </w:pPr>
      <w:r>
        <w:rPr>
          <w:rFonts w:hint="eastAsia" w:ascii="宋体" w:hAnsi="宋体" w:cs="Microsoft Sans Serif"/>
          <w:color w:val="auto"/>
          <w:kern w:val="0"/>
          <w:szCs w:val="21"/>
          <w:highlight w:val="none"/>
        </w:rPr>
        <w:t>（3）承包人违反合同约定采购和使用不合格的材料和工程设备的违约责任：按照违反合同约定采购和使用不合格的材料和（或）工程设备相应合同金额的</w:t>
      </w:r>
      <w:r>
        <w:rPr>
          <w:rFonts w:hint="eastAsia" w:ascii="宋体" w:hAnsi="宋体" w:cs="Microsoft Sans Serif"/>
          <w:color w:val="auto"/>
          <w:kern w:val="0"/>
          <w:szCs w:val="21"/>
          <w:highlight w:val="none"/>
          <w:u w:val="single"/>
        </w:rPr>
        <w:t xml:space="preserve">  （5～10）%</w:t>
      </w:r>
      <w:r>
        <w:rPr>
          <w:rFonts w:hint="eastAsia" w:ascii="宋体" w:hAnsi="宋体" w:cs="Microsoft Sans Serif"/>
          <w:color w:val="auto"/>
          <w:kern w:val="0"/>
          <w:szCs w:val="21"/>
          <w:highlight w:val="none"/>
        </w:rPr>
        <w:t>支付违约金。</w:t>
      </w:r>
    </w:p>
    <w:p>
      <w:pPr>
        <w:snapToGrid w:val="0"/>
        <w:spacing w:line="360" w:lineRule="auto"/>
        <w:ind w:firstLine="420" w:firstLineChars="200"/>
        <w:jc w:val="left"/>
        <w:rPr>
          <w:rFonts w:ascii="宋体" w:hAnsi="宋体" w:cs="Microsoft Sans Serif"/>
          <w:color w:val="auto"/>
          <w:kern w:val="0"/>
          <w:szCs w:val="21"/>
          <w:highlight w:val="none"/>
        </w:rPr>
      </w:pPr>
      <w:r>
        <w:rPr>
          <w:rFonts w:hint="eastAsia" w:ascii="宋体" w:hAnsi="宋体" w:cs="Microsoft Sans Serif"/>
          <w:color w:val="auto"/>
          <w:kern w:val="0"/>
          <w:szCs w:val="21"/>
          <w:highlight w:val="none"/>
        </w:rPr>
        <w:t>（4）因承包人原因导致工程质量不符合规定或合同要求的违约责任：承包人退还已支付工程质量不符合合同要求工程的工程款，并按照工程质量不符合合同要求工程相应合同金额的</w:t>
      </w:r>
      <w:r>
        <w:rPr>
          <w:rFonts w:hint="eastAsia" w:ascii="宋体" w:hAnsi="宋体" w:cs="Microsoft Sans Serif"/>
          <w:color w:val="auto"/>
          <w:kern w:val="0"/>
          <w:szCs w:val="21"/>
          <w:highlight w:val="none"/>
          <w:u w:val="single"/>
        </w:rPr>
        <w:t xml:space="preserve">  （5～10）%</w:t>
      </w:r>
      <w:r>
        <w:rPr>
          <w:rFonts w:hint="eastAsia" w:ascii="宋体" w:hAnsi="宋体" w:cs="Microsoft Sans Serif"/>
          <w:color w:val="auto"/>
          <w:kern w:val="0"/>
          <w:szCs w:val="21"/>
          <w:highlight w:val="none"/>
        </w:rPr>
        <w:t>支付违约金。</w:t>
      </w:r>
    </w:p>
    <w:p>
      <w:pPr>
        <w:snapToGrid w:val="0"/>
        <w:spacing w:line="360" w:lineRule="auto"/>
        <w:ind w:firstLine="420" w:firstLineChars="200"/>
        <w:jc w:val="left"/>
        <w:rPr>
          <w:rFonts w:ascii="宋体" w:hAnsi="宋体" w:cs="Microsoft Sans Serif"/>
          <w:color w:val="auto"/>
          <w:kern w:val="0"/>
          <w:szCs w:val="21"/>
          <w:highlight w:val="none"/>
        </w:rPr>
      </w:pPr>
      <w:r>
        <w:rPr>
          <w:rFonts w:hint="eastAsia" w:ascii="宋体" w:hAnsi="宋体" w:cs="Microsoft Sans Serif"/>
          <w:color w:val="auto"/>
          <w:kern w:val="0"/>
          <w:szCs w:val="21"/>
          <w:highlight w:val="none"/>
        </w:rPr>
        <w:t>（5）承包人违反材料与设备的约定，未经批准，擅自将已按照合同约定进入施工现场的材料或设备撤离施工现场的违约责任：按照承包人擅自撤离施工现场材料和（或）设备相应合同金额的</w:t>
      </w:r>
      <w:r>
        <w:rPr>
          <w:rFonts w:hint="eastAsia" w:ascii="宋体" w:hAnsi="宋体" w:cs="Microsoft Sans Serif"/>
          <w:color w:val="auto"/>
          <w:kern w:val="0"/>
          <w:szCs w:val="21"/>
          <w:highlight w:val="none"/>
          <w:u w:val="single"/>
        </w:rPr>
        <w:t xml:space="preserve">  （1～5）%</w:t>
      </w:r>
      <w:r>
        <w:rPr>
          <w:rFonts w:hint="eastAsia" w:ascii="宋体" w:hAnsi="宋体" w:cs="Microsoft Sans Serif"/>
          <w:color w:val="auto"/>
          <w:kern w:val="0"/>
          <w:szCs w:val="21"/>
          <w:highlight w:val="none"/>
        </w:rPr>
        <w:t>支付违约金。</w:t>
      </w:r>
    </w:p>
    <w:p>
      <w:pPr>
        <w:snapToGrid w:val="0"/>
        <w:spacing w:line="360" w:lineRule="auto"/>
        <w:ind w:firstLine="420" w:firstLineChars="200"/>
        <w:jc w:val="left"/>
        <w:rPr>
          <w:rFonts w:ascii="宋体" w:hAnsi="宋体" w:cs="Microsoft Sans Serif"/>
          <w:color w:val="auto"/>
          <w:kern w:val="0"/>
          <w:szCs w:val="21"/>
          <w:highlight w:val="none"/>
        </w:rPr>
      </w:pPr>
      <w:r>
        <w:rPr>
          <w:rFonts w:hint="eastAsia" w:ascii="宋体" w:hAnsi="宋体" w:cs="Microsoft Sans Serif"/>
          <w:color w:val="auto"/>
          <w:kern w:val="0"/>
          <w:szCs w:val="21"/>
          <w:highlight w:val="none"/>
        </w:rPr>
        <w:t>（6）因承包人原因造成工期延误的违约承担方式和计算方法：由承包人承担由此增加的费用，</w:t>
      </w:r>
      <w:r>
        <w:rPr>
          <w:rFonts w:hint="eastAsia" w:ascii="宋体" w:hAnsi="宋体" w:cs="Microsoft Sans Serif"/>
          <w:color w:val="auto"/>
          <w:szCs w:val="21"/>
          <w:highlight w:val="none"/>
        </w:rPr>
        <w:t>由此导致工期延误的，工期不予顺延；逾期竣工违约金的计算方法：</w:t>
      </w:r>
      <w:r>
        <w:rPr>
          <w:rFonts w:hint="eastAsia" w:ascii="宋体" w:hAnsi="宋体" w:cs="Microsoft Sans Serif"/>
          <w:color w:val="auto"/>
          <w:kern w:val="0"/>
          <w:szCs w:val="21"/>
          <w:highlight w:val="none"/>
        </w:rPr>
        <w:t>每延误1天，承包人按</w:t>
      </w:r>
      <w:r>
        <w:rPr>
          <w:rFonts w:hint="eastAsia" w:ascii="宋体" w:hAnsi="宋体" w:cs="Microsoft Sans Serif"/>
          <w:color w:val="auto"/>
          <w:kern w:val="0"/>
          <w:szCs w:val="21"/>
          <w:highlight w:val="none"/>
          <w:u w:val="single"/>
        </w:rPr>
        <w:t xml:space="preserve">  （5000～50000）元/天</w:t>
      </w:r>
      <w:r>
        <w:rPr>
          <w:rFonts w:hint="eastAsia" w:ascii="宋体" w:hAnsi="宋体" w:cs="Microsoft Sans Serif"/>
          <w:color w:val="auto"/>
          <w:kern w:val="0"/>
          <w:szCs w:val="21"/>
          <w:highlight w:val="none"/>
        </w:rPr>
        <w:t>计算逾期竣工违约金，累计违约金上限：</w:t>
      </w:r>
      <w:r>
        <w:rPr>
          <w:rFonts w:hint="eastAsia" w:ascii="宋体" w:hAnsi="宋体" w:cs="Microsoft Sans Serif"/>
          <w:color w:val="auto"/>
          <w:kern w:val="0"/>
          <w:szCs w:val="21"/>
          <w:highlight w:val="none"/>
          <w:u w:val="single"/>
        </w:rPr>
        <w:t xml:space="preserve">  </w:t>
      </w:r>
      <w:r>
        <w:rPr>
          <w:rFonts w:hint="eastAsia" w:ascii="宋体" w:hAnsi="宋体" w:cs="Microsoft Sans Serif"/>
          <w:color w:val="auto"/>
          <w:kern w:val="0"/>
          <w:szCs w:val="21"/>
          <w:highlight w:val="none"/>
        </w:rPr>
        <w:t>万元（不超过签约合同价的3%）</w:t>
      </w:r>
      <w:r>
        <w:rPr>
          <w:rFonts w:hint="eastAsia" w:ascii="宋体" w:hAnsi="宋体" w:cs="Microsoft Sans Serif"/>
          <w:color w:val="auto"/>
          <w:kern w:val="0"/>
          <w:szCs w:val="21"/>
          <w:highlight w:val="none"/>
          <w:lang w:val="zh-CN"/>
        </w:rPr>
        <w:t>；</w:t>
      </w:r>
      <w:r>
        <w:rPr>
          <w:rFonts w:hint="eastAsia" w:ascii="宋体" w:hAnsi="宋体" w:cs="Microsoft Sans Serif"/>
          <w:color w:val="auto"/>
          <w:kern w:val="0"/>
          <w:szCs w:val="21"/>
          <w:highlight w:val="none"/>
        </w:rPr>
        <w:t>承包人支付逾期竣工违约金后，不免除承包人继续完成工程及修补缺陷的义务。</w:t>
      </w:r>
    </w:p>
    <w:p>
      <w:pPr>
        <w:snapToGrid w:val="0"/>
        <w:spacing w:line="360" w:lineRule="auto"/>
        <w:ind w:firstLine="420" w:firstLineChars="200"/>
        <w:jc w:val="left"/>
        <w:rPr>
          <w:rFonts w:ascii="宋体" w:hAnsi="宋体" w:cs="Microsoft Sans Serif"/>
          <w:color w:val="auto"/>
          <w:kern w:val="0"/>
          <w:szCs w:val="21"/>
          <w:highlight w:val="none"/>
        </w:rPr>
      </w:pPr>
      <w:r>
        <w:rPr>
          <w:rFonts w:hint="eastAsia" w:ascii="宋体" w:hAnsi="宋体" w:cs="Microsoft Sans Serif"/>
          <w:color w:val="auto"/>
          <w:kern w:val="0"/>
          <w:szCs w:val="21"/>
          <w:highlight w:val="none"/>
        </w:rPr>
        <w:t>（7）承包人在缺陷责任期及保修期内，未能在合理期限对工程缺陷进行修复，或拒绝按发包人要求进行修复的违约责任：按照发包人修复缺陷费用的</w:t>
      </w:r>
      <w:r>
        <w:rPr>
          <w:rFonts w:hint="eastAsia" w:ascii="宋体" w:hAnsi="宋体" w:cs="Microsoft Sans Serif"/>
          <w:color w:val="auto"/>
          <w:kern w:val="0"/>
          <w:szCs w:val="21"/>
          <w:highlight w:val="none"/>
          <w:u w:val="single"/>
        </w:rPr>
        <w:t xml:space="preserve">  （0.5～2）%</w:t>
      </w:r>
      <w:r>
        <w:rPr>
          <w:rFonts w:hint="eastAsia" w:ascii="宋体" w:hAnsi="宋体" w:cs="Microsoft Sans Serif"/>
          <w:color w:val="auto"/>
          <w:kern w:val="0"/>
          <w:szCs w:val="21"/>
          <w:highlight w:val="none"/>
        </w:rPr>
        <w:t>支付违约金。</w:t>
      </w:r>
    </w:p>
    <w:p>
      <w:pPr>
        <w:snapToGrid w:val="0"/>
        <w:spacing w:line="360" w:lineRule="auto"/>
        <w:ind w:firstLine="420" w:firstLineChars="200"/>
        <w:jc w:val="left"/>
        <w:rPr>
          <w:rFonts w:ascii="宋体" w:hAnsi="宋体" w:cs="Microsoft Sans Serif"/>
          <w:color w:val="auto"/>
          <w:kern w:val="0"/>
          <w:szCs w:val="21"/>
          <w:highlight w:val="none"/>
        </w:rPr>
      </w:pPr>
      <w:r>
        <w:rPr>
          <w:rFonts w:hint="eastAsia" w:ascii="宋体" w:hAnsi="宋体" w:cs="Microsoft Sans Serif"/>
          <w:color w:val="auto"/>
          <w:kern w:val="0"/>
          <w:szCs w:val="21"/>
          <w:highlight w:val="none"/>
        </w:rPr>
        <w:t>（8）承包人明确表示或者以其行为表明不履行合同主要义务的违约责任：按签约合同价的</w:t>
      </w:r>
      <w:r>
        <w:rPr>
          <w:rFonts w:hint="eastAsia" w:ascii="宋体" w:hAnsi="宋体" w:cs="Microsoft Sans Serif"/>
          <w:color w:val="auto"/>
          <w:kern w:val="0"/>
          <w:szCs w:val="21"/>
          <w:highlight w:val="none"/>
          <w:u w:val="single"/>
        </w:rPr>
        <w:t xml:space="preserve">  （5～10）%</w:t>
      </w:r>
      <w:r>
        <w:rPr>
          <w:rFonts w:hint="eastAsia" w:ascii="宋体" w:hAnsi="宋体" w:cs="Microsoft Sans Serif"/>
          <w:color w:val="auto"/>
          <w:kern w:val="0"/>
          <w:szCs w:val="21"/>
          <w:highlight w:val="none"/>
        </w:rPr>
        <w:t>支付违约金。</w:t>
      </w:r>
    </w:p>
    <w:p>
      <w:pPr>
        <w:snapToGrid w:val="0"/>
        <w:spacing w:line="360" w:lineRule="auto"/>
        <w:ind w:firstLine="420" w:firstLineChars="200"/>
        <w:jc w:val="left"/>
        <w:rPr>
          <w:rFonts w:ascii="宋体" w:hAnsi="宋体" w:cs="Microsoft Sans Serif"/>
          <w:color w:val="auto"/>
          <w:kern w:val="0"/>
          <w:szCs w:val="21"/>
          <w:highlight w:val="none"/>
        </w:rPr>
      </w:pPr>
      <w:r>
        <w:rPr>
          <w:rFonts w:hint="eastAsia" w:ascii="宋体" w:hAnsi="宋体" w:cs="Microsoft Sans Serif"/>
          <w:color w:val="auto"/>
          <w:kern w:val="0"/>
          <w:szCs w:val="21"/>
          <w:highlight w:val="none"/>
        </w:rPr>
        <w:t>（9）承包人未能按照合同约定履行其他义务的违约责任：按</w:t>
      </w:r>
      <w:r>
        <w:rPr>
          <w:rFonts w:hint="eastAsia" w:ascii="宋体" w:hAnsi="宋体" w:cs="Microsoft Sans Serif"/>
          <w:color w:val="auto"/>
          <w:kern w:val="0"/>
          <w:szCs w:val="21"/>
          <w:highlight w:val="none"/>
          <w:u w:val="single"/>
        </w:rPr>
        <w:t>（500～5000）元/次</w:t>
      </w:r>
      <w:r>
        <w:rPr>
          <w:rFonts w:hint="eastAsia" w:ascii="宋体" w:hAnsi="宋体" w:cs="Microsoft Sans Serif"/>
          <w:color w:val="auto"/>
          <w:kern w:val="0"/>
          <w:szCs w:val="21"/>
          <w:highlight w:val="none"/>
        </w:rPr>
        <w:t>支付违约金。</w:t>
      </w:r>
    </w:p>
    <w:p>
      <w:pPr>
        <w:snapToGrid w:val="0"/>
        <w:spacing w:line="360" w:lineRule="auto"/>
        <w:ind w:firstLine="420" w:firstLineChars="200"/>
        <w:jc w:val="left"/>
        <w:rPr>
          <w:rFonts w:ascii="宋体" w:hAnsi="宋体" w:cs="Microsoft Sans Serif"/>
          <w:color w:val="auto"/>
          <w:kern w:val="0"/>
          <w:szCs w:val="21"/>
          <w:highlight w:val="none"/>
        </w:rPr>
      </w:pPr>
      <w:r>
        <w:rPr>
          <w:rFonts w:hint="eastAsia" w:ascii="宋体" w:hAnsi="宋体" w:cs="Microsoft Sans Serif"/>
          <w:color w:val="auto"/>
          <w:kern w:val="0"/>
          <w:szCs w:val="21"/>
          <w:highlight w:val="none"/>
        </w:rPr>
        <w:t>（10）承包人未能按期开工的违约责任：按合同价</w:t>
      </w:r>
      <w:r>
        <w:rPr>
          <w:rFonts w:hint="eastAsia" w:ascii="宋体" w:hAnsi="宋体" w:cs="Microsoft Sans Serif"/>
          <w:color w:val="auto"/>
          <w:kern w:val="0"/>
          <w:szCs w:val="21"/>
          <w:highlight w:val="none"/>
          <w:u w:val="single"/>
        </w:rPr>
        <w:t>0.2‰/天</w:t>
      </w:r>
      <w:r>
        <w:rPr>
          <w:rFonts w:hint="eastAsia" w:ascii="宋体" w:hAnsi="宋体" w:cs="Microsoft Sans Serif"/>
          <w:color w:val="auto"/>
          <w:kern w:val="0"/>
          <w:szCs w:val="21"/>
          <w:highlight w:val="none"/>
        </w:rPr>
        <w:t>支付违约金，本项违约金累计限额为签约合同价的</w:t>
      </w:r>
      <w:r>
        <w:rPr>
          <w:rFonts w:hint="eastAsia" w:ascii="宋体" w:hAnsi="宋体" w:cs="Microsoft Sans Serif"/>
          <w:color w:val="auto"/>
          <w:kern w:val="0"/>
          <w:szCs w:val="21"/>
          <w:highlight w:val="none"/>
          <w:u w:val="single"/>
        </w:rPr>
        <w:t xml:space="preserve"> 1 %</w:t>
      </w:r>
      <w:r>
        <w:rPr>
          <w:rFonts w:hint="eastAsia" w:ascii="宋体" w:hAnsi="宋体" w:cs="Microsoft Sans Serif"/>
          <w:color w:val="auto"/>
          <w:kern w:val="0"/>
          <w:szCs w:val="21"/>
          <w:highlight w:val="none"/>
        </w:rPr>
        <w:t>。</w:t>
      </w:r>
    </w:p>
    <w:p>
      <w:pPr>
        <w:snapToGrid w:val="0"/>
        <w:spacing w:line="360" w:lineRule="auto"/>
        <w:ind w:firstLine="420" w:firstLineChars="200"/>
        <w:jc w:val="left"/>
        <w:rPr>
          <w:rFonts w:ascii="宋体" w:hAnsi="宋体" w:cs="Microsoft Sans Serif"/>
          <w:color w:val="auto"/>
          <w:kern w:val="0"/>
          <w:szCs w:val="21"/>
          <w:highlight w:val="none"/>
        </w:rPr>
      </w:pPr>
      <w:r>
        <w:rPr>
          <w:rFonts w:hint="eastAsia" w:ascii="宋体" w:hAnsi="宋体" w:cs="Microsoft Sans Serif"/>
          <w:color w:val="auto"/>
          <w:kern w:val="0"/>
          <w:szCs w:val="21"/>
          <w:highlight w:val="none"/>
        </w:rPr>
        <w:t>（11）承包人未按经审定的施工组织设计配备或更换关键施工设备的违约责任：按</w:t>
      </w:r>
      <w:r>
        <w:rPr>
          <w:rFonts w:hint="eastAsia" w:ascii="宋体" w:hAnsi="宋体" w:cs="Microsoft Sans Serif"/>
          <w:color w:val="auto"/>
          <w:kern w:val="0"/>
          <w:szCs w:val="21"/>
          <w:highlight w:val="none"/>
          <w:u w:val="single"/>
        </w:rPr>
        <w:t xml:space="preserve">  （5000～50000）元/台·次</w:t>
      </w:r>
      <w:r>
        <w:rPr>
          <w:rFonts w:hint="eastAsia" w:ascii="宋体" w:hAnsi="宋体" w:cs="Microsoft Sans Serif"/>
          <w:color w:val="auto"/>
          <w:kern w:val="0"/>
          <w:szCs w:val="21"/>
          <w:highlight w:val="none"/>
        </w:rPr>
        <w:t>支付违约金。</w:t>
      </w:r>
    </w:p>
    <w:p>
      <w:pPr>
        <w:snapToGrid w:val="0"/>
        <w:spacing w:line="360" w:lineRule="auto"/>
        <w:ind w:firstLine="420" w:firstLineChars="200"/>
        <w:jc w:val="left"/>
        <w:rPr>
          <w:rFonts w:ascii="宋体" w:hAnsi="宋体" w:cs="Microsoft Sans Serif"/>
          <w:color w:val="auto"/>
          <w:kern w:val="0"/>
          <w:szCs w:val="21"/>
          <w:highlight w:val="none"/>
        </w:rPr>
      </w:pPr>
      <w:r>
        <w:rPr>
          <w:rFonts w:hint="eastAsia" w:ascii="宋体" w:hAnsi="宋体" w:cs="Microsoft Sans Serif"/>
          <w:color w:val="auto"/>
          <w:kern w:val="0"/>
          <w:szCs w:val="21"/>
          <w:highlight w:val="none"/>
        </w:rPr>
        <w:t>（12）承包人有安全问题或有违反安全管理规章制度情况的违约责任：根据具体情节，按签约合同价的</w:t>
      </w:r>
      <w:r>
        <w:rPr>
          <w:rFonts w:hint="eastAsia" w:ascii="宋体" w:hAnsi="宋体" w:cs="Microsoft Sans Serif"/>
          <w:color w:val="auto"/>
          <w:kern w:val="0"/>
          <w:szCs w:val="21"/>
          <w:highlight w:val="none"/>
          <w:u w:val="single"/>
        </w:rPr>
        <w:t>0.5‰～4‰/次</w:t>
      </w:r>
      <w:r>
        <w:rPr>
          <w:rFonts w:hint="eastAsia" w:ascii="宋体" w:hAnsi="宋体" w:cs="Microsoft Sans Serif"/>
          <w:color w:val="auto"/>
          <w:kern w:val="0"/>
          <w:szCs w:val="21"/>
          <w:highlight w:val="none"/>
        </w:rPr>
        <w:t>支付违约金（累计不超过签约合同价的1%，详见附件9安全管理协议）。</w:t>
      </w:r>
    </w:p>
    <w:p>
      <w:pPr>
        <w:snapToGrid w:val="0"/>
        <w:spacing w:line="360" w:lineRule="auto"/>
        <w:ind w:firstLine="420" w:firstLineChars="200"/>
        <w:jc w:val="left"/>
        <w:rPr>
          <w:rFonts w:ascii="宋体" w:hAnsi="宋体" w:cs="Microsoft Sans Serif"/>
          <w:color w:val="auto"/>
          <w:kern w:val="0"/>
          <w:szCs w:val="21"/>
          <w:highlight w:val="none"/>
        </w:rPr>
      </w:pPr>
      <w:r>
        <w:rPr>
          <w:rFonts w:hint="eastAsia" w:ascii="宋体" w:hAnsi="宋体" w:cs="Microsoft Sans Serif"/>
          <w:color w:val="auto"/>
          <w:kern w:val="0"/>
          <w:szCs w:val="21"/>
          <w:highlight w:val="none"/>
        </w:rPr>
        <w:t>（13）承包人拖欠其工人或所雇人员工资或报酬，导致其工人或所雇人员向有关部门投诉、控告、检举或以聚集等方式讨要工资或报酬的违约责任：根据具体情节，按违约金额</w:t>
      </w:r>
      <w:r>
        <w:rPr>
          <w:rFonts w:hint="eastAsia" w:ascii="宋体" w:hAnsi="宋体" w:cs="Microsoft Sans Serif"/>
          <w:color w:val="auto"/>
          <w:kern w:val="0"/>
          <w:szCs w:val="21"/>
          <w:highlight w:val="none"/>
          <w:u w:val="single"/>
        </w:rPr>
        <w:t xml:space="preserve">  （50000～200000）元/次</w:t>
      </w:r>
      <w:r>
        <w:rPr>
          <w:rFonts w:hint="eastAsia" w:ascii="宋体" w:hAnsi="宋体" w:cs="Microsoft Sans Serif"/>
          <w:color w:val="auto"/>
          <w:kern w:val="0"/>
          <w:szCs w:val="21"/>
          <w:highlight w:val="none"/>
        </w:rPr>
        <w:t>支付违约金。</w:t>
      </w:r>
    </w:p>
    <w:p>
      <w:pPr>
        <w:snapToGrid w:val="0"/>
        <w:spacing w:line="360" w:lineRule="auto"/>
        <w:ind w:firstLine="420" w:firstLineChars="200"/>
        <w:jc w:val="left"/>
        <w:rPr>
          <w:rFonts w:ascii="宋体" w:hAnsi="宋体" w:cs="Microsoft Sans Serif"/>
          <w:color w:val="auto"/>
          <w:kern w:val="0"/>
          <w:szCs w:val="21"/>
          <w:highlight w:val="none"/>
        </w:rPr>
      </w:pPr>
      <w:r>
        <w:rPr>
          <w:rFonts w:hint="eastAsia" w:ascii="宋体" w:hAnsi="宋体" w:cs="Microsoft Sans Serif"/>
          <w:color w:val="auto"/>
          <w:kern w:val="0"/>
          <w:szCs w:val="21"/>
          <w:highlight w:val="none"/>
        </w:rPr>
        <w:t>（14）承包人不配合发包人、监理人及发包人委托的工程造价咨询服务单位结算审核的违约责任：根据具体情节，按</w:t>
      </w:r>
      <w:r>
        <w:rPr>
          <w:rFonts w:hint="eastAsia" w:ascii="宋体" w:hAnsi="宋体" w:cs="Microsoft Sans Serif"/>
          <w:color w:val="auto"/>
          <w:kern w:val="0"/>
          <w:szCs w:val="21"/>
          <w:highlight w:val="none"/>
          <w:u w:val="single"/>
        </w:rPr>
        <w:t xml:space="preserve">  （10000～100000）元/次</w:t>
      </w:r>
      <w:r>
        <w:rPr>
          <w:rFonts w:hint="eastAsia" w:ascii="宋体" w:hAnsi="宋体" w:cs="Microsoft Sans Serif"/>
          <w:color w:val="auto"/>
          <w:kern w:val="0"/>
          <w:szCs w:val="21"/>
          <w:highlight w:val="none"/>
        </w:rPr>
        <w:t>支付违约金。</w:t>
      </w:r>
    </w:p>
    <w:p>
      <w:pPr>
        <w:snapToGrid w:val="0"/>
        <w:spacing w:line="360" w:lineRule="auto"/>
        <w:ind w:firstLine="420" w:firstLineChars="200"/>
        <w:jc w:val="left"/>
        <w:rPr>
          <w:rFonts w:ascii="宋体" w:hAnsi="宋体" w:cs="Microsoft Sans Serif"/>
          <w:color w:val="auto"/>
          <w:kern w:val="0"/>
          <w:szCs w:val="21"/>
          <w:highlight w:val="none"/>
        </w:rPr>
      </w:pPr>
      <w:r>
        <w:rPr>
          <w:rFonts w:hint="eastAsia" w:ascii="宋体" w:hAnsi="宋体" w:cs="Microsoft Sans Serif"/>
          <w:color w:val="auto"/>
          <w:kern w:val="0"/>
          <w:szCs w:val="21"/>
          <w:highlight w:val="none"/>
        </w:rPr>
        <w:t>（15）承包人未按合同约定移交全部和部分工程的违约责任：由承包人承担工程照管、成品保护、保管等与工程有关的各种费用，并按结算金额或违约部分结算金额的</w:t>
      </w:r>
      <w:r>
        <w:rPr>
          <w:rFonts w:hint="eastAsia" w:ascii="宋体" w:hAnsi="宋体" w:cs="Microsoft Sans Serif"/>
          <w:color w:val="auto"/>
          <w:kern w:val="0"/>
          <w:szCs w:val="21"/>
          <w:highlight w:val="none"/>
          <w:u w:val="single"/>
        </w:rPr>
        <w:t>0.5～1‰</w:t>
      </w:r>
      <w:r>
        <w:rPr>
          <w:rFonts w:hint="eastAsia" w:ascii="宋体" w:hAnsi="宋体" w:cs="Microsoft Sans Serif"/>
          <w:color w:val="auto"/>
          <w:kern w:val="0"/>
          <w:szCs w:val="21"/>
          <w:highlight w:val="none"/>
        </w:rPr>
        <w:t>支付违约金。</w:t>
      </w:r>
    </w:p>
    <w:p>
      <w:pPr>
        <w:snapToGrid w:val="0"/>
        <w:spacing w:line="360" w:lineRule="auto"/>
        <w:ind w:firstLine="420" w:firstLineChars="200"/>
        <w:jc w:val="left"/>
        <w:rPr>
          <w:rFonts w:ascii="宋体" w:hAnsi="宋体" w:cs="Microsoft Sans Serif"/>
          <w:color w:val="auto"/>
          <w:kern w:val="0"/>
          <w:szCs w:val="21"/>
          <w:highlight w:val="none"/>
        </w:rPr>
      </w:pPr>
      <w:r>
        <w:rPr>
          <w:rFonts w:hint="eastAsia" w:ascii="宋体" w:hAnsi="宋体" w:cs="Microsoft Sans Serif"/>
          <w:color w:val="auto"/>
          <w:szCs w:val="21"/>
          <w:highlight w:val="none"/>
        </w:rPr>
        <w:t>（16）承包人未按合同约定购买保险的违约责任：除按18.6.2项约定执行外，每延迟1天，按</w:t>
      </w:r>
      <w:r>
        <w:rPr>
          <w:rFonts w:hint="eastAsia" w:ascii="宋体" w:hAnsi="宋体" w:cs="Microsoft Sans Serif"/>
          <w:color w:val="auto"/>
          <w:szCs w:val="21"/>
          <w:highlight w:val="none"/>
          <w:u w:val="single"/>
        </w:rPr>
        <w:t>500元/天</w:t>
      </w:r>
      <w:r>
        <w:rPr>
          <w:rFonts w:hint="eastAsia" w:ascii="宋体" w:hAnsi="宋体" w:cs="Microsoft Sans Serif"/>
          <w:color w:val="auto"/>
          <w:szCs w:val="21"/>
          <w:highlight w:val="none"/>
        </w:rPr>
        <w:t>支付违约金。</w:t>
      </w:r>
    </w:p>
    <w:p>
      <w:pPr>
        <w:snapToGrid w:val="0"/>
        <w:spacing w:line="360" w:lineRule="auto"/>
        <w:ind w:firstLine="420" w:firstLineChars="200"/>
        <w:jc w:val="left"/>
        <w:rPr>
          <w:rFonts w:ascii="宋体" w:hAnsi="宋体" w:cs="Microsoft Sans Serif"/>
          <w:color w:val="auto"/>
          <w:kern w:val="0"/>
          <w:szCs w:val="21"/>
          <w:highlight w:val="none"/>
        </w:rPr>
      </w:pPr>
      <w:r>
        <w:rPr>
          <w:rFonts w:hint="eastAsia" w:ascii="宋体" w:hAnsi="宋体" w:cs="Microsoft Sans Serif"/>
          <w:color w:val="auto"/>
          <w:kern w:val="0"/>
          <w:szCs w:val="21"/>
          <w:highlight w:val="none"/>
        </w:rPr>
        <w:t>（17）发生第16.2.1项（11）目、16.2.1项（12）目、16.2.1项（13）目违约情形的违约责任：除承担由此增加的费用和工期延误的责任，承包人应向发包人支付违约金：</w:t>
      </w:r>
    </w:p>
    <w:p>
      <w:pPr>
        <w:snapToGrid w:val="0"/>
        <w:spacing w:line="360" w:lineRule="auto"/>
        <w:ind w:firstLine="420" w:firstLineChars="200"/>
        <w:jc w:val="left"/>
        <w:rPr>
          <w:rFonts w:ascii="宋体" w:hAnsi="宋体" w:cs="Microsoft Sans Serif"/>
          <w:color w:val="auto"/>
          <w:kern w:val="0"/>
          <w:szCs w:val="21"/>
          <w:highlight w:val="none"/>
        </w:rPr>
      </w:pPr>
      <w:r>
        <w:rPr>
          <w:rFonts w:hint="eastAsia" w:ascii="宋体" w:hAnsi="宋体" w:cs="Microsoft Sans Serif"/>
          <w:color w:val="auto"/>
          <w:kern w:val="0"/>
          <w:szCs w:val="21"/>
          <w:highlight w:val="none"/>
        </w:rPr>
        <w:t>1）项目经理违约承担方式和计算方法：对于第16.2.1项（11）目的情形，每发现一次，根据具体情节，按</w:t>
      </w:r>
      <w:r>
        <w:rPr>
          <w:rFonts w:hint="eastAsia" w:ascii="宋体" w:hAnsi="宋体" w:cs="Microsoft Sans Serif"/>
          <w:color w:val="auto"/>
          <w:kern w:val="0"/>
          <w:szCs w:val="21"/>
          <w:highlight w:val="none"/>
          <w:u w:val="single"/>
        </w:rPr>
        <w:t>1000～30000元/天·次</w:t>
      </w:r>
      <w:r>
        <w:rPr>
          <w:rFonts w:hint="eastAsia" w:ascii="宋体" w:hAnsi="宋体" w:cs="Microsoft Sans Serif"/>
          <w:color w:val="auto"/>
          <w:kern w:val="0"/>
          <w:szCs w:val="21"/>
          <w:highlight w:val="none"/>
        </w:rPr>
        <w:t>计算违约金；项目经理不按承诺到岗的（</w:t>
      </w:r>
      <w:r>
        <w:rPr>
          <w:rFonts w:ascii="宋体" w:hAnsi="宋体" w:cs="Microsoft Sans Serif"/>
          <w:color w:val="auto"/>
          <w:kern w:val="0"/>
          <w:szCs w:val="21"/>
          <w:highlight w:val="none"/>
        </w:rPr>
        <w:t>3.2.3项约定的情形除外</w:t>
      </w:r>
      <w:r>
        <w:rPr>
          <w:rFonts w:hint="eastAsia" w:ascii="宋体" w:hAnsi="宋体" w:cs="Microsoft Sans Serif"/>
          <w:color w:val="auto"/>
          <w:kern w:val="0"/>
          <w:szCs w:val="21"/>
          <w:highlight w:val="none"/>
        </w:rPr>
        <w:t>），按履约保证金的</w:t>
      </w:r>
      <w:r>
        <w:rPr>
          <w:rFonts w:hint="eastAsia" w:ascii="宋体" w:hAnsi="宋体" w:cs="Microsoft Sans Serif"/>
          <w:color w:val="auto"/>
          <w:kern w:val="0"/>
          <w:szCs w:val="21"/>
          <w:highlight w:val="none"/>
          <w:u w:val="single"/>
        </w:rPr>
        <w:t>（50～100）%</w:t>
      </w:r>
      <w:r>
        <w:rPr>
          <w:rFonts w:hint="eastAsia" w:ascii="宋体" w:hAnsi="宋体" w:cs="Microsoft Sans Serif"/>
          <w:color w:val="auto"/>
          <w:kern w:val="0"/>
          <w:szCs w:val="21"/>
          <w:highlight w:val="none"/>
        </w:rPr>
        <w:t>支付违约金，并解除合同；擅自更换项目经理的，按签约合同价的</w:t>
      </w:r>
      <w:r>
        <w:rPr>
          <w:rFonts w:hint="eastAsia" w:ascii="宋体" w:hAnsi="宋体" w:cs="Microsoft Sans Serif"/>
          <w:color w:val="auto"/>
          <w:kern w:val="0"/>
          <w:szCs w:val="21"/>
          <w:highlight w:val="none"/>
          <w:u w:val="single"/>
        </w:rPr>
        <w:t>（0.5～3）%/人·次</w:t>
      </w:r>
      <w:r>
        <w:rPr>
          <w:rFonts w:hint="eastAsia" w:ascii="宋体" w:hAnsi="宋体" w:cs="Microsoft Sans Serif"/>
          <w:color w:val="auto"/>
          <w:kern w:val="0"/>
          <w:szCs w:val="21"/>
          <w:highlight w:val="none"/>
        </w:rPr>
        <w:t>支付违约金，每次不低于</w:t>
      </w:r>
      <w:r>
        <w:rPr>
          <w:rFonts w:hint="eastAsia" w:ascii="宋体" w:hAnsi="宋体" w:cs="Microsoft Sans Serif"/>
          <w:color w:val="auto"/>
          <w:kern w:val="0"/>
          <w:szCs w:val="21"/>
          <w:highlight w:val="none"/>
          <w:u w:val="single"/>
        </w:rPr>
        <w:t>20万</w:t>
      </w:r>
      <w:r>
        <w:rPr>
          <w:rFonts w:hint="eastAsia" w:ascii="宋体" w:hAnsi="宋体" w:cs="Microsoft Sans Serif"/>
          <w:color w:val="auto"/>
          <w:kern w:val="0"/>
          <w:szCs w:val="21"/>
          <w:highlight w:val="none"/>
        </w:rPr>
        <w:t>，累计不超过</w:t>
      </w:r>
      <w:r>
        <w:rPr>
          <w:rFonts w:hint="eastAsia" w:ascii="宋体" w:hAnsi="宋体" w:cs="Microsoft Sans Serif"/>
          <w:color w:val="auto"/>
          <w:kern w:val="0"/>
          <w:szCs w:val="21"/>
          <w:highlight w:val="none"/>
          <w:u w:val="single"/>
        </w:rPr>
        <w:t>200万</w:t>
      </w:r>
      <w:r>
        <w:rPr>
          <w:rFonts w:hint="eastAsia" w:ascii="宋体" w:hAnsi="宋体" w:cs="Microsoft Sans Serif"/>
          <w:color w:val="auto"/>
          <w:kern w:val="0"/>
          <w:szCs w:val="21"/>
          <w:highlight w:val="none"/>
        </w:rPr>
        <w:t>；项目经理被责令停止执业的，按签约合同价的</w:t>
      </w:r>
      <w:r>
        <w:rPr>
          <w:rFonts w:hint="eastAsia" w:ascii="宋体" w:hAnsi="宋体" w:cs="Microsoft Sans Serif"/>
          <w:color w:val="auto"/>
          <w:kern w:val="0"/>
          <w:szCs w:val="21"/>
          <w:highlight w:val="none"/>
          <w:u w:val="single"/>
        </w:rPr>
        <w:t>（0.5～3）%/人·次</w:t>
      </w:r>
      <w:r>
        <w:rPr>
          <w:rFonts w:hint="eastAsia" w:ascii="宋体" w:hAnsi="宋体" w:cs="Microsoft Sans Serif"/>
          <w:color w:val="auto"/>
          <w:kern w:val="0"/>
          <w:szCs w:val="21"/>
          <w:highlight w:val="none"/>
        </w:rPr>
        <w:t>支付违约金，每次不低于</w:t>
      </w:r>
      <w:r>
        <w:rPr>
          <w:rFonts w:hint="eastAsia" w:ascii="宋体" w:hAnsi="宋体" w:cs="Microsoft Sans Serif"/>
          <w:color w:val="auto"/>
          <w:kern w:val="0"/>
          <w:szCs w:val="21"/>
          <w:highlight w:val="none"/>
          <w:u w:val="single"/>
        </w:rPr>
        <w:t>20万</w:t>
      </w:r>
      <w:r>
        <w:rPr>
          <w:rFonts w:hint="eastAsia" w:ascii="宋体" w:hAnsi="宋体" w:cs="Microsoft Sans Serif"/>
          <w:color w:val="auto"/>
          <w:kern w:val="0"/>
          <w:szCs w:val="21"/>
          <w:highlight w:val="none"/>
        </w:rPr>
        <w:t>，累计不超过</w:t>
      </w:r>
      <w:r>
        <w:rPr>
          <w:rFonts w:hint="eastAsia" w:ascii="宋体" w:hAnsi="宋体" w:cs="Microsoft Sans Serif"/>
          <w:color w:val="auto"/>
          <w:kern w:val="0"/>
          <w:szCs w:val="21"/>
          <w:highlight w:val="none"/>
          <w:u w:val="single"/>
        </w:rPr>
        <w:t>200万</w:t>
      </w:r>
      <w:r>
        <w:rPr>
          <w:rFonts w:hint="eastAsia" w:ascii="宋体" w:hAnsi="宋体" w:cs="Microsoft Sans Serif"/>
          <w:color w:val="auto"/>
          <w:kern w:val="0"/>
          <w:szCs w:val="21"/>
          <w:highlight w:val="none"/>
        </w:rPr>
        <w:t>；项目经理被责令停止执业的，按签约合同价的</w:t>
      </w:r>
      <w:r>
        <w:rPr>
          <w:rFonts w:hint="eastAsia" w:ascii="宋体" w:hAnsi="宋体" w:cs="Microsoft Sans Serif"/>
          <w:color w:val="auto"/>
          <w:kern w:val="0"/>
          <w:szCs w:val="21"/>
          <w:highlight w:val="none"/>
          <w:u w:val="single"/>
        </w:rPr>
        <w:t>（0.5～3）%/人•次</w:t>
      </w:r>
      <w:r>
        <w:rPr>
          <w:rFonts w:hint="eastAsia" w:ascii="宋体" w:hAnsi="宋体" w:cs="Microsoft Sans Serif"/>
          <w:color w:val="auto"/>
          <w:kern w:val="0"/>
          <w:szCs w:val="21"/>
          <w:highlight w:val="none"/>
        </w:rPr>
        <w:t>支付违约金，每次不低于</w:t>
      </w:r>
      <w:r>
        <w:rPr>
          <w:rFonts w:hint="eastAsia" w:ascii="宋体" w:hAnsi="宋体" w:cs="Microsoft Sans Serif"/>
          <w:color w:val="auto"/>
          <w:kern w:val="0"/>
          <w:szCs w:val="21"/>
          <w:highlight w:val="none"/>
          <w:u w:val="single"/>
        </w:rPr>
        <w:t>20</w:t>
      </w:r>
      <w:r>
        <w:rPr>
          <w:rFonts w:hint="eastAsia" w:ascii="宋体" w:hAnsi="宋体" w:cs="Microsoft Sans Serif"/>
          <w:color w:val="auto"/>
          <w:kern w:val="0"/>
          <w:szCs w:val="21"/>
          <w:highlight w:val="none"/>
        </w:rPr>
        <w:t>万，累计不超过</w:t>
      </w:r>
      <w:r>
        <w:rPr>
          <w:rFonts w:hint="eastAsia" w:ascii="宋体" w:hAnsi="宋体" w:cs="Microsoft Sans Serif"/>
          <w:color w:val="auto"/>
          <w:kern w:val="0"/>
          <w:szCs w:val="21"/>
          <w:highlight w:val="none"/>
          <w:u w:val="single"/>
        </w:rPr>
        <w:t>200</w:t>
      </w:r>
      <w:r>
        <w:rPr>
          <w:rFonts w:hint="eastAsia" w:ascii="宋体" w:hAnsi="宋体" w:cs="Microsoft Sans Serif"/>
          <w:color w:val="auto"/>
          <w:kern w:val="0"/>
          <w:szCs w:val="21"/>
          <w:highlight w:val="none"/>
        </w:rPr>
        <w:t>万。</w:t>
      </w:r>
    </w:p>
    <w:p>
      <w:pPr>
        <w:snapToGrid w:val="0"/>
        <w:spacing w:line="360" w:lineRule="auto"/>
        <w:ind w:firstLine="420" w:firstLineChars="200"/>
        <w:jc w:val="left"/>
        <w:rPr>
          <w:rFonts w:ascii="宋体" w:hAnsi="宋体" w:cs="Microsoft Sans Serif"/>
          <w:color w:val="auto"/>
          <w:kern w:val="0"/>
          <w:szCs w:val="21"/>
          <w:highlight w:val="none"/>
        </w:rPr>
      </w:pPr>
      <w:r>
        <w:rPr>
          <w:rFonts w:hint="eastAsia" w:ascii="宋体" w:hAnsi="宋体" w:cs="Microsoft Sans Serif"/>
          <w:color w:val="auto"/>
          <w:kern w:val="0"/>
          <w:szCs w:val="21"/>
          <w:highlight w:val="none"/>
        </w:rPr>
        <w:t>2）主要技术负责人违约承担方式和计算方法：对于第16.2.1项（12）目的六种情形，每发现一次，根据具体情节，按</w:t>
      </w:r>
      <w:r>
        <w:rPr>
          <w:rFonts w:hint="eastAsia" w:ascii="宋体" w:hAnsi="宋体" w:cs="Microsoft Sans Serif"/>
          <w:color w:val="auto"/>
          <w:kern w:val="0"/>
          <w:szCs w:val="21"/>
          <w:highlight w:val="none"/>
          <w:u w:val="single"/>
        </w:rPr>
        <w:t>1000～30000元/天·次</w:t>
      </w:r>
      <w:r>
        <w:rPr>
          <w:rFonts w:hint="eastAsia" w:ascii="宋体" w:hAnsi="宋体" w:cs="Microsoft Sans Serif"/>
          <w:color w:val="auto"/>
          <w:kern w:val="0"/>
          <w:szCs w:val="21"/>
          <w:highlight w:val="none"/>
        </w:rPr>
        <w:t>计算违约金；擅自更换主要技术负责人的，按签约合同价的</w:t>
      </w:r>
      <w:r>
        <w:rPr>
          <w:rFonts w:hint="eastAsia" w:ascii="宋体" w:hAnsi="宋体" w:cs="Microsoft Sans Serif"/>
          <w:color w:val="auto"/>
          <w:kern w:val="0"/>
          <w:szCs w:val="21"/>
          <w:highlight w:val="none"/>
          <w:u w:val="single"/>
        </w:rPr>
        <w:t>（0.5～2）%/人·次</w:t>
      </w:r>
      <w:r>
        <w:rPr>
          <w:rFonts w:hint="eastAsia" w:ascii="宋体" w:hAnsi="宋体" w:cs="Microsoft Sans Serif"/>
          <w:color w:val="auto"/>
          <w:kern w:val="0"/>
          <w:szCs w:val="21"/>
          <w:highlight w:val="none"/>
        </w:rPr>
        <w:t>支付违约金，每次不低于</w:t>
      </w:r>
      <w:r>
        <w:rPr>
          <w:rFonts w:hint="eastAsia" w:ascii="宋体" w:hAnsi="宋体" w:cs="Microsoft Sans Serif"/>
          <w:color w:val="auto"/>
          <w:kern w:val="0"/>
          <w:szCs w:val="21"/>
          <w:highlight w:val="none"/>
          <w:u w:val="single"/>
        </w:rPr>
        <w:t>10万</w:t>
      </w:r>
      <w:r>
        <w:rPr>
          <w:rFonts w:hint="eastAsia" w:ascii="宋体" w:hAnsi="宋体" w:cs="Microsoft Sans Serif"/>
          <w:color w:val="auto"/>
          <w:kern w:val="0"/>
          <w:szCs w:val="21"/>
          <w:highlight w:val="none"/>
        </w:rPr>
        <w:t>，累计不超过</w:t>
      </w:r>
      <w:r>
        <w:rPr>
          <w:rFonts w:hint="eastAsia" w:ascii="宋体" w:hAnsi="宋体" w:cs="Microsoft Sans Serif"/>
          <w:color w:val="auto"/>
          <w:kern w:val="0"/>
          <w:szCs w:val="21"/>
          <w:highlight w:val="none"/>
          <w:u w:val="single"/>
        </w:rPr>
        <w:t>100万</w:t>
      </w:r>
      <w:r>
        <w:rPr>
          <w:rFonts w:hint="eastAsia" w:ascii="宋体" w:hAnsi="宋体" w:cs="Microsoft Sans Serif"/>
          <w:color w:val="auto"/>
          <w:kern w:val="0"/>
          <w:szCs w:val="21"/>
          <w:highlight w:val="none"/>
        </w:rPr>
        <w:t>。</w:t>
      </w:r>
    </w:p>
    <w:p>
      <w:pPr>
        <w:snapToGrid w:val="0"/>
        <w:spacing w:line="360" w:lineRule="auto"/>
        <w:ind w:firstLine="420" w:firstLineChars="200"/>
        <w:jc w:val="left"/>
        <w:rPr>
          <w:rFonts w:ascii="宋体" w:hAnsi="宋体"/>
          <w:color w:val="auto"/>
          <w:szCs w:val="21"/>
          <w:highlight w:val="none"/>
        </w:rPr>
      </w:pPr>
      <w:r>
        <w:rPr>
          <w:rFonts w:hint="eastAsia" w:ascii="宋体" w:hAnsi="宋体" w:cs="Microsoft Sans Serif"/>
          <w:color w:val="auto"/>
          <w:kern w:val="0"/>
          <w:szCs w:val="21"/>
          <w:highlight w:val="none"/>
        </w:rPr>
        <w:t>3）主要施工管理人员违约承担方式和计算方法：对于第16.2.1项（13）目的五种情形，每发现一次，根据具体情节，按</w:t>
      </w:r>
      <w:r>
        <w:rPr>
          <w:rFonts w:hint="eastAsia" w:ascii="宋体" w:hAnsi="宋体" w:cs="Microsoft Sans Serif"/>
          <w:color w:val="auto"/>
          <w:kern w:val="0"/>
          <w:szCs w:val="21"/>
          <w:highlight w:val="none"/>
          <w:u w:val="single"/>
        </w:rPr>
        <w:t>500～10000元/天·次</w:t>
      </w:r>
      <w:r>
        <w:rPr>
          <w:rFonts w:hint="eastAsia" w:ascii="宋体" w:hAnsi="宋体" w:cs="Microsoft Sans Serif"/>
          <w:color w:val="auto"/>
          <w:kern w:val="0"/>
          <w:szCs w:val="21"/>
          <w:highlight w:val="none"/>
        </w:rPr>
        <w:t>计算违约金。</w:t>
      </w:r>
    </w:p>
    <w:p>
      <w:pPr>
        <w:snapToGrid w:val="0"/>
        <w:spacing w:line="360" w:lineRule="auto"/>
        <w:ind w:firstLine="420" w:firstLineChars="200"/>
        <w:jc w:val="left"/>
        <w:rPr>
          <w:rFonts w:ascii="宋体" w:hAnsi="宋体" w:cs="Microsoft Sans Serif"/>
          <w:color w:val="auto"/>
          <w:kern w:val="0"/>
          <w:szCs w:val="21"/>
          <w:highlight w:val="none"/>
        </w:rPr>
      </w:pPr>
      <w:r>
        <w:rPr>
          <w:rFonts w:hint="eastAsia" w:ascii="宋体" w:hAnsi="宋体" w:cs="Microsoft Sans Serif"/>
          <w:color w:val="auto"/>
          <w:kern w:val="0"/>
          <w:szCs w:val="21"/>
          <w:highlight w:val="none"/>
        </w:rPr>
        <w:t>（18）</w:t>
      </w:r>
      <w:r>
        <w:rPr>
          <w:rFonts w:hint="eastAsia" w:ascii="宋体" w:hAnsi="宋体" w:cs="Microsoft Sans Serif"/>
          <w:color w:val="auto"/>
          <w:kern w:val="0"/>
          <w:szCs w:val="21"/>
          <w:highlight w:val="none"/>
          <w:u w:val="single"/>
        </w:rPr>
        <w:t xml:space="preserve">        </w:t>
      </w:r>
      <w:r>
        <w:rPr>
          <w:rFonts w:hint="eastAsia" w:ascii="宋体" w:hAnsi="宋体" w:cs="Microsoft Sans Serif"/>
          <w:color w:val="auto"/>
          <w:kern w:val="0"/>
          <w:szCs w:val="21"/>
          <w:highlight w:val="none"/>
        </w:rPr>
        <w:t>。</w:t>
      </w:r>
      <w:bookmarkStart w:id="1281" w:name="_Hlk524380347"/>
    </w:p>
    <w:p>
      <w:pPr>
        <w:snapToGrid w:val="0"/>
        <w:spacing w:line="360" w:lineRule="auto"/>
        <w:ind w:firstLine="420" w:firstLineChars="200"/>
        <w:jc w:val="left"/>
        <w:rPr>
          <w:rFonts w:ascii="宋体" w:hAnsi="宋体" w:cs="Microsoft Sans Serif"/>
          <w:color w:val="auto"/>
          <w:kern w:val="0"/>
          <w:szCs w:val="21"/>
          <w:highlight w:val="none"/>
        </w:rPr>
      </w:pPr>
      <w:r>
        <w:rPr>
          <w:rFonts w:hint="eastAsia" w:ascii="宋体" w:hAnsi="宋体" w:cs="Microsoft Sans Serif"/>
          <w:color w:val="auto"/>
          <w:szCs w:val="21"/>
          <w:highlight w:val="none"/>
        </w:rPr>
        <w:t>应当由承包人向发包人支付的违约金，发包人可直接提取届时有效的履约担保相应金额，不足部分由承包人支付；若发包人提取履约担保相应金额，则承包人应在提取后7日内补足或提交合同约定的履约担保的金额，否则按专用合同第</w:t>
      </w:r>
      <w:r>
        <w:rPr>
          <w:rFonts w:hint="eastAsia" w:ascii="宋体" w:hAnsi="宋体" w:cs="Microsoft Sans Serif"/>
          <w:color w:val="auto"/>
          <w:kern w:val="0"/>
          <w:szCs w:val="21"/>
          <w:highlight w:val="none"/>
        </w:rPr>
        <w:t>16.2.2项第（1）目承担违约责任</w:t>
      </w:r>
      <w:r>
        <w:rPr>
          <w:rFonts w:hint="eastAsia" w:ascii="宋体" w:hAnsi="宋体" w:cs="Microsoft Sans Serif"/>
          <w:color w:val="auto"/>
          <w:szCs w:val="21"/>
          <w:highlight w:val="none"/>
        </w:rPr>
        <w:t>，并从应付或到期应付给承包人的任何款项中或采用其他方法，扣除该违约金。</w:t>
      </w:r>
    </w:p>
    <w:p>
      <w:pPr>
        <w:snapToGrid w:val="0"/>
        <w:spacing w:line="360" w:lineRule="auto"/>
        <w:ind w:firstLine="420" w:firstLineChars="200"/>
        <w:jc w:val="left"/>
        <w:rPr>
          <w:rFonts w:ascii="宋体" w:hAnsi="宋体" w:cs="Microsoft Sans Serif"/>
          <w:color w:val="auto"/>
          <w:kern w:val="0"/>
          <w:szCs w:val="21"/>
          <w:highlight w:val="none"/>
        </w:rPr>
      </w:pPr>
      <w:r>
        <w:rPr>
          <w:rFonts w:hint="eastAsia" w:ascii="宋体" w:hAnsi="宋体" w:cs="Microsoft Sans Serif"/>
          <w:color w:val="auto"/>
          <w:szCs w:val="21"/>
          <w:highlight w:val="none"/>
        </w:rPr>
        <w:t>承包人必须及时纠正违约行为并采取积极措施，满足合同要求，自行承担与纠正违约行为有关的人身伤亡、罚款、索赔、损失补偿、诉讼费用及其他一切责任，工期不予顺延</w:t>
      </w:r>
      <w:r>
        <w:rPr>
          <w:rFonts w:hint="eastAsia" w:ascii="宋体" w:hAnsi="宋体" w:cs="Microsoft Sans Serif"/>
          <w:color w:val="auto"/>
          <w:kern w:val="0"/>
          <w:szCs w:val="21"/>
          <w:highlight w:val="none"/>
        </w:rPr>
        <w:t>，承担由此给</w:t>
      </w:r>
      <w:r>
        <w:rPr>
          <w:rFonts w:hint="eastAsia" w:ascii="宋体" w:hAnsi="宋体" w:cs="Microsoft Sans Serif"/>
          <w:color w:val="auto"/>
          <w:szCs w:val="21"/>
          <w:highlight w:val="none"/>
        </w:rPr>
        <w:t>发包人造成的经济损失。</w:t>
      </w:r>
    </w:p>
    <w:p>
      <w:pPr>
        <w:snapToGrid w:val="0"/>
        <w:spacing w:line="360" w:lineRule="auto"/>
        <w:ind w:firstLine="420" w:firstLineChars="200"/>
        <w:jc w:val="left"/>
        <w:rPr>
          <w:rFonts w:ascii="宋体" w:hAnsi="宋体" w:cs="Microsoft Sans Serif"/>
          <w:color w:val="auto"/>
          <w:kern w:val="0"/>
          <w:szCs w:val="21"/>
          <w:highlight w:val="none"/>
        </w:rPr>
      </w:pPr>
      <w:r>
        <w:rPr>
          <w:rFonts w:hint="eastAsia" w:ascii="宋体" w:hAnsi="宋体" w:cs="Microsoft Sans Serif"/>
          <w:color w:val="auto"/>
          <w:szCs w:val="21"/>
          <w:highlight w:val="none"/>
        </w:rPr>
        <w:t>承包人承担承包范围的工程质量、安全、环保责任，因承包人原因引起的质量、安全、环保等事故由承包人承担相应的法律后果。</w:t>
      </w:r>
    </w:p>
    <w:bookmarkEnd w:id="1281"/>
    <w:p>
      <w:pPr>
        <w:spacing w:line="360" w:lineRule="auto"/>
        <w:ind w:firstLine="420" w:firstLineChars="200"/>
        <w:jc w:val="left"/>
        <w:rPr>
          <w:rFonts w:ascii="宋体" w:hAnsi="宋体" w:cs="Microsoft Sans Serif"/>
          <w:color w:val="auto"/>
          <w:kern w:val="0"/>
          <w:szCs w:val="21"/>
          <w:highlight w:val="none"/>
        </w:rPr>
      </w:pPr>
      <w:r>
        <w:rPr>
          <w:rFonts w:hint="eastAsia" w:ascii="宋体" w:hAnsi="宋体" w:cs="Microsoft Sans Serif"/>
          <w:color w:val="auto"/>
          <w:kern w:val="0"/>
          <w:szCs w:val="21"/>
          <w:highlight w:val="none"/>
        </w:rPr>
        <w:t>16.2.3 因承包人违约解除合同</w:t>
      </w:r>
    </w:p>
    <w:p>
      <w:pPr>
        <w:spacing w:line="360" w:lineRule="auto"/>
        <w:ind w:firstLine="420" w:firstLineChars="200"/>
        <w:jc w:val="left"/>
        <w:rPr>
          <w:rFonts w:ascii="宋体" w:hAnsi="宋体" w:cs="Microsoft Sans Serif"/>
          <w:color w:val="auto"/>
          <w:kern w:val="0"/>
          <w:szCs w:val="21"/>
          <w:highlight w:val="none"/>
        </w:rPr>
      </w:pPr>
      <w:r>
        <w:rPr>
          <w:rFonts w:hint="eastAsia" w:ascii="宋体" w:hAnsi="宋体" w:cs="Microsoft Sans Serif"/>
          <w:color w:val="auto"/>
          <w:kern w:val="0"/>
          <w:szCs w:val="21"/>
          <w:highlight w:val="none"/>
        </w:rPr>
        <w:t>因承包人违约并致使合同目的不能实现的，发包人有权解除合同：</w:t>
      </w:r>
    </w:p>
    <w:p>
      <w:pPr>
        <w:pStyle w:val="11"/>
        <w:spacing w:line="360" w:lineRule="auto"/>
        <w:jc w:val="left"/>
        <w:rPr>
          <w:rFonts w:ascii="宋体" w:hAnsi="宋体" w:cs="Microsoft Sans Serif"/>
          <w:color w:val="auto"/>
          <w:kern w:val="0"/>
          <w:sz w:val="21"/>
          <w:szCs w:val="21"/>
          <w:highlight w:val="none"/>
        </w:rPr>
      </w:pPr>
      <w:r>
        <w:rPr>
          <w:rFonts w:hint="eastAsia" w:ascii="宋体" w:hAnsi="宋体" w:cs="Microsoft Sans Serif"/>
          <w:color w:val="auto"/>
          <w:kern w:val="0"/>
          <w:sz w:val="21"/>
          <w:szCs w:val="21"/>
          <w:highlight w:val="none"/>
        </w:rPr>
        <w:t>（1）未按合同约定延迟提供履约担保、质量保证金超过14天的；</w:t>
      </w:r>
    </w:p>
    <w:p>
      <w:pPr>
        <w:pStyle w:val="11"/>
        <w:spacing w:line="360" w:lineRule="auto"/>
        <w:jc w:val="left"/>
        <w:rPr>
          <w:rFonts w:ascii="宋体" w:hAnsi="宋体" w:cs="Microsoft Sans Serif"/>
          <w:color w:val="auto"/>
          <w:kern w:val="0"/>
          <w:sz w:val="21"/>
          <w:szCs w:val="21"/>
          <w:highlight w:val="none"/>
        </w:rPr>
      </w:pPr>
      <w:r>
        <w:rPr>
          <w:rFonts w:hint="eastAsia" w:ascii="宋体" w:hAnsi="宋体" w:cs="Microsoft Sans Serif"/>
          <w:color w:val="auto"/>
          <w:kern w:val="0"/>
          <w:sz w:val="21"/>
          <w:szCs w:val="21"/>
          <w:highlight w:val="none"/>
        </w:rPr>
        <w:t>（2）未按合同约定购买保险且经催告后超过56天的；</w:t>
      </w:r>
    </w:p>
    <w:p>
      <w:pPr>
        <w:pStyle w:val="11"/>
        <w:spacing w:line="360" w:lineRule="auto"/>
        <w:jc w:val="left"/>
        <w:rPr>
          <w:rFonts w:ascii="宋体" w:hAnsi="宋体" w:cs="Microsoft Sans Serif"/>
          <w:color w:val="auto"/>
          <w:kern w:val="0"/>
          <w:sz w:val="21"/>
          <w:szCs w:val="21"/>
          <w:highlight w:val="none"/>
        </w:rPr>
      </w:pPr>
      <w:r>
        <w:rPr>
          <w:rFonts w:hint="eastAsia" w:ascii="宋体" w:hAnsi="宋体" w:cs="Microsoft Sans Serif"/>
          <w:color w:val="auto"/>
          <w:kern w:val="0"/>
          <w:sz w:val="21"/>
          <w:szCs w:val="21"/>
          <w:highlight w:val="none"/>
        </w:rPr>
        <w:t>（3）因承包人原因导致开工时间累计延误超过56天的；</w:t>
      </w:r>
    </w:p>
    <w:p>
      <w:pPr>
        <w:pStyle w:val="11"/>
        <w:spacing w:line="360" w:lineRule="auto"/>
        <w:jc w:val="left"/>
        <w:rPr>
          <w:rFonts w:ascii="宋体" w:hAnsi="宋体" w:cs="Microsoft Sans Serif"/>
          <w:color w:val="auto"/>
          <w:kern w:val="0"/>
          <w:sz w:val="21"/>
          <w:szCs w:val="21"/>
          <w:highlight w:val="none"/>
        </w:rPr>
      </w:pPr>
      <w:r>
        <w:rPr>
          <w:rFonts w:hint="eastAsia" w:ascii="宋体" w:hAnsi="宋体" w:cs="Microsoft Sans Serif"/>
          <w:color w:val="auto"/>
          <w:kern w:val="0"/>
          <w:sz w:val="21"/>
          <w:szCs w:val="21"/>
          <w:highlight w:val="none"/>
        </w:rPr>
        <w:t>（4）因承包人原因导致工期延误超过90天的；</w:t>
      </w:r>
    </w:p>
    <w:p>
      <w:pPr>
        <w:pStyle w:val="11"/>
        <w:spacing w:line="360" w:lineRule="auto"/>
        <w:jc w:val="left"/>
        <w:rPr>
          <w:rFonts w:ascii="宋体" w:hAnsi="宋体" w:cs="Microsoft Sans Serif"/>
          <w:color w:val="auto"/>
          <w:kern w:val="0"/>
          <w:sz w:val="21"/>
          <w:szCs w:val="21"/>
          <w:highlight w:val="none"/>
        </w:rPr>
      </w:pPr>
      <w:r>
        <w:rPr>
          <w:rFonts w:hint="eastAsia" w:ascii="宋体" w:hAnsi="宋体" w:cs="Microsoft Sans Serif"/>
          <w:color w:val="auto"/>
          <w:kern w:val="0"/>
          <w:sz w:val="21"/>
          <w:szCs w:val="21"/>
          <w:highlight w:val="none"/>
        </w:rPr>
        <w:t>（5）发生第21.2款〔退出机制〕约定的情形的；</w:t>
      </w:r>
    </w:p>
    <w:p>
      <w:pPr>
        <w:pStyle w:val="11"/>
        <w:spacing w:line="360" w:lineRule="auto"/>
        <w:jc w:val="left"/>
        <w:rPr>
          <w:rFonts w:ascii="宋体" w:hAnsi="宋体" w:cs="Microsoft Sans Serif"/>
          <w:color w:val="auto"/>
          <w:kern w:val="0"/>
          <w:sz w:val="21"/>
          <w:szCs w:val="21"/>
          <w:highlight w:val="none"/>
        </w:rPr>
      </w:pPr>
      <w:r>
        <w:rPr>
          <w:rFonts w:hint="eastAsia" w:ascii="宋体" w:hAnsi="宋体" w:cs="Microsoft Sans Serif"/>
          <w:color w:val="auto"/>
          <w:kern w:val="0"/>
          <w:sz w:val="21"/>
          <w:szCs w:val="21"/>
          <w:highlight w:val="none"/>
        </w:rPr>
        <w:t>（6）监理人发出整改通知后，承包人在监理人限定的期限内仍不纠正违约行为的；</w:t>
      </w:r>
    </w:p>
    <w:p>
      <w:pPr>
        <w:pStyle w:val="11"/>
        <w:spacing w:line="360" w:lineRule="auto"/>
        <w:jc w:val="left"/>
        <w:rPr>
          <w:rFonts w:ascii="宋体" w:hAnsi="宋体" w:cs="Microsoft Sans Serif"/>
          <w:color w:val="auto"/>
          <w:kern w:val="0"/>
          <w:sz w:val="21"/>
          <w:szCs w:val="21"/>
          <w:highlight w:val="none"/>
        </w:rPr>
      </w:pPr>
      <w:r>
        <w:rPr>
          <w:rFonts w:hint="eastAsia" w:ascii="宋体" w:hAnsi="宋体" w:cs="Microsoft Sans Serif"/>
          <w:color w:val="auto"/>
          <w:kern w:val="0"/>
          <w:sz w:val="21"/>
          <w:szCs w:val="21"/>
          <w:highlight w:val="none"/>
        </w:rPr>
        <w:t>（7）承包人进入清算或者严重资不抵债且无法履行合同的；</w:t>
      </w:r>
    </w:p>
    <w:p>
      <w:pPr>
        <w:spacing w:line="360" w:lineRule="auto"/>
        <w:ind w:firstLine="420" w:firstLineChars="200"/>
        <w:jc w:val="left"/>
        <w:rPr>
          <w:rFonts w:ascii="宋体" w:hAnsi="宋体" w:cs="Microsoft Sans Serif"/>
          <w:color w:val="auto"/>
          <w:kern w:val="0"/>
          <w:szCs w:val="21"/>
          <w:highlight w:val="none"/>
        </w:rPr>
      </w:pPr>
      <w:r>
        <w:rPr>
          <w:rFonts w:hint="eastAsia" w:ascii="宋体" w:hAnsi="宋体" w:cs="Microsoft Sans Serif"/>
          <w:color w:val="auto"/>
          <w:kern w:val="0"/>
          <w:szCs w:val="21"/>
          <w:highlight w:val="none"/>
        </w:rPr>
        <w:t>（8）违反适用法律而被相关政府部门依法吊销营业执照、责令停业、清算或宣布破产、责令关闭的；</w:t>
      </w:r>
    </w:p>
    <w:p>
      <w:pPr>
        <w:spacing w:line="360" w:lineRule="auto"/>
        <w:ind w:firstLine="420" w:firstLineChars="200"/>
        <w:jc w:val="left"/>
        <w:rPr>
          <w:rFonts w:ascii="宋体" w:hAnsi="宋体" w:cs="Microsoft Sans Serif"/>
          <w:color w:val="auto"/>
          <w:kern w:val="0"/>
          <w:szCs w:val="21"/>
          <w:highlight w:val="none"/>
        </w:rPr>
      </w:pPr>
      <w:r>
        <w:rPr>
          <w:rFonts w:hint="eastAsia" w:ascii="宋体" w:hAnsi="宋体" w:cs="Microsoft Sans Serif"/>
          <w:color w:val="auto"/>
          <w:kern w:val="0"/>
          <w:szCs w:val="21"/>
          <w:highlight w:val="none"/>
        </w:rPr>
        <w:t>（9）承包人未履行合同项下的义务构成对合同的实质性违约，并且在收到发包人要求说明其违约并予以补救的通知后56天内仍未能补救该实质性违约的；</w:t>
      </w:r>
    </w:p>
    <w:p>
      <w:pPr>
        <w:pStyle w:val="11"/>
        <w:spacing w:line="360" w:lineRule="auto"/>
        <w:jc w:val="left"/>
        <w:rPr>
          <w:rFonts w:ascii="宋体" w:hAnsi="宋体" w:cs="Microsoft Sans Serif"/>
          <w:color w:val="auto"/>
          <w:kern w:val="0"/>
          <w:sz w:val="21"/>
          <w:szCs w:val="21"/>
          <w:highlight w:val="none"/>
        </w:rPr>
      </w:pPr>
      <w:r>
        <w:rPr>
          <w:rFonts w:hint="eastAsia" w:ascii="宋体" w:hAnsi="宋体" w:cs="Microsoft Sans Serif"/>
          <w:color w:val="auto"/>
          <w:kern w:val="0"/>
          <w:sz w:val="21"/>
          <w:szCs w:val="21"/>
          <w:highlight w:val="none"/>
        </w:rPr>
        <w:t>（10）合</w:t>
      </w:r>
      <w:r>
        <w:rPr>
          <w:rFonts w:hint="eastAsia" w:ascii="宋体" w:hAnsi="宋体" w:cs="Microsoft Sans Serif"/>
          <w:color w:val="auto"/>
          <w:kern w:val="0"/>
          <w:sz w:val="21"/>
          <w:szCs w:val="21"/>
          <w:highlight w:val="none"/>
          <w:u w:val="single"/>
        </w:rPr>
        <w:t>同约定的发包人有权解除合同的其他情形</w:t>
      </w:r>
      <w:r>
        <w:rPr>
          <w:rFonts w:hint="eastAsia" w:ascii="宋体" w:hAnsi="宋体" w:cs="Microsoft Sans Serif"/>
          <w:color w:val="auto"/>
          <w:kern w:val="0"/>
          <w:sz w:val="21"/>
          <w:szCs w:val="21"/>
          <w:highlight w:val="none"/>
        </w:rPr>
        <w:t>。</w:t>
      </w:r>
    </w:p>
    <w:p>
      <w:pPr>
        <w:spacing w:line="360" w:lineRule="auto"/>
        <w:ind w:firstLine="420" w:firstLineChars="200"/>
        <w:jc w:val="left"/>
        <w:rPr>
          <w:rFonts w:ascii="宋体" w:hAnsi="宋体" w:cs="Microsoft Sans Serif"/>
          <w:color w:val="auto"/>
          <w:kern w:val="0"/>
          <w:szCs w:val="21"/>
          <w:highlight w:val="none"/>
        </w:rPr>
      </w:pPr>
      <w:r>
        <w:rPr>
          <w:rFonts w:hint="eastAsia" w:ascii="宋体" w:hAnsi="宋体" w:cs="Microsoft Sans Serif"/>
          <w:color w:val="auto"/>
          <w:kern w:val="0"/>
          <w:szCs w:val="21"/>
          <w:highlight w:val="none"/>
        </w:rPr>
        <w:t>16.2.4因承包人违约解除合同后的处理</w:t>
      </w:r>
    </w:p>
    <w:p>
      <w:pPr>
        <w:spacing w:line="360" w:lineRule="auto"/>
        <w:ind w:firstLine="420" w:firstLineChars="200"/>
        <w:jc w:val="left"/>
        <w:rPr>
          <w:rFonts w:ascii="宋体" w:hAnsi="宋体" w:cs="Microsoft Sans Serif"/>
          <w:color w:val="auto"/>
          <w:kern w:val="0"/>
          <w:szCs w:val="21"/>
          <w:highlight w:val="none"/>
        </w:rPr>
      </w:pPr>
      <w:r>
        <w:rPr>
          <w:rFonts w:hint="eastAsia" w:ascii="宋体" w:hAnsi="宋体" w:cs="Microsoft Sans Serif"/>
          <w:color w:val="auto"/>
          <w:kern w:val="0"/>
          <w:szCs w:val="21"/>
          <w:highlight w:val="none"/>
        </w:rPr>
        <w:t>因承包人违约导致合同解除的，合同当事人应在合同解除后56天内完成估价、付款和清算，并按以下约定执行：</w:t>
      </w:r>
    </w:p>
    <w:p>
      <w:pPr>
        <w:spacing w:line="360" w:lineRule="auto"/>
        <w:ind w:firstLine="420" w:firstLineChars="200"/>
        <w:jc w:val="left"/>
        <w:rPr>
          <w:rFonts w:ascii="宋体" w:hAnsi="宋体" w:cs="Microsoft Sans Serif"/>
          <w:color w:val="auto"/>
          <w:kern w:val="0"/>
          <w:szCs w:val="21"/>
          <w:highlight w:val="none"/>
        </w:rPr>
      </w:pPr>
      <w:r>
        <w:rPr>
          <w:rFonts w:hint="eastAsia" w:ascii="宋体" w:hAnsi="宋体" w:cs="Microsoft Sans Serif"/>
          <w:color w:val="auto"/>
          <w:kern w:val="0"/>
          <w:szCs w:val="21"/>
          <w:highlight w:val="none"/>
        </w:rPr>
        <w:t>（1）合同解除后，按第14.2款结算审定方式确定承包人实际完成工作对应的合同价款，以及承包人已提供的材料、工程设备、施工设备和临时工程等的价值；</w:t>
      </w:r>
    </w:p>
    <w:p>
      <w:pPr>
        <w:spacing w:line="360" w:lineRule="auto"/>
        <w:ind w:firstLine="420" w:firstLineChars="200"/>
        <w:jc w:val="left"/>
        <w:rPr>
          <w:rFonts w:ascii="宋体" w:hAnsi="宋体" w:cs="Microsoft Sans Serif"/>
          <w:color w:val="auto"/>
          <w:kern w:val="0"/>
          <w:szCs w:val="21"/>
          <w:highlight w:val="none"/>
        </w:rPr>
      </w:pPr>
      <w:r>
        <w:rPr>
          <w:rFonts w:hint="eastAsia" w:ascii="宋体" w:hAnsi="宋体" w:cs="Microsoft Sans Serif"/>
          <w:color w:val="auto"/>
          <w:kern w:val="0"/>
          <w:szCs w:val="21"/>
          <w:highlight w:val="none"/>
        </w:rPr>
        <w:t>（2）合同解除后，承包人应支付违约金；</w:t>
      </w:r>
    </w:p>
    <w:p>
      <w:pPr>
        <w:spacing w:line="360" w:lineRule="auto"/>
        <w:ind w:firstLine="420" w:firstLineChars="200"/>
        <w:jc w:val="left"/>
        <w:rPr>
          <w:rFonts w:ascii="宋体" w:hAnsi="宋体" w:cs="Microsoft Sans Serif"/>
          <w:color w:val="auto"/>
          <w:kern w:val="0"/>
          <w:szCs w:val="21"/>
          <w:highlight w:val="none"/>
        </w:rPr>
      </w:pPr>
      <w:r>
        <w:rPr>
          <w:rFonts w:hint="eastAsia" w:ascii="宋体" w:hAnsi="宋体" w:cs="Microsoft Sans Serif"/>
          <w:color w:val="auto"/>
          <w:kern w:val="0"/>
          <w:szCs w:val="21"/>
          <w:highlight w:val="none"/>
        </w:rPr>
        <w:t>（3）合同解除后，赔偿因解除合同给发包人造成的损失；</w:t>
      </w:r>
    </w:p>
    <w:p>
      <w:pPr>
        <w:spacing w:line="360" w:lineRule="auto"/>
        <w:ind w:firstLine="420" w:firstLineChars="200"/>
        <w:jc w:val="left"/>
        <w:rPr>
          <w:rFonts w:ascii="宋体" w:hAnsi="宋体" w:cs="Microsoft Sans Serif"/>
          <w:color w:val="auto"/>
          <w:kern w:val="0"/>
          <w:szCs w:val="21"/>
          <w:highlight w:val="none"/>
        </w:rPr>
      </w:pPr>
      <w:r>
        <w:rPr>
          <w:rFonts w:hint="eastAsia" w:ascii="宋体" w:hAnsi="宋体" w:cs="Microsoft Sans Serif"/>
          <w:color w:val="auto"/>
          <w:kern w:val="0"/>
          <w:szCs w:val="21"/>
          <w:highlight w:val="none"/>
        </w:rPr>
        <w:t>（4）合同解除后，承包人应按照发包人要求和监理人的指示完成现场的清理和撤离。</w:t>
      </w:r>
    </w:p>
    <w:p>
      <w:pPr>
        <w:spacing w:line="360" w:lineRule="auto"/>
        <w:ind w:firstLine="420" w:firstLineChars="200"/>
        <w:jc w:val="left"/>
        <w:rPr>
          <w:rFonts w:ascii="宋体" w:hAnsi="宋体"/>
          <w:color w:val="auto"/>
          <w:szCs w:val="21"/>
          <w:highlight w:val="none"/>
        </w:rPr>
      </w:pPr>
      <w:r>
        <w:rPr>
          <w:rFonts w:hint="eastAsia" w:ascii="宋体" w:hAnsi="宋体" w:cs="Microsoft Sans Serif"/>
          <w:color w:val="auto"/>
          <w:kern w:val="0"/>
          <w:szCs w:val="21"/>
          <w:highlight w:val="none"/>
        </w:rPr>
        <w:t>（5）</w:t>
      </w:r>
      <w:r>
        <w:rPr>
          <w:rFonts w:hint="eastAsia" w:ascii="宋体" w:hAnsi="宋体" w:cs="Microsoft Sans Serif"/>
          <w:color w:val="auto"/>
          <w:kern w:val="0"/>
          <w:szCs w:val="21"/>
          <w:highlight w:val="none"/>
          <w:u w:val="single"/>
        </w:rPr>
        <w:t xml:space="preserve">        </w:t>
      </w:r>
      <w:r>
        <w:rPr>
          <w:rFonts w:hint="eastAsia" w:ascii="宋体" w:hAnsi="宋体" w:cs="Microsoft Sans Serif"/>
          <w:color w:val="auto"/>
          <w:kern w:val="0"/>
          <w:szCs w:val="21"/>
          <w:highlight w:val="none"/>
        </w:rPr>
        <w:t>。</w:t>
      </w:r>
    </w:p>
    <w:p>
      <w:pPr>
        <w:spacing w:line="360" w:lineRule="auto"/>
        <w:ind w:firstLine="420" w:firstLineChars="200"/>
        <w:jc w:val="left"/>
        <w:rPr>
          <w:rFonts w:ascii="宋体" w:hAnsi="宋体" w:cs="Microsoft Sans Serif"/>
          <w:color w:val="auto"/>
          <w:kern w:val="0"/>
          <w:szCs w:val="21"/>
          <w:highlight w:val="none"/>
        </w:rPr>
      </w:pPr>
      <w:r>
        <w:rPr>
          <w:rFonts w:hint="eastAsia" w:ascii="宋体" w:hAnsi="宋体" w:cs="Microsoft Sans Serif"/>
          <w:color w:val="auto"/>
          <w:kern w:val="0"/>
          <w:szCs w:val="21"/>
          <w:highlight w:val="none"/>
        </w:rPr>
        <w:t>因承包人违约导致解除合同的，发包人有权暂停对承包人的付款，查清各项付款和已扣款项。发包人和承包人未能就合同解除后的清算和款项支付达成一致的，按照第20条〔争议解决〕的约定处理。</w:t>
      </w:r>
    </w:p>
    <w:p>
      <w:pPr>
        <w:spacing w:line="360" w:lineRule="auto"/>
        <w:ind w:firstLine="420" w:firstLineChars="200"/>
        <w:jc w:val="left"/>
        <w:rPr>
          <w:rFonts w:ascii="宋体" w:hAnsi="宋体" w:cs="Microsoft Sans Serif"/>
          <w:color w:val="auto"/>
          <w:kern w:val="0"/>
          <w:szCs w:val="21"/>
          <w:highlight w:val="none"/>
        </w:rPr>
      </w:pPr>
      <w:r>
        <w:rPr>
          <w:rFonts w:hint="eastAsia" w:ascii="宋体" w:hAnsi="宋体" w:cs="Microsoft Sans Serif"/>
          <w:color w:val="auto"/>
          <w:kern w:val="0"/>
          <w:szCs w:val="21"/>
          <w:highlight w:val="none"/>
        </w:rPr>
        <w:t>合同解除后，发包人可派员进驻施工现场，另行组织人员或委托其他承包人继续完成合同工程；因继续完成工程的需要，发包人有权使用承包人在施工现场的材料、设备、临时工程、承包人文件和由承包人或以其名义编制的其他文件；发包人继续使用承包人在施工现场的材料、设备、临时工程、承包人文件和由承包人或以其名义编制的其他文件的费用承担方式由双方协商确定；发包人继续使用的行为不免除或减轻承包人应承担的违约责任，也不影响发包人根据合同享有的索赔等权利。</w:t>
      </w:r>
    </w:p>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1268"/>
    <w:bookmarkEnd w:id="1269"/>
    <w:p>
      <w:pPr>
        <w:pStyle w:val="5"/>
        <w:keepNext/>
        <w:keepLines/>
        <w:spacing w:before="156" w:beforeLines="50" w:beforeAutospacing="0" w:after="156" w:afterLines="50" w:afterAutospacing="0" w:line="360" w:lineRule="auto"/>
        <w:jc w:val="both"/>
        <w:rPr>
          <w:bCs w:val="0"/>
          <w:color w:val="auto"/>
          <w:kern w:val="2"/>
          <w:sz w:val="21"/>
          <w:szCs w:val="21"/>
          <w:highlight w:val="none"/>
        </w:rPr>
      </w:pPr>
      <w:bookmarkStart w:id="1282" w:name="_Toc532377404"/>
      <w:bookmarkStart w:id="1283" w:name="_Toc351203649"/>
      <w:bookmarkStart w:id="1284" w:name="_Toc532375665"/>
      <w:bookmarkStart w:id="1285" w:name="_Hlk528928440"/>
      <w:r>
        <w:rPr>
          <w:rFonts w:hint="eastAsia"/>
          <w:color w:val="auto"/>
          <w:kern w:val="2"/>
          <w:sz w:val="21"/>
          <w:szCs w:val="21"/>
          <w:highlight w:val="none"/>
        </w:rPr>
        <w:t>17. 不可抗力</w:t>
      </w:r>
      <w:bookmarkEnd w:id="1282"/>
      <w:bookmarkEnd w:id="1283"/>
      <w:bookmarkEnd w:id="1284"/>
    </w:p>
    <w:p>
      <w:pPr>
        <w:pStyle w:val="6"/>
        <w:spacing w:before="0" w:beforeAutospacing="0" w:after="0" w:afterAutospacing="0" w:line="360" w:lineRule="auto"/>
        <w:ind w:firstLine="422" w:firstLineChars="200"/>
        <w:rPr>
          <w:color w:val="auto"/>
          <w:sz w:val="21"/>
          <w:szCs w:val="21"/>
          <w:highlight w:val="none"/>
        </w:rPr>
      </w:pPr>
      <w:bookmarkStart w:id="1286" w:name="_Toc532375666"/>
      <w:bookmarkStart w:id="1287" w:name="_Toc532377405"/>
      <w:r>
        <w:rPr>
          <w:rFonts w:hint="eastAsia"/>
          <w:color w:val="auto"/>
          <w:sz w:val="21"/>
          <w:szCs w:val="21"/>
          <w:highlight w:val="none"/>
        </w:rPr>
        <w:t>17.1 不可抗力的确认</w:t>
      </w:r>
      <w:bookmarkEnd w:id="1286"/>
      <w:bookmarkEnd w:id="1287"/>
    </w:p>
    <w:p>
      <w:pPr>
        <w:spacing w:line="360" w:lineRule="auto"/>
        <w:ind w:right="105" w:rightChars="50" w:firstLine="420" w:firstLineChars="200"/>
        <w:jc w:val="left"/>
        <w:rPr>
          <w:rFonts w:ascii="宋体" w:hAnsi="宋体"/>
          <w:color w:val="auto"/>
          <w:szCs w:val="21"/>
          <w:highlight w:val="none"/>
        </w:rPr>
      </w:pPr>
      <w:r>
        <w:rPr>
          <w:rFonts w:hint="eastAsia" w:ascii="宋体" w:hAnsi="宋体"/>
          <w:color w:val="auto"/>
          <w:szCs w:val="21"/>
          <w:highlight w:val="none"/>
        </w:rPr>
        <w:t>除通用合同条款约定的不可抗力事件之外，视为不可抗力的其他情形：</w:t>
      </w:r>
      <w:bookmarkStart w:id="1288" w:name="_Hlk524379638"/>
    </w:p>
    <w:p>
      <w:pPr>
        <w:spacing w:line="360" w:lineRule="auto"/>
        <w:ind w:right="105" w:rightChars="50" w:firstLine="420" w:firstLineChars="200"/>
        <w:jc w:val="left"/>
        <w:rPr>
          <w:rFonts w:ascii="宋体" w:hAnsi="宋体"/>
          <w:color w:val="auto"/>
          <w:szCs w:val="21"/>
          <w:highlight w:val="none"/>
        </w:rPr>
      </w:pPr>
      <w:r>
        <w:rPr>
          <w:rFonts w:hint="eastAsia" w:ascii="宋体" w:hAnsi="宋体"/>
          <w:color w:val="auto"/>
          <w:szCs w:val="21"/>
          <w:highlight w:val="none"/>
        </w:rPr>
        <w:t>（1）洪水、火山爆发、山崩、山体滑坡、泥石流、龙卷风、隧道内不可预测的突发性地质灾害等自然灾害；</w:t>
      </w:r>
    </w:p>
    <w:p>
      <w:pPr>
        <w:spacing w:line="360" w:lineRule="auto"/>
        <w:ind w:right="105" w:rightChars="50" w:firstLine="420" w:firstLineChars="200"/>
        <w:jc w:val="left"/>
        <w:rPr>
          <w:rFonts w:ascii="宋体" w:hAnsi="宋体"/>
          <w:color w:val="auto"/>
          <w:szCs w:val="21"/>
          <w:highlight w:val="none"/>
        </w:rPr>
      </w:pPr>
      <w:r>
        <w:rPr>
          <w:rFonts w:hint="eastAsia" w:ascii="宋体" w:hAnsi="宋体"/>
          <w:color w:val="auto"/>
          <w:szCs w:val="21"/>
          <w:highlight w:val="none"/>
        </w:rPr>
        <w:t>（2）骚乱、戒严、封锁、禁运、恐怖行为、等社会行为，但承包人或其分包人派遣与雇佣的人员由于合同工程施工原因引起的除外；</w:t>
      </w:r>
    </w:p>
    <w:p>
      <w:pPr>
        <w:spacing w:line="360" w:lineRule="auto"/>
        <w:ind w:right="105" w:rightChars="50" w:firstLine="420" w:firstLineChars="200"/>
        <w:jc w:val="left"/>
        <w:rPr>
          <w:rFonts w:ascii="宋体" w:hAnsi="宋体"/>
          <w:color w:val="auto"/>
          <w:szCs w:val="21"/>
          <w:highlight w:val="none"/>
        </w:rPr>
      </w:pPr>
      <w:r>
        <w:rPr>
          <w:rFonts w:hint="eastAsia" w:ascii="宋体" w:hAnsi="宋体"/>
          <w:color w:val="auto"/>
          <w:szCs w:val="21"/>
          <w:highlight w:val="none"/>
        </w:rPr>
        <w:t>（3）不能合理预见的重大交通阻滞、停运、交通事故，非双方责任引起的火灾、爆炸、船舶撞击等情形；</w:t>
      </w:r>
    </w:p>
    <w:p>
      <w:pPr>
        <w:spacing w:line="360" w:lineRule="auto"/>
        <w:ind w:right="105" w:rightChars="50" w:firstLine="420" w:firstLineChars="200"/>
        <w:jc w:val="left"/>
        <w:rPr>
          <w:rFonts w:ascii="宋体" w:hAnsi="宋体"/>
          <w:color w:val="auto"/>
          <w:szCs w:val="21"/>
          <w:highlight w:val="none"/>
        </w:rPr>
      </w:pPr>
      <w:r>
        <w:rPr>
          <w:rFonts w:hint="eastAsia" w:ascii="宋体" w:hAnsi="宋体"/>
          <w:color w:val="auto"/>
          <w:szCs w:val="21"/>
          <w:highlight w:val="none"/>
        </w:rPr>
        <w:t>（4）化学或放射性污染或核辐射；</w:t>
      </w:r>
    </w:p>
    <w:p>
      <w:pPr>
        <w:spacing w:line="360" w:lineRule="auto"/>
        <w:ind w:right="105" w:rightChars="50" w:firstLine="420" w:firstLineChars="200"/>
        <w:jc w:val="left"/>
        <w:rPr>
          <w:rFonts w:ascii="宋体" w:hAnsi="宋体"/>
          <w:color w:val="auto"/>
          <w:szCs w:val="21"/>
          <w:highlight w:val="none"/>
        </w:rPr>
      </w:pPr>
      <w:r>
        <w:rPr>
          <w:rFonts w:hint="eastAsia" w:ascii="宋体" w:hAnsi="宋体"/>
          <w:color w:val="auto"/>
          <w:szCs w:val="21"/>
          <w:highlight w:val="none"/>
        </w:rPr>
        <w:t>（5）环保治理等政府行为导致项目停工的。</w:t>
      </w:r>
      <w:bookmarkEnd w:id="1288"/>
    </w:p>
    <w:p>
      <w:pPr>
        <w:spacing w:line="360" w:lineRule="auto"/>
        <w:ind w:right="105" w:rightChars="50" w:firstLine="420" w:firstLineChars="200"/>
        <w:jc w:val="left"/>
        <w:rPr>
          <w:rFonts w:ascii="宋体" w:hAnsi="宋体"/>
          <w:color w:val="auto"/>
          <w:szCs w:val="21"/>
          <w:highlight w:val="none"/>
        </w:rPr>
      </w:pPr>
      <w:r>
        <w:rPr>
          <w:rFonts w:hint="eastAsia" w:ascii="宋体" w:hAnsi="宋体"/>
          <w:color w:val="auto"/>
          <w:szCs w:val="21"/>
          <w:highlight w:val="none"/>
        </w:rPr>
        <w:t>（6）</w:t>
      </w:r>
      <w:r>
        <w:rPr>
          <w:rFonts w:hint="eastAsia" w:ascii="宋体" w:hAnsi="宋体"/>
          <w:color w:val="auto"/>
          <w:szCs w:val="21"/>
          <w:highlight w:val="none"/>
          <w:u w:val="single"/>
        </w:rPr>
        <w:t xml:space="preserve">        </w:t>
      </w:r>
      <w:r>
        <w:rPr>
          <w:rFonts w:hint="eastAsia" w:ascii="宋体" w:hAnsi="宋体"/>
          <w:color w:val="auto"/>
          <w:szCs w:val="21"/>
          <w:highlight w:val="none"/>
        </w:rPr>
        <w:t>。</w:t>
      </w:r>
    </w:p>
    <w:p>
      <w:pPr>
        <w:pStyle w:val="6"/>
        <w:spacing w:before="0" w:beforeAutospacing="0" w:after="0" w:afterAutospacing="0" w:line="360" w:lineRule="auto"/>
        <w:ind w:firstLine="422" w:firstLineChars="200"/>
        <w:rPr>
          <w:color w:val="auto"/>
          <w:sz w:val="21"/>
          <w:szCs w:val="21"/>
          <w:highlight w:val="none"/>
        </w:rPr>
      </w:pPr>
      <w:bookmarkStart w:id="1289" w:name="_Toc532375667"/>
      <w:bookmarkStart w:id="1290" w:name="_Toc351203610"/>
      <w:bookmarkStart w:id="1291" w:name="_Toc532377406"/>
      <w:bookmarkStart w:id="1292" w:name="_Toc337558826"/>
      <w:bookmarkStart w:id="1293" w:name="_Toc296503119"/>
      <w:bookmarkStart w:id="1294" w:name="_Toc296346620"/>
      <w:r>
        <w:rPr>
          <w:rFonts w:hint="eastAsia"/>
          <w:color w:val="auto"/>
          <w:sz w:val="21"/>
          <w:szCs w:val="21"/>
          <w:highlight w:val="none"/>
        </w:rPr>
        <w:t>17.3 不可抗力后果的承担</w:t>
      </w:r>
      <w:bookmarkEnd w:id="1289"/>
      <w:bookmarkEnd w:id="1290"/>
      <w:bookmarkEnd w:id="1291"/>
    </w:p>
    <w:bookmarkEnd w:id="1292"/>
    <w:bookmarkEnd w:id="1293"/>
    <w:bookmarkEnd w:id="1294"/>
    <w:p>
      <w:pPr>
        <w:spacing w:line="360" w:lineRule="auto"/>
        <w:ind w:right="105" w:rightChars="50" w:firstLine="420" w:firstLineChars="200"/>
        <w:jc w:val="left"/>
        <w:rPr>
          <w:rFonts w:ascii="宋体" w:hAnsi="宋体"/>
          <w:color w:val="auto"/>
          <w:szCs w:val="21"/>
          <w:highlight w:val="none"/>
        </w:rPr>
      </w:pPr>
      <w:r>
        <w:rPr>
          <w:rFonts w:hint="eastAsia" w:ascii="宋体" w:hAnsi="宋体"/>
          <w:color w:val="auto"/>
          <w:szCs w:val="21"/>
          <w:highlight w:val="none"/>
        </w:rPr>
        <w:t>17.3.1 不可抗力引起的后果及造成的损失由合同当事人按照法律规定及合同约定各自承担。不可抗力发生前已完成的工程应当按照合同约定进行计量支付。</w:t>
      </w:r>
    </w:p>
    <w:p>
      <w:pPr>
        <w:spacing w:line="360" w:lineRule="auto"/>
        <w:ind w:right="105" w:rightChars="50" w:firstLine="420" w:firstLineChars="200"/>
        <w:jc w:val="left"/>
        <w:rPr>
          <w:rFonts w:ascii="宋体" w:hAnsi="宋体"/>
          <w:color w:val="auto"/>
          <w:szCs w:val="21"/>
          <w:highlight w:val="none"/>
        </w:rPr>
      </w:pPr>
      <w:r>
        <w:rPr>
          <w:rFonts w:hint="eastAsia" w:ascii="宋体" w:hAnsi="宋体"/>
          <w:color w:val="auto"/>
          <w:szCs w:val="21"/>
          <w:highlight w:val="none"/>
        </w:rPr>
        <w:t>17.3.2 不可抗力导致的人员伤亡、财产损失、费用增加和（或）工期延误等后果，由合同当事人按以下原则承担：</w:t>
      </w:r>
    </w:p>
    <w:p>
      <w:pPr>
        <w:spacing w:line="360" w:lineRule="auto"/>
        <w:ind w:right="105" w:rightChars="50" w:firstLine="420" w:firstLineChars="200"/>
        <w:jc w:val="left"/>
        <w:rPr>
          <w:rFonts w:ascii="宋体" w:hAnsi="宋体"/>
          <w:color w:val="auto"/>
          <w:szCs w:val="21"/>
          <w:highlight w:val="none"/>
        </w:rPr>
      </w:pPr>
      <w:r>
        <w:rPr>
          <w:rFonts w:hint="eastAsia" w:ascii="宋体" w:hAnsi="宋体"/>
          <w:color w:val="auto"/>
          <w:szCs w:val="21"/>
          <w:highlight w:val="none"/>
        </w:rPr>
        <w:t>（1）永久工程、已运至施工现场的施工材料和工程设备的损坏，以及因工程损坏造成的第三方人员伤亡和财产损失由发包人承担；</w:t>
      </w:r>
    </w:p>
    <w:p>
      <w:pPr>
        <w:spacing w:line="360" w:lineRule="auto"/>
        <w:ind w:right="105" w:rightChars="50" w:firstLine="420" w:firstLineChars="200"/>
        <w:jc w:val="left"/>
        <w:rPr>
          <w:rFonts w:ascii="宋体" w:hAnsi="宋体"/>
          <w:color w:val="auto"/>
          <w:szCs w:val="21"/>
          <w:highlight w:val="none"/>
        </w:rPr>
      </w:pPr>
      <w:r>
        <w:rPr>
          <w:rFonts w:hint="eastAsia" w:ascii="宋体" w:hAnsi="宋体"/>
          <w:color w:val="auto"/>
          <w:szCs w:val="21"/>
          <w:highlight w:val="none"/>
        </w:rPr>
        <w:t>（2）承包人施工设备的损坏由承包人承担；</w:t>
      </w:r>
    </w:p>
    <w:p>
      <w:pPr>
        <w:spacing w:line="360" w:lineRule="auto"/>
        <w:ind w:right="105" w:rightChars="50" w:firstLine="420" w:firstLineChars="200"/>
        <w:jc w:val="left"/>
        <w:rPr>
          <w:rFonts w:ascii="宋体" w:hAnsi="宋体"/>
          <w:color w:val="auto"/>
          <w:szCs w:val="21"/>
          <w:highlight w:val="none"/>
        </w:rPr>
      </w:pPr>
      <w:r>
        <w:rPr>
          <w:rFonts w:hint="eastAsia" w:ascii="宋体" w:hAnsi="宋体"/>
          <w:color w:val="auto"/>
          <w:szCs w:val="21"/>
          <w:highlight w:val="none"/>
        </w:rPr>
        <w:t>（3）发包人和承包人承担各自人员伤亡和财产的损失；</w:t>
      </w:r>
    </w:p>
    <w:p>
      <w:pPr>
        <w:spacing w:line="360" w:lineRule="auto"/>
        <w:ind w:right="105" w:rightChars="50" w:firstLine="420" w:firstLineChars="200"/>
        <w:jc w:val="left"/>
        <w:rPr>
          <w:rFonts w:ascii="宋体" w:hAnsi="宋体"/>
          <w:color w:val="auto"/>
          <w:szCs w:val="21"/>
          <w:highlight w:val="none"/>
        </w:rPr>
      </w:pPr>
      <w:r>
        <w:rPr>
          <w:rFonts w:hint="eastAsia" w:ascii="宋体" w:hAnsi="宋体"/>
          <w:color w:val="auto"/>
          <w:szCs w:val="21"/>
          <w:highlight w:val="none"/>
        </w:rPr>
        <w:t>（4）因不可抗力影响承包人履行合同约定的义务，已经引起或将引起工期延误的，应当顺延工期，由此导致承包人停工的费用损失由发包人和承包人合理共担；</w:t>
      </w:r>
    </w:p>
    <w:p>
      <w:pPr>
        <w:spacing w:line="360" w:lineRule="auto"/>
        <w:ind w:right="105" w:rightChars="50" w:firstLine="420" w:firstLineChars="200"/>
        <w:jc w:val="left"/>
        <w:rPr>
          <w:rFonts w:ascii="宋体" w:hAnsi="宋体"/>
          <w:color w:val="auto"/>
          <w:szCs w:val="21"/>
          <w:highlight w:val="none"/>
        </w:rPr>
      </w:pPr>
      <w:r>
        <w:rPr>
          <w:rFonts w:hint="eastAsia" w:ascii="宋体" w:hAnsi="宋体"/>
          <w:color w:val="auto"/>
          <w:szCs w:val="21"/>
          <w:highlight w:val="none"/>
        </w:rPr>
        <w:t>（5）因不可抗力引起或将引起工期延误，发包人要求赶工的，由此增加的赶工费用由发包人承担；</w:t>
      </w:r>
    </w:p>
    <w:p>
      <w:pPr>
        <w:spacing w:line="360" w:lineRule="auto"/>
        <w:ind w:right="105" w:rightChars="50" w:firstLine="420" w:firstLineChars="200"/>
        <w:jc w:val="left"/>
        <w:rPr>
          <w:rFonts w:ascii="宋体" w:hAnsi="宋体"/>
          <w:color w:val="auto"/>
          <w:szCs w:val="21"/>
          <w:highlight w:val="none"/>
        </w:rPr>
      </w:pPr>
      <w:r>
        <w:rPr>
          <w:rFonts w:hint="eastAsia" w:ascii="宋体" w:hAnsi="宋体"/>
          <w:color w:val="auto"/>
          <w:szCs w:val="21"/>
          <w:highlight w:val="none"/>
        </w:rPr>
        <w:t>（6）承包人在停工期间按照发包人要求照管、清理和修复工程的费用由发包人承担；</w:t>
      </w:r>
    </w:p>
    <w:p>
      <w:pPr>
        <w:spacing w:line="360" w:lineRule="auto"/>
        <w:ind w:right="105" w:rightChars="50" w:firstLine="420" w:firstLineChars="200"/>
        <w:jc w:val="left"/>
        <w:rPr>
          <w:rFonts w:ascii="宋体" w:hAnsi="宋体"/>
          <w:color w:val="auto"/>
          <w:szCs w:val="21"/>
          <w:highlight w:val="none"/>
        </w:rPr>
      </w:pPr>
      <w:r>
        <w:rPr>
          <w:rFonts w:hint="eastAsia" w:ascii="宋体" w:hAnsi="宋体"/>
          <w:color w:val="auto"/>
          <w:szCs w:val="21"/>
          <w:highlight w:val="none"/>
        </w:rPr>
        <w:t>（7）不可抗力事件发生后，合同当事人均应采取措施尽量避免和减少损失的扩大，任何一方当事人没有采取有效措施导致损失扩大的，应对扩大的损失承担责任。</w:t>
      </w:r>
    </w:p>
    <w:p>
      <w:pPr>
        <w:spacing w:line="360" w:lineRule="auto"/>
        <w:ind w:right="105" w:rightChars="50" w:firstLine="420" w:firstLineChars="200"/>
        <w:jc w:val="left"/>
        <w:rPr>
          <w:rFonts w:ascii="宋体" w:hAnsi="宋体"/>
          <w:color w:val="auto"/>
          <w:szCs w:val="21"/>
          <w:highlight w:val="none"/>
        </w:rPr>
      </w:pPr>
      <w:r>
        <w:rPr>
          <w:rFonts w:hint="eastAsia" w:ascii="宋体" w:hAnsi="宋体"/>
          <w:color w:val="auto"/>
          <w:szCs w:val="21"/>
          <w:highlight w:val="none"/>
        </w:rPr>
        <w:t>（8）</w:t>
      </w:r>
      <w:r>
        <w:rPr>
          <w:rFonts w:hint="eastAsia" w:ascii="宋体" w:hAnsi="宋体"/>
          <w:color w:val="auto"/>
          <w:szCs w:val="21"/>
          <w:highlight w:val="none"/>
          <w:u w:val="single"/>
        </w:rPr>
        <w:t xml:space="preserve">        </w:t>
      </w:r>
      <w:r>
        <w:rPr>
          <w:rFonts w:hint="eastAsia" w:ascii="宋体" w:hAnsi="宋体"/>
          <w:color w:val="auto"/>
          <w:szCs w:val="21"/>
          <w:highlight w:val="none"/>
        </w:rPr>
        <w:t>。</w:t>
      </w:r>
    </w:p>
    <w:p>
      <w:pPr>
        <w:pStyle w:val="6"/>
        <w:spacing w:before="0" w:beforeAutospacing="0" w:after="0" w:afterAutospacing="0" w:line="360" w:lineRule="auto"/>
        <w:ind w:firstLine="422" w:firstLineChars="200"/>
        <w:rPr>
          <w:color w:val="auto"/>
          <w:sz w:val="21"/>
          <w:szCs w:val="21"/>
          <w:highlight w:val="none"/>
        </w:rPr>
      </w:pPr>
      <w:bookmarkStart w:id="1295" w:name="_Toc532375668"/>
      <w:bookmarkStart w:id="1296" w:name="_Toc532377407"/>
      <w:r>
        <w:rPr>
          <w:rFonts w:hint="eastAsia"/>
          <w:color w:val="auto"/>
          <w:sz w:val="21"/>
          <w:szCs w:val="21"/>
          <w:highlight w:val="none"/>
        </w:rPr>
        <w:t>17.4 因不可抗力解除合同</w:t>
      </w:r>
      <w:bookmarkEnd w:id="1295"/>
      <w:bookmarkEnd w:id="1296"/>
    </w:p>
    <w:p>
      <w:pPr>
        <w:spacing w:line="360" w:lineRule="auto"/>
        <w:ind w:right="105" w:rightChars="50" w:firstLine="420" w:firstLineChars="200"/>
        <w:jc w:val="left"/>
        <w:rPr>
          <w:rFonts w:ascii="宋体" w:hAnsi="宋体"/>
          <w:color w:val="auto"/>
          <w:szCs w:val="21"/>
          <w:highlight w:val="none"/>
        </w:rPr>
      </w:pPr>
      <w:r>
        <w:rPr>
          <w:rFonts w:hint="eastAsia" w:ascii="宋体" w:hAnsi="宋体"/>
          <w:color w:val="auto"/>
          <w:szCs w:val="21"/>
          <w:highlight w:val="none"/>
        </w:rPr>
        <w:t>合同解除后，发包人应在商定或确定发包人应支付款项后</w:t>
      </w:r>
      <w:r>
        <w:rPr>
          <w:rFonts w:hint="eastAsia" w:ascii="宋体" w:hAnsi="宋体"/>
          <w:color w:val="auto"/>
          <w:szCs w:val="21"/>
          <w:highlight w:val="none"/>
          <w:u w:val="single"/>
        </w:rPr>
        <w:t>28</w:t>
      </w:r>
      <w:r>
        <w:rPr>
          <w:rFonts w:hint="eastAsia" w:ascii="宋体" w:hAnsi="宋体"/>
          <w:color w:val="auto"/>
          <w:szCs w:val="21"/>
          <w:highlight w:val="none"/>
        </w:rPr>
        <w:t>天内完成款项的支付。</w:t>
      </w:r>
    </w:p>
    <w:p>
      <w:pPr>
        <w:pStyle w:val="5"/>
        <w:keepNext/>
        <w:keepLines/>
        <w:spacing w:before="156" w:beforeLines="50" w:beforeAutospacing="0" w:after="156" w:afterLines="50" w:afterAutospacing="0" w:line="360" w:lineRule="auto"/>
        <w:jc w:val="both"/>
        <w:rPr>
          <w:bCs w:val="0"/>
          <w:color w:val="auto"/>
          <w:kern w:val="2"/>
          <w:sz w:val="21"/>
          <w:szCs w:val="21"/>
          <w:highlight w:val="none"/>
        </w:rPr>
      </w:pPr>
      <w:bookmarkStart w:id="1297" w:name="_Toc532375669"/>
      <w:bookmarkStart w:id="1298" w:name="_Toc532377408"/>
      <w:bookmarkStart w:id="1299" w:name="_Toc351203650"/>
      <w:r>
        <w:rPr>
          <w:rFonts w:hint="eastAsia"/>
          <w:color w:val="auto"/>
          <w:kern w:val="2"/>
          <w:sz w:val="21"/>
          <w:szCs w:val="21"/>
          <w:highlight w:val="none"/>
        </w:rPr>
        <w:t>18. 保险</w:t>
      </w:r>
      <w:bookmarkEnd w:id="1297"/>
      <w:bookmarkEnd w:id="1298"/>
      <w:bookmarkEnd w:id="1299"/>
    </w:p>
    <w:p>
      <w:pPr>
        <w:pStyle w:val="6"/>
        <w:spacing w:before="0" w:beforeAutospacing="0" w:after="0" w:afterAutospacing="0" w:line="360" w:lineRule="auto"/>
        <w:ind w:firstLine="422" w:firstLineChars="200"/>
        <w:rPr>
          <w:color w:val="auto"/>
          <w:sz w:val="21"/>
          <w:szCs w:val="21"/>
          <w:highlight w:val="none"/>
        </w:rPr>
      </w:pPr>
      <w:bookmarkStart w:id="1300" w:name="_Toc532375670"/>
      <w:bookmarkStart w:id="1301" w:name="_Toc532377409"/>
      <w:r>
        <w:rPr>
          <w:rFonts w:hint="eastAsia"/>
          <w:color w:val="auto"/>
          <w:sz w:val="21"/>
          <w:szCs w:val="21"/>
          <w:highlight w:val="none"/>
        </w:rPr>
        <w:t>18.1 工程保险</w:t>
      </w:r>
      <w:bookmarkEnd w:id="1300"/>
      <w:bookmarkEnd w:id="1301"/>
    </w:p>
    <w:p>
      <w:pPr>
        <w:spacing w:line="360" w:lineRule="auto"/>
        <w:ind w:right="105" w:rightChars="50" w:firstLine="420" w:firstLineChars="200"/>
        <w:jc w:val="left"/>
        <w:rPr>
          <w:rFonts w:ascii="宋体" w:hAnsi="宋体"/>
          <w:color w:val="auto"/>
          <w:szCs w:val="21"/>
          <w:highlight w:val="none"/>
        </w:rPr>
      </w:pPr>
      <w:r>
        <w:rPr>
          <w:rFonts w:hint="eastAsia" w:ascii="宋体" w:hAnsi="宋体"/>
          <w:color w:val="auto"/>
          <w:szCs w:val="21"/>
          <w:highlight w:val="none"/>
        </w:rPr>
        <w:t>关于工程保险的特别约定：发包人应投保</w:t>
      </w:r>
      <w:r>
        <w:rPr>
          <w:rFonts w:hint="eastAsia" w:ascii="宋体" w:hAnsi="宋体"/>
          <w:color w:val="auto"/>
          <w:szCs w:val="21"/>
          <w:highlight w:val="none"/>
          <w:u w:val="single"/>
        </w:rPr>
        <w:t>建筑工程一切险或安装工程一切险</w:t>
      </w:r>
      <w:r>
        <w:rPr>
          <w:rFonts w:hint="eastAsia" w:ascii="宋体" w:hAnsi="宋体"/>
          <w:color w:val="auto"/>
          <w:szCs w:val="21"/>
          <w:highlight w:val="none"/>
        </w:rPr>
        <w:t>；发包人委托承包人投保的，因投保产生的保险费和其他相关费用由发包人承担。</w:t>
      </w:r>
    </w:p>
    <w:p>
      <w:pPr>
        <w:pStyle w:val="6"/>
        <w:spacing w:before="0" w:beforeAutospacing="0" w:after="0" w:afterAutospacing="0" w:line="360" w:lineRule="auto"/>
        <w:ind w:firstLine="422" w:firstLineChars="200"/>
        <w:rPr>
          <w:color w:val="auto"/>
          <w:sz w:val="21"/>
          <w:szCs w:val="21"/>
          <w:highlight w:val="none"/>
        </w:rPr>
      </w:pPr>
      <w:bookmarkStart w:id="1302" w:name="_Toc532375671"/>
      <w:bookmarkStart w:id="1303" w:name="_Toc532377410"/>
      <w:r>
        <w:rPr>
          <w:rFonts w:hint="eastAsia"/>
          <w:color w:val="auto"/>
          <w:sz w:val="21"/>
          <w:szCs w:val="21"/>
          <w:highlight w:val="none"/>
        </w:rPr>
        <w:t>18.3 其他保险</w:t>
      </w:r>
      <w:bookmarkEnd w:id="1302"/>
      <w:bookmarkEnd w:id="1303"/>
    </w:p>
    <w:p>
      <w:pPr>
        <w:spacing w:line="360" w:lineRule="auto"/>
        <w:ind w:right="105" w:rightChars="50" w:firstLine="420" w:firstLineChars="200"/>
        <w:jc w:val="left"/>
        <w:rPr>
          <w:rFonts w:ascii="宋体" w:hAnsi="宋体"/>
          <w:color w:val="auto"/>
          <w:szCs w:val="21"/>
          <w:highlight w:val="none"/>
        </w:rPr>
      </w:pPr>
      <w:r>
        <w:rPr>
          <w:rFonts w:hint="eastAsia" w:ascii="宋体" w:hAnsi="宋体"/>
          <w:color w:val="auto"/>
          <w:szCs w:val="21"/>
          <w:highlight w:val="none"/>
        </w:rPr>
        <w:t>关于其他保险的约定：</w:t>
      </w:r>
      <w:r>
        <w:rPr>
          <w:rFonts w:hint="eastAsia" w:ascii="宋体" w:hAnsi="宋体"/>
          <w:color w:val="auto"/>
          <w:szCs w:val="21"/>
          <w:highlight w:val="none"/>
          <w:u w:val="single"/>
        </w:rPr>
        <w:t xml:space="preserve">    /    </w:t>
      </w:r>
      <w:r>
        <w:rPr>
          <w:rFonts w:hint="eastAsia" w:ascii="宋体" w:hAnsi="宋体"/>
          <w:color w:val="auto"/>
          <w:szCs w:val="21"/>
          <w:highlight w:val="none"/>
        </w:rPr>
        <w:t>。</w:t>
      </w:r>
    </w:p>
    <w:p>
      <w:pPr>
        <w:spacing w:line="360" w:lineRule="auto"/>
        <w:ind w:right="105" w:rightChars="50" w:firstLine="420" w:firstLineChars="200"/>
        <w:jc w:val="left"/>
        <w:rPr>
          <w:rFonts w:ascii="宋体" w:hAnsi="宋体"/>
          <w:color w:val="auto"/>
          <w:szCs w:val="21"/>
          <w:highlight w:val="none"/>
        </w:rPr>
      </w:pPr>
      <w:r>
        <w:rPr>
          <w:rFonts w:hint="eastAsia" w:ascii="宋体" w:hAnsi="宋体"/>
          <w:color w:val="auto"/>
          <w:szCs w:val="21"/>
          <w:highlight w:val="none"/>
        </w:rPr>
        <w:t>承包人是否应为其施工设备等办理财产保险：</w:t>
      </w:r>
      <w:r>
        <w:rPr>
          <w:rFonts w:hint="eastAsia" w:ascii="宋体" w:hAnsi="宋体"/>
          <w:color w:val="auto"/>
          <w:szCs w:val="21"/>
          <w:highlight w:val="none"/>
          <w:u w:val="single"/>
        </w:rPr>
        <w:t xml:space="preserve">    /    </w:t>
      </w:r>
      <w:r>
        <w:rPr>
          <w:rFonts w:hint="eastAsia" w:ascii="宋体" w:hAnsi="宋体"/>
          <w:color w:val="auto"/>
          <w:szCs w:val="21"/>
          <w:highlight w:val="none"/>
        </w:rPr>
        <w:t>。</w:t>
      </w:r>
    </w:p>
    <w:p>
      <w:pPr>
        <w:spacing w:line="360" w:lineRule="auto"/>
        <w:ind w:right="105" w:rightChars="50" w:firstLine="420" w:firstLineChars="200"/>
        <w:jc w:val="left"/>
        <w:rPr>
          <w:rFonts w:ascii="宋体" w:hAnsi="宋体"/>
          <w:color w:val="auto"/>
          <w:szCs w:val="21"/>
          <w:highlight w:val="none"/>
        </w:rPr>
      </w:pPr>
      <w:r>
        <w:rPr>
          <w:rFonts w:hint="eastAsia" w:ascii="宋体" w:hAnsi="宋体"/>
          <w:color w:val="auto"/>
          <w:szCs w:val="21"/>
          <w:highlight w:val="none"/>
        </w:rPr>
        <w:t>安全生产责任险：</w:t>
      </w:r>
      <w:r>
        <w:rPr>
          <w:rFonts w:hint="eastAsia" w:ascii="宋体" w:hAnsi="宋体"/>
          <w:color w:val="auto"/>
          <w:szCs w:val="21"/>
          <w:highlight w:val="none"/>
          <w:u w:val="single"/>
        </w:rPr>
        <w:t>承包人应按《重庆市人民政府办公厅关于在高危行业领域强制推行安全生产责任保险的实施意见》（渝府办法〔2017〕182号）的要求办理安全生产责任保险</w:t>
      </w:r>
      <w:r>
        <w:rPr>
          <w:rFonts w:hint="eastAsia" w:ascii="宋体" w:hAnsi="宋体"/>
          <w:color w:val="auto"/>
          <w:szCs w:val="21"/>
          <w:highlight w:val="none"/>
        </w:rPr>
        <w:t>。</w:t>
      </w:r>
    </w:p>
    <w:p>
      <w:pPr>
        <w:pStyle w:val="6"/>
        <w:spacing w:before="0" w:beforeAutospacing="0" w:after="0" w:afterAutospacing="0" w:line="360" w:lineRule="auto"/>
        <w:ind w:firstLine="422" w:firstLineChars="200"/>
        <w:rPr>
          <w:color w:val="auto"/>
          <w:sz w:val="21"/>
          <w:szCs w:val="21"/>
          <w:highlight w:val="none"/>
        </w:rPr>
      </w:pPr>
      <w:bookmarkStart w:id="1304" w:name="_Toc532375672"/>
      <w:bookmarkStart w:id="1305" w:name="_Toc532377411"/>
      <w:r>
        <w:rPr>
          <w:rFonts w:hint="eastAsia"/>
          <w:color w:val="auto"/>
          <w:sz w:val="21"/>
          <w:szCs w:val="21"/>
          <w:highlight w:val="none"/>
        </w:rPr>
        <w:t>18.7 通知义务</w:t>
      </w:r>
      <w:bookmarkEnd w:id="1304"/>
      <w:bookmarkEnd w:id="1305"/>
    </w:p>
    <w:p>
      <w:pPr>
        <w:spacing w:line="360" w:lineRule="auto"/>
        <w:ind w:right="105" w:rightChars="50" w:firstLine="420" w:firstLineChars="200"/>
        <w:jc w:val="left"/>
        <w:rPr>
          <w:rFonts w:ascii="宋体" w:hAnsi="宋体"/>
          <w:color w:val="auto"/>
          <w:szCs w:val="21"/>
          <w:highlight w:val="none"/>
        </w:rPr>
      </w:pPr>
      <w:r>
        <w:rPr>
          <w:rFonts w:hint="eastAsia" w:ascii="宋体" w:hAnsi="宋体"/>
          <w:color w:val="auto"/>
          <w:szCs w:val="21"/>
          <w:highlight w:val="none"/>
        </w:rPr>
        <w:t>关于变更保险合同时的通知义务的约定：</w:t>
      </w:r>
      <w:r>
        <w:rPr>
          <w:rFonts w:hint="eastAsia" w:ascii="宋体" w:hAnsi="宋体"/>
          <w:color w:val="auto"/>
          <w:szCs w:val="21"/>
          <w:highlight w:val="none"/>
          <w:u w:val="single"/>
        </w:rPr>
        <w:t>按通用合同条款执行</w:t>
      </w:r>
      <w:r>
        <w:rPr>
          <w:rFonts w:hint="eastAsia" w:ascii="宋体" w:hAnsi="宋体"/>
          <w:color w:val="auto"/>
          <w:szCs w:val="21"/>
          <w:highlight w:val="none"/>
        </w:rPr>
        <w:t>。</w:t>
      </w:r>
    </w:p>
    <w:p>
      <w:pPr>
        <w:pStyle w:val="6"/>
        <w:spacing w:before="0" w:beforeAutospacing="0" w:after="0" w:afterAutospacing="0" w:line="360" w:lineRule="auto"/>
        <w:ind w:firstLine="422" w:firstLineChars="200"/>
        <w:rPr>
          <w:color w:val="auto"/>
          <w:sz w:val="21"/>
          <w:szCs w:val="21"/>
          <w:highlight w:val="none"/>
        </w:rPr>
      </w:pPr>
      <w:bookmarkStart w:id="1306" w:name="_Toc532377412"/>
      <w:bookmarkStart w:id="1307" w:name="_Toc532375673"/>
      <w:r>
        <w:rPr>
          <w:rFonts w:hint="eastAsia"/>
          <w:color w:val="auto"/>
          <w:sz w:val="21"/>
          <w:szCs w:val="21"/>
          <w:highlight w:val="none"/>
        </w:rPr>
        <w:t>18.8 其他</w:t>
      </w:r>
      <w:bookmarkEnd w:id="1306"/>
      <w:bookmarkEnd w:id="1307"/>
    </w:p>
    <w:p>
      <w:pPr>
        <w:spacing w:line="360" w:lineRule="auto"/>
        <w:ind w:right="105" w:rightChars="50" w:firstLine="420" w:firstLineChars="200"/>
        <w:jc w:val="left"/>
        <w:rPr>
          <w:rFonts w:ascii="宋体" w:hAnsi="宋体"/>
          <w:color w:val="auto"/>
          <w:szCs w:val="21"/>
          <w:highlight w:val="none"/>
        </w:rPr>
      </w:pPr>
      <w:r>
        <w:rPr>
          <w:rFonts w:hint="eastAsia" w:ascii="宋体" w:hAnsi="宋体"/>
          <w:color w:val="auto"/>
          <w:szCs w:val="21"/>
          <w:highlight w:val="none"/>
        </w:rPr>
        <w:t>18.8.1 工程开工日前，承包人向发包人提交各项生效的保险证据和保险单副本。未按本项约定提交的，每延后1天，承包人按500元/天支付违约金。</w:t>
      </w:r>
    </w:p>
    <w:p>
      <w:pPr>
        <w:spacing w:line="360" w:lineRule="auto"/>
        <w:ind w:right="105" w:rightChars="50" w:firstLine="420" w:firstLineChars="200"/>
        <w:jc w:val="left"/>
        <w:rPr>
          <w:rFonts w:ascii="宋体" w:hAnsi="宋体"/>
          <w:color w:val="auto"/>
          <w:szCs w:val="21"/>
          <w:highlight w:val="none"/>
        </w:rPr>
      </w:pPr>
      <w:r>
        <w:rPr>
          <w:rFonts w:hint="eastAsia" w:ascii="宋体" w:hAnsi="宋体"/>
          <w:color w:val="auto"/>
          <w:szCs w:val="21"/>
          <w:highlight w:val="none"/>
        </w:rPr>
        <w:t>18.8.2 承包人保险赔偿金不足以补偿发包人损失时，</w:t>
      </w:r>
      <w:bookmarkStart w:id="1308" w:name="_Hlk524378346"/>
      <w:r>
        <w:rPr>
          <w:rFonts w:hint="eastAsia" w:ascii="宋体" w:hAnsi="宋体"/>
          <w:color w:val="auto"/>
          <w:szCs w:val="21"/>
          <w:highlight w:val="none"/>
        </w:rPr>
        <w:t>差额由承包人负责补足</w:t>
      </w:r>
      <w:bookmarkEnd w:id="1308"/>
      <w:r>
        <w:rPr>
          <w:rFonts w:hint="eastAsia" w:ascii="宋体" w:hAnsi="宋体"/>
          <w:color w:val="auto"/>
          <w:szCs w:val="21"/>
          <w:highlight w:val="none"/>
        </w:rPr>
        <w:t>。</w:t>
      </w:r>
    </w:p>
    <w:p>
      <w:pPr>
        <w:pStyle w:val="5"/>
        <w:keepNext/>
        <w:keepLines/>
        <w:spacing w:before="156" w:beforeLines="50" w:beforeAutospacing="0" w:after="156" w:afterLines="50" w:afterAutospacing="0" w:line="360" w:lineRule="auto"/>
        <w:jc w:val="both"/>
        <w:rPr>
          <w:bCs w:val="0"/>
          <w:color w:val="auto"/>
          <w:kern w:val="2"/>
          <w:sz w:val="21"/>
          <w:szCs w:val="21"/>
          <w:highlight w:val="none"/>
        </w:rPr>
      </w:pPr>
      <w:bookmarkStart w:id="1309" w:name="_Toc532377413"/>
      <w:bookmarkStart w:id="1310" w:name="_Toc532375674"/>
      <w:bookmarkStart w:id="1311" w:name="_Toc351203620"/>
      <w:bookmarkStart w:id="1312" w:name="_Toc337558835"/>
      <w:bookmarkStart w:id="1313" w:name="_Toc296346641"/>
      <w:bookmarkStart w:id="1314" w:name="_Toc296503140"/>
      <w:r>
        <w:rPr>
          <w:rFonts w:hint="eastAsia"/>
          <w:color w:val="auto"/>
          <w:kern w:val="2"/>
          <w:sz w:val="21"/>
          <w:szCs w:val="21"/>
          <w:highlight w:val="none"/>
        </w:rPr>
        <w:t>19. 索赔</w:t>
      </w:r>
      <w:bookmarkEnd w:id="1309"/>
      <w:bookmarkEnd w:id="1310"/>
      <w:bookmarkEnd w:id="1311"/>
    </w:p>
    <w:bookmarkEnd w:id="1312"/>
    <w:bookmarkEnd w:id="1313"/>
    <w:bookmarkEnd w:id="1314"/>
    <w:p>
      <w:pPr>
        <w:pStyle w:val="6"/>
        <w:spacing w:before="0" w:beforeAutospacing="0" w:after="0" w:afterAutospacing="0" w:line="360" w:lineRule="auto"/>
        <w:ind w:firstLine="422" w:firstLineChars="200"/>
        <w:rPr>
          <w:color w:val="auto"/>
          <w:sz w:val="21"/>
          <w:szCs w:val="21"/>
          <w:highlight w:val="none"/>
        </w:rPr>
      </w:pPr>
      <w:bookmarkStart w:id="1315" w:name="_Toc532375675"/>
      <w:bookmarkStart w:id="1316" w:name="_Toc532377414"/>
      <w:bookmarkStart w:id="1317" w:name="_Toc351203621"/>
      <w:bookmarkStart w:id="1318" w:name="_Toc296503141"/>
      <w:bookmarkStart w:id="1319" w:name="_Toc337558836"/>
      <w:bookmarkStart w:id="1320" w:name="_Toc296346642"/>
      <w:r>
        <w:rPr>
          <w:rFonts w:hint="eastAsia"/>
          <w:color w:val="auto"/>
          <w:sz w:val="21"/>
          <w:szCs w:val="21"/>
          <w:highlight w:val="none"/>
        </w:rPr>
        <w:t>19.1 承包人的索赔</w:t>
      </w:r>
      <w:bookmarkEnd w:id="1315"/>
      <w:bookmarkEnd w:id="1316"/>
    </w:p>
    <w:p>
      <w:pPr>
        <w:autoSpaceDE w:val="0"/>
        <w:autoSpaceDN w:val="0"/>
        <w:spacing w:line="360" w:lineRule="auto"/>
        <w:ind w:right="105" w:rightChars="50" w:firstLine="420" w:firstLineChars="200"/>
        <w:jc w:val="left"/>
        <w:rPr>
          <w:rFonts w:ascii="宋体" w:hAnsi="宋体"/>
          <w:color w:val="auto"/>
          <w:szCs w:val="21"/>
          <w:highlight w:val="none"/>
        </w:rPr>
      </w:pPr>
      <w:r>
        <w:rPr>
          <w:rFonts w:hint="eastAsia" w:ascii="宋体" w:hAnsi="宋体"/>
          <w:color w:val="auto"/>
          <w:szCs w:val="21"/>
          <w:highlight w:val="none"/>
        </w:rPr>
        <w:t>根据合同约定，承包人认为有权得到追加付款和（或）延长工期的，应按以下程序向发包人提出索赔：</w:t>
      </w:r>
    </w:p>
    <w:p>
      <w:pPr>
        <w:autoSpaceDE w:val="0"/>
        <w:autoSpaceDN w:val="0"/>
        <w:spacing w:line="360" w:lineRule="auto"/>
        <w:ind w:right="105" w:rightChars="50" w:firstLine="420" w:firstLineChars="200"/>
        <w:jc w:val="left"/>
        <w:rPr>
          <w:rFonts w:ascii="宋体" w:hAnsi="宋体"/>
          <w:color w:val="auto"/>
          <w:szCs w:val="21"/>
          <w:highlight w:val="none"/>
        </w:rPr>
      </w:pPr>
      <w:r>
        <w:rPr>
          <w:rFonts w:hint="eastAsia" w:ascii="宋体" w:hAnsi="宋体"/>
          <w:color w:val="auto"/>
          <w:szCs w:val="21"/>
          <w:highlight w:val="none"/>
        </w:rPr>
        <w:t>（1）承包人应在索赔事件发生后28天内，向监理人递交索赔意向通知书，并说明发生索赔事件的事由；承包人未在前述28天内发出索赔意向通知书的，丧失要求追加付款和（或）延长工期的权利；</w:t>
      </w:r>
    </w:p>
    <w:p>
      <w:pPr>
        <w:autoSpaceDE w:val="0"/>
        <w:autoSpaceDN w:val="0"/>
        <w:spacing w:line="360" w:lineRule="auto"/>
        <w:ind w:right="105" w:rightChars="50" w:firstLine="420" w:firstLineChars="200"/>
        <w:jc w:val="left"/>
        <w:rPr>
          <w:rFonts w:ascii="宋体" w:hAnsi="宋体"/>
          <w:color w:val="auto"/>
          <w:szCs w:val="21"/>
          <w:highlight w:val="none"/>
        </w:rPr>
      </w:pPr>
      <w:r>
        <w:rPr>
          <w:rFonts w:hint="eastAsia" w:ascii="宋体" w:hAnsi="宋体"/>
          <w:color w:val="auto"/>
          <w:szCs w:val="21"/>
          <w:highlight w:val="none"/>
        </w:rPr>
        <w:t>（2）承包人应在发出索赔意向通知书后28天内，向监理人正式递交索赔报告；索赔报告应详细说明索赔理由以及要求追加的付款金额和（或）延长的工期，并附必要的记录和证明材料；</w:t>
      </w:r>
    </w:p>
    <w:p>
      <w:pPr>
        <w:autoSpaceDE w:val="0"/>
        <w:autoSpaceDN w:val="0"/>
        <w:spacing w:line="360" w:lineRule="auto"/>
        <w:ind w:right="105" w:rightChars="50" w:firstLine="420" w:firstLineChars="200"/>
        <w:jc w:val="left"/>
        <w:rPr>
          <w:rFonts w:ascii="宋体" w:hAnsi="宋体"/>
          <w:color w:val="auto"/>
          <w:szCs w:val="21"/>
          <w:highlight w:val="none"/>
        </w:rPr>
      </w:pPr>
      <w:r>
        <w:rPr>
          <w:rFonts w:hint="eastAsia" w:ascii="宋体" w:hAnsi="宋体"/>
          <w:color w:val="auto"/>
          <w:szCs w:val="21"/>
          <w:highlight w:val="none"/>
        </w:rPr>
        <w:t>（3）索赔事件具有持续影响的，承包人应按监理人要求的合理时间间隔继续递交延续索赔通知，说明持续影响的实际情况和记录，列出累计的追加付款金额和（或）工期延长天数；</w:t>
      </w:r>
    </w:p>
    <w:p>
      <w:pPr>
        <w:autoSpaceDE w:val="0"/>
        <w:autoSpaceDN w:val="0"/>
        <w:spacing w:line="360" w:lineRule="auto"/>
        <w:ind w:right="105" w:rightChars="50" w:firstLine="420" w:firstLineChars="200"/>
        <w:jc w:val="left"/>
        <w:rPr>
          <w:rFonts w:ascii="宋体" w:hAnsi="宋体"/>
          <w:color w:val="auto"/>
          <w:szCs w:val="21"/>
          <w:highlight w:val="none"/>
        </w:rPr>
      </w:pPr>
      <w:r>
        <w:rPr>
          <w:rFonts w:hint="eastAsia" w:ascii="宋体" w:hAnsi="宋体"/>
          <w:color w:val="auto"/>
          <w:szCs w:val="21"/>
          <w:highlight w:val="none"/>
        </w:rPr>
        <w:t>（4）在索赔事件影响结束后28天内，承包人应向监理人递交最终索赔报告，说明最终要求索赔的追加付款金额和（或）延长的工期，并附必要的记录和证明材料。</w:t>
      </w:r>
    </w:p>
    <w:p>
      <w:pPr>
        <w:autoSpaceDE w:val="0"/>
        <w:autoSpaceDN w:val="0"/>
        <w:spacing w:line="360" w:lineRule="auto"/>
        <w:ind w:right="105" w:rightChars="50" w:firstLine="420" w:firstLineChars="200"/>
        <w:jc w:val="left"/>
        <w:rPr>
          <w:rFonts w:ascii="宋体" w:hAnsi="宋体"/>
          <w:color w:val="auto"/>
          <w:szCs w:val="21"/>
          <w:highlight w:val="none"/>
        </w:rPr>
      </w:pPr>
      <w:r>
        <w:rPr>
          <w:rFonts w:hint="eastAsia" w:ascii="宋体" w:hAnsi="宋体"/>
          <w:color w:val="auto"/>
          <w:szCs w:val="21"/>
          <w:highlight w:val="none"/>
        </w:rPr>
        <w:t>（5）</w:t>
      </w:r>
      <w:r>
        <w:rPr>
          <w:rFonts w:hint="eastAsia" w:ascii="宋体" w:hAnsi="宋体"/>
          <w:color w:val="auto"/>
          <w:szCs w:val="21"/>
          <w:highlight w:val="none"/>
          <w:u w:val="single"/>
        </w:rPr>
        <w:t xml:space="preserve">        </w:t>
      </w:r>
      <w:r>
        <w:rPr>
          <w:rFonts w:hint="eastAsia" w:ascii="宋体" w:hAnsi="宋体"/>
          <w:color w:val="auto"/>
          <w:szCs w:val="21"/>
          <w:highlight w:val="none"/>
        </w:rPr>
        <w:t>。</w:t>
      </w:r>
    </w:p>
    <w:p>
      <w:pPr>
        <w:pStyle w:val="6"/>
        <w:spacing w:before="0" w:beforeAutospacing="0" w:after="0" w:afterAutospacing="0" w:line="360" w:lineRule="auto"/>
        <w:ind w:firstLine="422" w:firstLineChars="200"/>
        <w:rPr>
          <w:color w:val="auto"/>
          <w:sz w:val="21"/>
          <w:szCs w:val="21"/>
          <w:highlight w:val="none"/>
        </w:rPr>
      </w:pPr>
      <w:bookmarkStart w:id="1321" w:name="_Toc532375676"/>
      <w:bookmarkStart w:id="1322" w:name="_Toc532377415"/>
      <w:r>
        <w:rPr>
          <w:rFonts w:hint="eastAsia"/>
          <w:color w:val="auto"/>
          <w:sz w:val="21"/>
          <w:szCs w:val="21"/>
          <w:highlight w:val="none"/>
        </w:rPr>
        <w:t>19.2 对承包人索赔的处理</w:t>
      </w:r>
      <w:bookmarkEnd w:id="1321"/>
      <w:bookmarkEnd w:id="1322"/>
    </w:p>
    <w:p>
      <w:pPr>
        <w:autoSpaceDE w:val="0"/>
        <w:autoSpaceDN w:val="0"/>
        <w:spacing w:line="360" w:lineRule="auto"/>
        <w:ind w:right="105" w:rightChars="50" w:firstLine="420" w:firstLineChars="200"/>
        <w:jc w:val="left"/>
        <w:rPr>
          <w:rFonts w:ascii="宋体" w:hAnsi="宋体"/>
          <w:color w:val="auto"/>
          <w:szCs w:val="21"/>
          <w:highlight w:val="none"/>
        </w:rPr>
      </w:pPr>
      <w:r>
        <w:rPr>
          <w:rFonts w:hint="eastAsia" w:ascii="宋体" w:hAnsi="宋体"/>
          <w:color w:val="auto"/>
          <w:szCs w:val="21"/>
          <w:highlight w:val="none"/>
        </w:rPr>
        <w:t>对承包人索赔的处理如下：</w:t>
      </w:r>
    </w:p>
    <w:p>
      <w:pPr>
        <w:autoSpaceDE w:val="0"/>
        <w:autoSpaceDN w:val="0"/>
        <w:spacing w:line="360" w:lineRule="auto"/>
        <w:ind w:right="105" w:rightChars="50" w:firstLine="420" w:firstLineChars="200"/>
        <w:jc w:val="left"/>
        <w:rPr>
          <w:rFonts w:ascii="宋体" w:hAnsi="宋体"/>
          <w:color w:val="auto"/>
          <w:szCs w:val="21"/>
          <w:highlight w:val="none"/>
          <w:u w:val="single"/>
        </w:rPr>
      </w:pPr>
      <w:r>
        <w:rPr>
          <w:rFonts w:hint="eastAsia" w:ascii="宋体" w:hAnsi="宋体"/>
          <w:color w:val="auto"/>
          <w:szCs w:val="21"/>
          <w:highlight w:val="none"/>
          <w:u w:val="single"/>
        </w:rPr>
        <w:t>（1）监理人应在收到索赔报告后14天内完成审查并报送发包人。监理人对索赔报告存在异议的，有权要求承包人提交全部原始记录副本</w:t>
      </w:r>
      <w:r>
        <w:rPr>
          <w:rFonts w:hint="eastAsia" w:ascii="宋体" w:hAnsi="宋体"/>
          <w:color w:val="auto"/>
          <w:szCs w:val="21"/>
          <w:highlight w:val="none"/>
        </w:rPr>
        <w:t>；</w:t>
      </w:r>
    </w:p>
    <w:p>
      <w:pPr>
        <w:autoSpaceDE w:val="0"/>
        <w:autoSpaceDN w:val="0"/>
        <w:spacing w:line="360" w:lineRule="auto"/>
        <w:ind w:right="105" w:rightChars="50" w:firstLine="420" w:firstLineChars="200"/>
        <w:jc w:val="left"/>
        <w:rPr>
          <w:rFonts w:ascii="宋体" w:hAnsi="宋体"/>
          <w:color w:val="auto"/>
          <w:szCs w:val="21"/>
          <w:highlight w:val="none"/>
          <w:u w:val="single"/>
        </w:rPr>
      </w:pPr>
      <w:r>
        <w:rPr>
          <w:rFonts w:hint="eastAsia" w:ascii="宋体" w:hAnsi="宋体"/>
          <w:color w:val="auto"/>
          <w:szCs w:val="21"/>
          <w:highlight w:val="none"/>
          <w:u w:val="single"/>
        </w:rPr>
        <w:t>（2）发包人应在监理人收到索赔报告或有关索赔的进一步证明材料后的28天内，由监理人向承包人出具经发包人签认的索赔处理结果。发包人逾期未答复的，承包人应以书面形式催告发包人，经承包人三次（每次间隔不少于3天）书面催告后，发包人仍未按期限答复的，则视为认可承包人的索赔要求</w:t>
      </w:r>
      <w:r>
        <w:rPr>
          <w:rFonts w:hint="eastAsia" w:ascii="宋体" w:hAnsi="宋体"/>
          <w:color w:val="auto"/>
          <w:szCs w:val="21"/>
          <w:highlight w:val="none"/>
        </w:rPr>
        <w:t>；</w:t>
      </w:r>
    </w:p>
    <w:p>
      <w:pPr>
        <w:autoSpaceDE w:val="0"/>
        <w:autoSpaceDN w:val="0"/>
        <w:spacing w:line="360" w:lineRule="auto"/>
        <w:ind w:right="105" w:rightChars="50" w:firstLine="420" w:firstLineChars="200"/>
        <w:jc w:val="left"/>
        <w:rPr>
          <w:rFonts w:ascii="宋体" w:hAnsi="宋体"/>
          <w:color w:val="auto"/>
          <w:szCs w:val="21"/>
          <w:highlight w:val="none"/>
          <w:u w:val="single"/>
        </w:rPr>
      </w:pPr>
      <w:r>
        <w:rPr>
          <w:rFonts w:hint="eastAsia" w:ascii="宋体" w:hAnsi="宋体"/>
          <w:color w:val="auto"/>
          <w:szCs w:val="21"/>
          <w:highlight w:val="none"/>
          <w:u w:val="single"/>
        </w:rPr>
        <w:t>（3）承包人接受索赔处理结果的，索赔款项在当期进度款中进行支付；承包人不接受索赔处理结果的，按照第20条〔争议解决〕约定处理</w:t>
      </w:r>
      <w:r>
        <w:rPr>
          <w:rFonts w:hint="eastAsia" w:ascii="宋体" w:hAnsi="宋体"/>
          <w:color w:val="auto"/>
          <w:szCs w:val="21"/>
          <w:highlight w:val="none"/>
        </w:rPr>
        <w:t>；</w:t>
      </w:r>
    </w:p>
    <w:p>
      <w:pPr>
        <w:autoSpaceDE w:val="0"/>
        <w:autoSpaceDN w:val="0"/>
        <w:spacing w:line="360" w:lineRule="auto"/>
        <w:ind w:right="105" w:rightChars="50" w:firstLine="420" w:firstLineChars="200"/>
        <w:jc w:val="left"/>
        <w:rPr>
          <w:rFonts w:ascii="宋体" w:hAnsi="宋体"/>
          <w:color w:val="auto"/>
          <w:szCs w:val="21"/>
          <w:highlight w:val="none"/>
          <w:u w:val="single"/>
        </w:rPr>
      </w:pPr>
      <w:r>
        <w:rPr>
          <w:rFonts w:hint="eastAsia" w:ascii="宋体" w:hAnsi="宋体"/>
          <w:color w:val="auto"/>
          <w:szCs w:val="21"/>
          <w:highlight w:val="none"/>
          <w:u w:val="single"/>
        </w:rPr>
        <w:t>（4）工期延误的关键线路按照经监理人、发包人审批同意的施工组织设计计算</w:t>
      </w:r>
      <w:r>
        <w:rPr>
          <w:rFonts w:hint="eastAsia" w:ascii="宋体" w:hAnsi="宋体"/>
          <w:color w:val="auto"/>
          <w:szCs w:val="21"/>
          <w:highlight w:val="none"/>
        </w:rPr>
        <w:t>。</w:t>
      </w:r>
    </w:p>
    <w:p>
      <w:pPr>
        <w:pStyle w:val="6"/>
        <w:spacing w:before="0" w:beforeAutospacing="0" w:after="0" w:afterAutospacing="0" w:line="360" w:lineRule="auto"/>
        <w:ind w:firstLine="422" w:firstLineChars="200"/>
        <w:rPr>
          <w:color w:val="auto"/>
          <w:sz w:val="21"/>
          <w:szCs w:val="21"/>
          <w:highlight w:val="none"/>
        </w:rPr>
      </w:pPr>
      <w:bookmarkStart w:id="1323" w:name="_Toc532375677"/>
      <w:bookmarkStart w:id="1324" w:name="_Toc532377416"/>
      <w:r>
        <w:rPr>
          <w:rFonts w:hint="eastAsia"/>
          <w:color w:val="auto"/>
          <w:sz w:val="21"/>
          <w:szCs w:val="21"/>
          <w:highlight w:val="none"/>
        </w:rPr>
        <w:t>19.3发包人的索赔</w:t>
      </w:r>
      <w:bookmarkEnd w:id="1323"/>
      <w:bookmarkEnd w:id="1324"/>
    </w:p>
    <w:p>
      <w:pPr>
        <w:autoSpaceDE w:val="0"/>
        <w:autoSpaceDN w:val="0"/>
        <w:spacing w:line="360" w:lineRule="auto"/>
        <w:ind w:right="105" w:rightChars="50" w:firstLine="420" w:firstLineChars="200"/>
        <w:jc w:val="left"/>
        <w:rPr>
          <w:rFonts w:ascii="宋体" w:hAnsi="宋体"/>
          <w:color w:val="auto"/>
          <w:szCs w:val="21"/>
          <w:highlight w:val="none"/>
        </w:rPr>
      </w:pPr>
      <w:r>
        <w:rPr>
          <w:rFonts w:hint="eastAsia" w:ascii="宋体" w:hAnsi="宋体"/>
          <w:color w:val="auto"/>
          <w:szCs w:val="21"/>
          <w:highlight w:val="none"/>
        </w:rPr>
        <w:t>根据合同约定，发包人认为有权得到赔付金额和（或）延长缺陷责任期的，监理人应向承包人发出通知并附有详细的证明。</w:t>
      </w:r>
    </w:p>
    <w:p>
      <w:pPr>
        <w:autoSpaceDE w:val="0"/>
        <w:autoSpaceDN w:val="0"/>
        <w:spacing w:line="360" w:lineRule="auto"/>
        <w:ind w:right="105" w:rightChars="50" w:firstLine="420" w:firstLineChars="200"/>
        <w:jc w:val="left"/>
        <w:rPr>
          <w:rFonts w:ascii="宋体" w:hAnsi="宋体"/>
          <w:color w:val="auto"/>
          <w:szCs w:val="21"/>
          <w:highlight w:val="none"/>
          <w:u w:val="single"/>
        </w:rPr>
      </w:pPr>
      <w:r>
        <w:rPr>
          <w:rFonts w:hint="eastAsia" w:ascii="宋体" w:hAnsi="宋体"/>
          <w:color w:val="auto"/>
          <w:szCs w:val="21"/>
          <w:highlight w:val="none"/>
        </w:rPr>
        <w:t>发包人应在索赔事件发生后28天内通过监理人向承包人提出索赔意向通知书，发包人未在前述28天内发出索赔意向通知书的，丧失要求赔付金额和（或）延长缺陷责任期的权利。发包人应在发出索赔意向通知书后28天内，通过监理人向承包人正式递交索赔报告；索赔事件具有持续影响的，发包人应在索赔事件影响结束后28天内，</w:t>
      </w:r>
      <w:bookmarkStart w:id="1325" w:name="_Hlk528652769"/>
      <w:r>
        <w:rPr>
          <w:rFonts w:hint="eastAsia" w:ascii="宋体" w:hAnsi="宋体"/>
          <w:color w:val="auto"/>
          <w:szCs w:val="21"/>
          <w:highlight w:val="none"/>
        </w:rPr>
        <w:t>通过监理人向承包人正式递交最终索赔报告</w:t>
      </w:r>
      <w:bookmarkEnd w:id="1325"/>
      <w:r>
        <w:rPr>
          <w:rFonts w:hint="eastAsia" w:ascii="宋体" w:hAnsi="宋体"/>
          <w:color w:val="auto"/>
          <w:szCs w:val="21"/>
          <w:highlight w:val="none"/>
        </w:rPr>
        <w:t>。</w:t>
      </w:r>
    </w:p>
    <w:p>
      <w:pPr>
        <w:pStyle w:val="6"/>
        <w:spacing w:before="0" w:beforeAutospacing="0" w:after="0" w:afterAutospacing="0" w:line="360" w:lineRule="auto"/>
        <w:ind w:firstLine="422" w:firstLineChars="200"/>
        <w:rPr>
          <w:color w:val="auto"/>
          <w:sz w:val="21"/>
          <w:szCs w:val="21"/>
          <w:highlight w:val="none"/>
        </w:rPr>
      </w:pPr>
      <w:bookmarkStart w:id="1326" w:name="_Toc532375678"/>
      <w:bookmarkStart w:id="1327" w:name="_Toc532377417"/>
      <w:r>
        <w:rPr>
          <w:rFonts w:hint="eastAsia"/>
          <w:color w:val="auto"/>
          <w:sz w:val="21"/>
          <w:szCs w:val="21"/>
          <w:highlight w:val="none"/>
        </w:rPr>
        <w:t>19.4 对发包人索赔的处理</w:t>
      </w:r>
      <w:bookmarkEnd w:id="1326"/>
      <w:bookmarkEnd w:id="1327"/>
    </w:p>
    <w:p>
      <w:pPr>
        <w:autoSpaceDE w:val="0"/>
        <w:autoSpaceDN w:val="0"/>
        <w:spacing w:line="360" w:lineRule="auto"/>
        <w:ind w:right="105" w:rightChars="50"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对发包人索赔的处理如下：</w:t>
      </w:r>
    </w:p>
    <w:p>
      <w:pPr>
        <w:autoSpaceDE w:val="0"/>
        <w:autoSpaceDN w:val="0"/>
        <w:spacing w:line="360" w:lineRule="auto"/>
        <w:ind w:right="105" w:rightChars="50" w:firstLine="420" w:firstLineChars="200"/>
        <w:jc w:val="left"/>
        <w:rPr>
          <w:rFonts w:ascii="宋体" w:hAnsi="宋体"/>
          <w:color w:val="auto"/>
          <w:szCs w:val="21"/>
          <w:highlight w:val="none"/>
        </w:rPr>
      </w:pPr>
      <w:r>
        <w:rPr>
          <w:rFonts w:hint="eastAsia" w:ascii="宋体" w:hAnsi="宋体"/>
          <w:color w:val="auto"/>
          <w:szCs w:val="21"/>
          <w:highlight w:val="none"/>
        </w:rPr>
        <w:t>（1）承包人收到发包人提交的索赔报告后，应及时审查索赔报告的内容、查验发包人证明材料；</w:t>
      </w:r>
    </w:p>
    <w:p>
      <w:pPr>
        <w:autoSpaceDE w:val="0"/>
        <w:autoSpaceDN w:val="0"/>
        <w:spacing w:line="360" w:lineRule="auto"/>
        <w:ind w:right="105" w:rightChars="50" w:firstLine="420" w:firstLineChars="200"/>
        <w:jc w:val="left"/>
        <w:rPr>
          <w:rFonts w:ascii="宋体" w:hAnsi="宋体"/>
          <w:color w:val="auto"/>
          <w:szCs w:val="21"/>
          <w:highlight w:val="none"/>
        </w:rPr>
      </w:pPr>
      <w:r>
        <w:rPr>
          <w:rFonts w:hint="eastAsia" w:ascii="宋体" w:hAnsi="宋体"/>
          <w:color w:val="auto"/>
          <w:szCs w:val="21"/>
          <w:highlight w:val="none"/>
        </w:rPr>
        <w:t>（2）承包人应在收到索赔报告或有关索赔的进一步证明材料后28天内，将索赔处理结果答复发包人。如果承包人未在上述期限内作出答复的，监理人应以书面形式催告承包人，经监理人三次书面催告后，承包人仍未按期限答复的，则视为对发包人索赔要求的认可；</w:t>
      </w:r>
    </w:p>
    <w:p>
      <w:pPr>
        <w:autoSpaceDE w:val="0"/>
        <w:autoSpaceDN w:val="0"/>
        <w:spacing w:line="360" w:lineRule="auto"/>
        <w:ind w:right="105" w:rightChars="50" w:firstLine="420" w:firstLineChars="200"/>
        <w:jc w:val="left"/>
        <w:rPr>
          <w:rFonts w:ascii="宋体" w:hAnsi="宋体"/>
          <w:color w:val="auto"/>
          <w:szCs w:val="21"/>
          <w:highlight w:val="none"/>
          <w:u w:val="single"/>
        </w:rPr>
      </w:pPr>
      <w:r>
        <w:rPr>
          <w:rFonts w:hint="eastAsia" w:ascii="宋体" w:hAnsi="宋体"/>
          <w:color w:val="auto"/>
          <w:szCs w:val="21"/>
          <w:highlight w:val="none"/>
        </w:rPr>
        <w:t>（3）承包人接受索赔处理结果的，发包人可从应支付给承包人的合同价款中扣除赔付的金额或延长缺陷责任期；发包人不接受索赔处理结果的，按第20条〔争议解决〕约定处理。</w:t>
      </w:r>
    </w:p>
    <w:p>
      <w:pPr>
        <w:pStyle w:val="6"/>
        <w:spacing w:before="0" w:beforeAutospacing="0" w:after="0" w:afterAutospacing="0" w:line="360" w:lineRule="auto"/>
        <w:ind w:firstLine="422" w:firstLineChars="200"/>
        <w:rPr>
          <w:color w:val="auto"/>
          <w:sz w:val="21"/>
          <w:szCs w:val="21"/>
          <w:highlight w:val="none"/>
        </w:rPr>
      </w:pPr>
      <w:bookmarkStart w:id="1328" w:name="_Toc532377418"/>
      <w:bookmarkStart w:id="1329" w:name="_Toc532375679"/>
      <w:bookmarkStart w:id="1330" w:name="_Hlk528928420"/>
      <w:r>
        <w:rPr>
          <w:rFonts w:hint="eastAsia"/>
          <w:color w:val="auto"/>
          <w:sz w:val="21"/>
          <w:szCs w:val="21"/>
          <w:highlight w:val="none"/>
        </w:rPr>
        <w:t>19.5 提出索赔的期限</w:t>
      </w:r>
      <w:bookmarkEnd w:id="1328"/>
      <w:bookmarkEnd w:id="1329"/>
    </w:p>
    <w:p>
      <w:pPr>
        <w:autoSpaceDE w:val="0"/>
        <w:autoSpaceDN w:val="0"/>
        <w:spacing w:line="360" w:lineRule="auto"/>
        <w:ind w:right="105" w:rightChars="50" w:firstLine="420" w:firstLineChars="200"/>
        <w:jc w:val="left"/>
        <w:rPr>
          <w:rFonts w:ascii="宋体" w:hAnsi="宋体"/>
          <w:color w:val="auto"/>
          <w:szCs w:val="21"/>
          <w:highlight w:val="none"/>
        </w:rPr>
      </w:pPr>
      <w:bookmarkStart w:id="1331" w:name="_Hlk524298376"/>
      <w:r>
        <w:rPr>
          <w:rFonts w:hint="eastAsia" w:ascii="宋体" w:hAnsi="宋体"/>
          <w:color w:val="auto"/>
          <w:szCs w:val="21"/>
          <w:highlight w:val="none"/>
        </w:rPr>
        <w:t>任一索赔事件发生后28天内，承包人/发包人未向对方发出索赔意向通知书的，视为其已放弃索赔权，无权再就该索赔事项提出任何索赔。</w:t>
      </w:r>
    </w:p>
    <w:bookmarkEnd w:id="1317"/>
    <w:bookmarkEnd w:id="1318"/>
    <w:bookmarkEnd w:id="1319"/>
    <w:bookmarkEnd w:id="1320"/>
    <w:bookmarkEnd w:id="1330"/>
    <w:bookmarkEnd w:id="1331"/>
    <w:p>
      <w:pPr>
        <w:pStyle w:val="5"/>
        <w:keepNext/>
        <w:keepLines/>
        <w:spacing w:before="156" w:beforeLines="50" w:beforeAutospacing="0" w:after="156" w:afterLines="50" w:afterAutospacing="0" w:line="360" w:lineRule="auto"/>
        <w:jc w:val="both"/>
        <w:rPr>
          <w:bCs w:val="0"/>
          <w:color w:val="auto"/>
          <w:kern w:val="2"/>
          <w:sz w:val="21"/>
          <w:szCs w:val="21"/>
          <w:highlight w:val="none"/>
        </w:rPr>
      </w:pPr>
      <w:bookmarkStart w:id="1332" w:name="_Toc532375680"/>
      <w:bookmarkStart w:id="1333" w:name="_Toc532377419"/>
      <w:bookmarkStart w:id="1334" w:name="_Toc351203651"/>
      <w:r>
        <w:rPr>
          <w:rFonts w:hint="eastAsia"/>
          <w:color w:val="auto"/>
          <w:kern w:val="2"/>
          <w:sz w:val="21"/>
          <w:szCs w:val="21"/>
          <w:highlight w:val="none"/>
        </w:rPr>
        <w:t>20. 争议解决</w:t>
      </w:r>
      <w:bookmarkEnd w:id="1332"/>
      <w:bookmarkEnd w:id="1333"/>
      <w:bookmarkEnd w:id="1334"/>
    </w:p>
    <w:p>
      <w:pPr>
        <w:pStyle w:val="6"/>
        <w:spacing w:before="0" w:beforeAutospacing="0" w:after="0" w:afterAutospacing="0" w:line="360" w:lineRule="auto"/>
        <w:ind w:firstLine="422" w:firstLineChars="200"/>
        <w:rPr>
          <w:color w:val="auto"/>
          <w:sz w:val="21"/>
          <w:szCs w:val="21"/>
          <w:highlight w:val="none"/>
        </w:rPr>
      </w:pPr>
      <w:bookmarkStart w:id="1335" w:name="_Toc532377420"/>
      <w:bookmarkStart w:id="1336" w:name="_Toc532375681"/>
      <w:r>
        <w:rPr>
          <w:rFonts w:hint="eastAsia"/>
          <w:color w:val="auto"/>
          <w:sz w:val="21"/>
          <w:szCs w:val="21"/>
          <w:highlight w:val="none"/>
        </w:rPr>
        <w:t>20.3 争议评审</w:t>
      </w:r>
      <w:bookmarkEnd w:id="1335"/>
      <w:bookmarkEnd w:id="1336"/>
    </w:p>
    <w:p>
      <w:pPr>
        <w:spacing w:line="360" w:lineRule="auto"/>
        <w:ind w:right="105" w:rightChars="50" w:firstLine="420" w:firstLineChars="200"/>
        <w:jc w:val="left"/>
        <w:rPr>
          <w:rFonts w:ascii="宋体" w:hAnsi="宋体"/>
          <w:color w:val="auto"/>
          <w:szCs w:val="21"/>
          <w:highlight w:val="none"/>
        </w:rPr>
      </w:pPr>
      <w:r>
        <w:rPr>
          <w:rFonts w:hint="eastAsia" w:ascii="宋体" w:hAnsi="宋体"/>
          <w:color w:val="auto"/>
          <w:szCs w:val="21"/>
          <w:highlight w:val="none"/>
        </w:rPr>
        <w:t>合同当事人是否同意将工程争议提交争议评审小组决定：</w:t>
      </w:r>
      <w:r>
        <w:rPr>
          <w:rFonts w:hint="eastAsia" w:ascii="宋体" w:hAnsi="宋体"/>
          <w:color w:val="auto"/>
          <w:szCs w:val="21"/>
          <w:highlight w:val="none"/>
          <w:u w:val="single"/>
        </w:rPr>
        <w:t xml:space="preserve">        </w:t>
      </w:r>
      <w:r>
        <w:rPr>
          <w:rFonts w:hint="eastAsia" w:ascii="宋体" w:hAnsi="宋体"/>
          <w:color w:val="auto"/>
          <w:szCs w:val="21"/>
          <w:highlight w:val="none"/>
        </w:rPr>
        <w:t>。</w:t>
      </w:r>
    </w:p>
    <w:p>
      <w:pPr>
        <w:pStyle w:val="6"/>
        <w:spacing w:before="0" w:beforeAutospacing="0" w:after="0" w:afterAutospacing="0" w:line="360" w:lineRule="auto"/>
        <w:ind w:firstLine="422" w:firstLineChars="200"/>
        <w:rPr>
          <w:color w:val="auto"/>
          <w:sz w:val="21"/>
          <w:szCs w:val="21"/>
          <w:highlight w:val="none"/>
        </w:rPr>
      </w:pPr>
      <w:bookmarkStart w:id="1337" w:name="_Toc532377421"/>
      <w:bookmarkStart w:id="1338" w:name="_Toc532375682"/>
      <w:r>
        <w:rPr>
          <w:rFonts w:hint="eastAsia"/>
          <w:color w:val="auto"/>
          <w:sz w:val="21"/>
          <w:szCs w:val="21"/>
          <w:highlight w:val="none"/>
        </w:rPr>
        <w:t>20.4 仲裁或诉讼</w:t>
      </w:r>
      <w:bookmarkEnd w:id="1337"/>
      <w:bookmarkEnd w:id="1338"/>
    </w:p>
    <w:p>
      <w:pPr>
        <w:spacing w:line="360" w:lineRule="auto"/>
        <w:ind w:right="105" w:rightChars="50" w:firstLine="420" w:firstLineChars="200"/>
        <w:jc w:val="left"/>
        <w:rPr>
          <w:rFonts w:ascii="宋体" w:hAnsi="宋体"/>
          <w:color w:val="auto"/>
          <w:szCs w:val="21"/>
          <w:highlight w:val="none"/>
        </w:rPr>
      </w:pPr>
      <w:r>
        <w:rPr>
          <w:rFonts w:hint="eastAsia" w:ascii="宋体" w:hAnsi="宋体"/>
          <w:color w:val="auto"/>
          <w:szCs w:val="21"/>
          <w:highlight w:val="none"/>
        </w:rPr>
        <w:t>因合同及合同有关事项发生的争议，按下列第</w:t>
      </w:r>
      <w:r>
        <w:rPr>
          <w:rFonts w:hint="eastAsia" w:ascii="宋体" w:hAnsi="宋体"/>
          <w:color w:val="auto"/>
          <w:szCs w:val="21"/>
          <w:highlight w:val="none"/>
          <w:u w:val="single"/>
        </w:rPr>
        <w:t xml:space="preserve">    </w:t>
      </w:r>
      <w:r>
        <w:rPr>
          <w:rFonts w:hint="eastAsia" w:ascii="宋体" w:hAnsi="宋体"/>
          <w:color w:val="auto"/>
          <w:szCs w:val="21"/>
          <w:highlight w:val="none"/>
        </w:rPr>
        <w:t>种方式解决：</w:t>
      </w:r>
    </w:p>
    <w:p>
      <w:pPr>
        <w:spacing w:line="360" w:lineRule="auto"/>
        <w:ind w:right="105" w:rightChars="50" w:firstLine="420" w:firstLineChars="200"/>
        <w:jc w:val="left"/>
        <w:rPr>
          <w:rFonts w:ascii="宋体" w:hAnsi="宋体"/>
          <w:color w:val="auto"/>
          <w:szCs w:val="21"/>
          <w:highlight w:val="none"/>
        </w:rPr>
      </w:pPr>
      <w:r>
        <w:rPr>
          <w:rFonts w:ascii="宋体" w:hAnsi="宋体"/>
          <w:color w:val="auto"/>
          <w:szCs w:val="21"/>
          <w:highlight w:val="none"/>
        </w:rPr>
        <w:t>（1）向</w:t>
      </w:r>
      <w:r>
        <w:rPr>
          <w:rFonts w:ascii="宋体" w:hAnsi="宋体"/>
          <w:color w:val="auto"/>
          <w:szCs w:val="21"/>
          <w:highlight w:val="none"/>
          <w:u w:val="single"/>
        </w:rPr>
        <w:t xml:space="preserve">                     </w:t>
      </w:r>
      <w:r>
        <w:rPr>
          <w:rFonts w:ascii="宋体" w:hAnsi="宋体"/>
          <w:color w:val="auto"/>
          <w:szCs w:val="21"/>
          <w:highlight w:val="none"/>
        </w:rPr>
        <w:t>仲裁委员会申请仲裁；</w:t>
      </w:r>
    </w:p>
    <w:p>
      <w:pPr>
        <w:spacing w:line="360" w:lineRule="auto"/>
        <w:ind w:right="105" w:rightChars="50" w:firstLine="420" w:firstLineChars="200"/>
        <w:jc w:val="left"/>
        <w:rPr>
          <w:rFonts w:ascii="宋体" w:hAnsi="宋体"/>
          <w:color w:val="auto"/>
          <w:szCs w:val="21"/>
          <w:highlight w:val="none"/>
        </w:rPr>
      </w:pPr>
      <w:r>
        <w:rPr>
          <w:rFonts w:ascii="宋体" w:hAnsi="宋体"/>
          <w:color w:val="auto"/>
          <w:szCs w:val="21"/>
          <w:highlight w:val="none"/>
        </w:rPr>
        <w:t>（2）向</w:t>
      </w:r>
      <w:r>
        <w:rPr>
          <w:rFonts w:ascii="宋体" w:hAnsi="宋体"/>
          <w:color w:val="auto"/>
          <w:szCs w:val="21"/>
          <w:highlight w:val="none"/>
          <w:u w:val="single"/>
        </w:rPr>
        <w:t xml:space="preserve">                     </w:t>
      </w:r>
      <w:r>
        <w:rPr>
          <w:rFonts w:ascii="宋体" w:hAnsi="宋体"/>
          <w:color w:val="auto"/>
          <w:szCs w:val="21"/>
          <w:highlight w:val="none"/>
        </w:rPr>
        <w:t>人民法院起诉。</w:t>
      </w:r>
    </w:p>
    <w:p>
      <w:pPr>
        <w:pStyle w:val="5"/>
        <w:keepNext/>
        <w:keepLines/>
        <w:spacing w:before="156" w:beforeLines="50" w:beforeAutospacing="0" w:after="156" w:afterLines="50" w:afterAutospacing="0" w:line="360" w:lineRule="auto"/>
        <w:jc w:val="both"/>
        <w:rPr>
          <w:bCs w:val="0"/>
          <w:color w:val="auto"/>
          <w:kern w:val="2"/>
          <w:sz w:val="21"/>
          <w:szCs w:val="21"/>
          <w:highlight w:val="none"/>
        </w:rPr>
      </w:pPr>
      <w:bookmarkStart w:id="1339" w:name="_Toc532377422"/>
      <w:bookmarkStart w:id="1340" w:name="_Toc532375683"/>
      <w:r>
        <w:rPr>
          <w:rFonts w:hint="eastAsia"/>
          <w:color w:val="auto"/>
          <w:kern w:val="2"/>
          <w:sz w:val="21"/>
          <w:szCs w:val="21"/>
          <w:highlight w:val="none"/>
        </w:rPr>
        <w:t>21. 补充条款</w:t>
      </w:r>
      <w:bookmarkEnd w:id="1339"/>
      <w:bookmarkEnd w:id="1340"/>
    </w:p>
    <w:p>
      <w:pPr>
        <w:pStyle w:val="6"/>
        <w:spacing w:before="0" w:beforeAutospacing="0" w:after="0" w:afterAutospacing="0" w:line="360" w:lineRule="auto"/>
        <w:ind w:firstLine="422" w:firstLineChars="200"/>
        <w:rPr>
          <w:color w:val="auto"/>
          <w:sz w:val="21"/>
          <w:szCs w:val="21"/>
          <w:highlight w:val="none"/>
        </w:rPr>
      </w:pPr>
      <w:bookmarkStart w:id="1341" w:name="_Toc532377423"/>
      <w:bookmarkStart w:id="1342" w:name="_Toc532375684"/>
      <w:r>
        <w:rPr>
          <w:rFonts w:hint="eastAsia"/>
          <w:color w:val="auto"/>
          <w:sz w:val="21"/>
          <w:szCs w:val="21"/>
          <w:highlight w:val="none"/>
        </w:rPr>
        <w:t>21.1 退出机制</w:t>
      </w:r>
      <w:bookmarkEnd w:id="1341"/>
      <w:bookmarkEnd w:id="1342"/>
    </w:p>
    <w:p>
      <w:pPr>
        <w:spacing w:line="360" w:lineRule="auto"/>
        <w:ind w:right="105" w:rightChars="50" w:firstLine="420" w:firstLineChars="200"/>
        <w:jc w:val="left"/>
        <w:rPr>
          <w:rFonts w:ascii="宋体" w:hAnsi="宋体"/>
          <w:color w:val="auto"/>
          <w:szCs w:val="21"/>
          <w:highlight w:val="none"/>
        </w:rPr>
      </w:pPr>
      <w:r>
        <w:rPr>
          <w:rFonts w:hint="eastAsia" w:ascii="宋体" w:hAnsi="宋体"/>
          <w:color w:val="auto"/>
          <w:szCs w:val="21"/>
          <w:highlight w:val="none"/>
        </w:rPr>
        <w:t>21.1.1有下列情形之一的，发包人有权解除合同，亦有权兑付履约担保，并对承包人做清退出场处理</w:t>
      </w:r>
      <w:r>
        <w:rPr>
          <w:rFonts w:hint="eastAsia" w:ascii="宋体" w:hAnsi="宋体"/>
          <w:color w:val="auto"/>
          <w:kern w:val="0"/>
          <w:szCs w:val="21"/>
          <w:highlight w:val="none"/>
        </w:rPr>
        <w:t>：</w:t>
      </w:r>
    </w:p>
    <w:p>
      <w:pPr>
        <w:spacing w:line="360" w:lineRule="auto"/>
        <w:ind w:right="105" w:rightChars="50" w:firstLine="420" w:firstLineChars="200"/>
        <w:jc w:val="left"/>
        <w:rPr>
          <w:rFonts w:ascii="宋体" w:hAnsi="宋体"/>
          <w:color w:val="auto"/>
          <w:szCs w:val="21"/>
          <w:highlight w:val="none"/>
        </w:rPr>
      </w:pPr>
      <w:r>
        <w:rPr>
          <w:rFonts w:hint="eastAsia" w:ascii="宋体" w:hAnsi="宋体"/>
          <w:color w:val="auto"/>
          <w:szCs w:val="21"/>
          <w:highlight w:val="none"/>
        </w:rPr>
        <w:t>（1）因承包人原因造成较大及以上等级生产安全事故或工程质量事故的；</w:t>
      </w:r>
    </w:p>
    <w:p>
      <w:pPr>
        <w:spacing w:line="360" w:lineRule="auto"/>
        <w:ind w:right="105" w:rightChars="50"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（2）因承包人债权债务纠纷或其他纠纷导致工程无法正常施工的。</w:t>
      </w:r>
    </w:p>
    <w:p>
      <w:pPr>
        <w:spacing w:line="360" w:lineRule="auto"/>
        <w:ind w:right="105" w:rightChars="50" w:firstLine="420" w:firstLineChars="200"/>
        <w:jc w:val="left"/>
        <w:rPr>
          <w:rFonts w:ascii="宋体" w:hAnsi="宋体"/>
          <w:color w:val="auto"/>
          <w:szCs w:val="21"/>
          <w:highlight w:val="none"/>
        </w:rPr>
      </w:pPr>
      <w:r>
        <w:rPr>
          <w:rFonts w:hint="eastAsia" w:ascii="宋体" w:hAnsi="宋体"/>
          <w:color w:val="auto"/>
          <w:kern w:val="0"/>
          <w:szCs w:val="21"/>
          <w:highlight w:val="none"/>
        </w:rPr>
        <w:t>（3）</w:t>
      </w:r>
      <w:r>
        <w:rPr>
          <w:rFonts w:hint="eastAsia" w:ascii="宋体" w:hAnsi="宋体"/>
          <w:color w:val="auto"/>
          <w:kern w:val="0"/>
          <w:szCs w:val="21"/>
          <w:highlight w:val="none"/>
          <w:u w:val="single"/>
        </w:rPr>
        <w:t xml:space="preserve">        </w:t>
      </w:r>
      <w:r>
        <w:rPr>
          <w:rFonts w:hint="eastAsia" w:ascii="宋体" w:hAnsi="宋体"/>
          <w:color w:val="auto"/>
          <w:kern w:val="0"/>
          <w:szCs w:val="21"/>
          <w:highlight w:val="none"/>
        </w:rPr>
        <w:t>。</w:t>
      </w:r>
    </w:p>
    <w:p>
      <w:pPr>
        <w:pStyle w:val="2"/>
        <w:spacing w:after="0" w:line="360" w:lineRule="auto"/>
        <w:ind w:firstLine="420" w:firstLineChars="200"/>
        <w:rPr>
          <w:rFonts w:ascii="宋体" w:hAnsi="宋体"/>
          <w:color w:val="auto"/>
          <w:szCs w:val="21"/>
          <w:highlight w:val="none"/>
        </w:rPr>
      </w:pPr>
      <w:r>
        <w:rPr>
          <w:rFonts w:hint="eastAsia" w:ascii="宋体" w:hAnsi="宋体"/>
          <w:color w:val="auto"/>
          <w:szCs w:val="21"/>
          <w:highlight w:val="none"/>
        </w:rPr>
        <w:t>21.1.2有下列情形之一的，承包人有权解除合同，并按16.1.4约定执行：</w:t>
      </w:r>
    </w:p>
    <w:p>
      <w:pPr>
        <w:pStyle w:val="2"/>
        <w:spacing w:after="0" w:line="360" w:lineRule="auto"/>
        <w:ind w:right="105" w:rightChars="50" w:firstLine="420" w:firstLineChars="200"/>
        <w:jc w:val="left"/>
        <w:rPr>
          <w:rFonts w:ascii="宋体" w:hAnsi="宋体"/>
          <w:color w:val="auto"/>
          <w:szCs w:val="21"/>
          <w:highlight w:val="none"/>
        </w:rPr>
      </w:pPr>
      <w:r>
        <w:rPr>
          <w:rFonts w:hint="eastAsia" w:ascii="宋体" w:hAnsi="宋体"/>
          <w:color w:val="auto"/>
          <w:szCs w:val="21"/>
          <w:highlight w:val="none"/>
        </w:rPr>
        <w:t>（1）因发包人征地、拆迁、补偿、审批手续等原因致使本工程延期开工超过90天的。</w:t>
      </w:r>
    </w:p>
    <w:p>
      <w:pPr>
        <w:spacing w:line="360" w:lineRule="auto"/>
        <w:ind w:right="105" w:rightChars="50" w:firstLine="420" w:firstLineChars="200"/>
        <w:jc w:val="left"/>
        <w:rPr>
          <w:rFonts w:ascii="宋体" w:hAnsi="宋体"/>
          <w:color w:val="auto"/>
          <w:szCs w:val="21"/>
          <w:highlight w:val="none"/>
        </w:rPr>
      </w:pPr>
      <w:r>
        <w:rPr>
          <w:rFonts w:hint="eastAsia" w:ascii="宋体" w:hAnsi="宋体"/>
          <w:color w:val="auto"/>
          <w:kern w:val="0"/>
          <w:szCs w:val="21"/>
          <w:highlight w:val="none"/>
        </w:rPr>
        <w:t>（2）</w:t>
      </w:r>
      <w:r>
        <w:rPr>
          <w:rFonts w:hint="eastAsia" w:ascii="宋体" w:hAnsi="宋体"/>
          <w:color w:val="auto"/>
          <w:kern w:val="0"/>
          <w:szCs w:val="21"/>
          <w:highlight w:val="none"/>
          <w:u w:val="single"/>
        </w:rPr>
        <w:t xml:space="preserve">        </w:t>
      </w:r>
      <w:r>
        <w:rPr>
          <w:rFonts w:hint="eastAsia" w:ascii="宋体" w:hAnsi="宋体"/>
          <w:color w:val="auto"/>
          <w:kern w:val="0"/>
          <w:szCs w:val="21"/>
          <w:highlight w:val="none"/>
        </w:rPr>
        <w:t>。</w:t>
      </w:r>
    </w:p>
    <w:p>
      <w:pPr>
        <w:pStyle w:val="6"/>
        <w:spacing w:before="0" w:beforeAutospacing="0" w:after="0" w:afterAutospacing="0" w:line="360" w:lineRule="auto"/>
        <w:ind w:firstLine="422" w:firstLineChars="200"/>
        <w:rPr>
          <w:color w:val="auto"/>
          <w:sz w:val="21"/>
          <w:szCs w:val="21"/>
          <w:highlight w:val="none"/>
        </w:rPr>
      </w:pPr>
      <w:bookmarkStart w:id="1343" w:name="_Toc532377424"/>
      <w:bookmarkStart w:id="1344" w:name="_Toc532375685"/>
      <w:r>
        <w:rPr>
          <w:rFonts w:hint="eastAsia"/>
          <w:color w:val="auto"/>
          <w:sz w:val="21"/>
          <w:szCs w:val="21"/>
          <w:highlight w:val="none"/>
        </w:rPr>
        <w:t>21.2智慧工地</w:t>
      </w:r>
      <w:bookmarkEnd w:id="1343"/>
      <w:bookmarkEnd w:id="1344"/>
    </w:p>
    <w:p>
      <w:pPr>
        <w:spacing w:line="360" w:lineRule="auto"/>
        <w:ind w:right="105" w:rightChars="50" w:firstLine="420" w:firstLineChars="200"/>
        <w:jc w:val="left"/>
        <w:rPr>
          <w:rFonts w:hint="eastAsia" w:ascii="宋体" w:hAnsi="宋体"/>
          <w:color w:val="auto"/>
          <w:szCs w:val="21"/>
          <w:highlight w:val="none"/>
        </w:rPr>
      </w:pPr>
      <w:r>
        <w:rPr>
          <w:rFonts w:hint="eastAsia" w:ascii="宋体" w:hAnsi="宋体"/>
          <w:color w:val="auto"/>
          <w:szCs w:val="21"/>
          <w:highlight w:val="none"/>
        </w:rPr>
        <w:t>工地建设可参照重庆市城乡建设委员会《关于印发“智慧工地”建设工作方案的通知》（渝建〔2017〕414号）的相关要求建设。</w:t>
      </w:r>
      <w:bookmarkEnd w:id="1285"/>
    </w:p>
    <w:p>
      <w:pPr>
        <w:pStyle w:val="6"/>
        <w:spacing w:before="0" w:beforeAutospacing="0" w:after="0" w:afterAutospacing="0" w:line="360" w:lineRule="auto"/>
        <w:ind w:firstLine="422" w:firstLineChars="200"/>
        <w:rPr>
          <w:color w:val="auto"/>
          <w:sz w:val="21"/>
          <w:szCs w:val="21"/>
          <w:highlight w:val="none"/>
        </w:rPr>
      </w:pPr>
      <w:r>
        <w:rPr>
          <w:rFonts w:hint="eastAsia"/>
          <w:color w:val="auto"/>
          <w:sz w:val="21"/>
          <w:szCs w:val="21"/>
          <w:highlight w:val="none"/>
        </w:rPr>
        <w:t xml:space="preserve">21.3 </w:t>
      </w:r>
      <w:r>
        <w:rPr>
          <w:rFonts w:hint="eastAsia"/>
          <w:color w:val="auto"/>
          <w:sz w:val="21"/>
          <w:szCs w:val="21"/>
          <w:highlight w:val="none"/>
          <w:u w:val="single"/>
        </w:rPr>
        <w:t xml:space="preserve">       </w:t>
      </w:r>
    </w:p>
    <w:p>
      <w:pPr>
        <w:pStyle w:val="5"/>
        <w:keepNext/>
        <w:keepLines/>
        <w:spacing w:before="156" w:beforeLines="50" w:beforeAutospacing="0" w:after="156" w:afterLines="50" w:afterAutospacing="0" w:line="360" w:lineRule="auto"/>
        <w:jc w:val="both"/>
        <w:rPr>
          <w:bCs w:val="0"/>
          <w:color w:val="auto"/>
          <w:kern w:val="2"/>
          <w:sz w:val="21"/>
          <w:szCs w:val="21"/>
          <w:highlight w:val="none"/>
        </w:rPr>
      </w:pPr>
      <w:bookmarkStart w:id="1345" w:name="baidusnap7"/>
      <w:bookmarkEnd w:id="1345"/>
      <w:bookmarkStart w:id="1346" w:name="baidusnap3"/>
      <w:bookmarkEnd w:id="1346"/>
      <w:bookmarkStart w:id="1347" w:name="_Toc532375686"/>
      <w:bookmarkStart w:id="1348" w:name="_Toc532377425"/>
      <w:bookmarkStart w:id="1349" w:name="_Toc351203652"/>
      <w:r>
        <w:rPr>
          <w:rFonts w:hint="eastAsia"/>
          <w:color w:val="auto"/>
          <w:kern w:val="2"/>
          <w:sz w:val="21"/>
          <w:szCs w:val="21"/>
          <w:highlight w:val="none"/>
        </w:rPr>
        <w:t>22. 合同附件</w:t>
      </w:r>
      <w:bookmarkEnd w:id="1347"/>
      <w:bookmarkEnd w:id="1348"/>
    </w:p>
    <w:p>
      <w:pPr>
        <w:spacing w:line="360" w:lineRule="auto"/>
        <w:ind w:right="105" w:rightChars="50" w:firstLine="420" w:firstLineChars="200"/>
        <w:jc w:val="left"/>
        <w:rPr>
          <w:rFonts w:hint="eastAsia" w:ascii="宋体" w:hAnsi="宋体"/>
          <w:color w:val="auto"/>
          <w:szCs w:val="21"/>
          <w:highlight w:val="none"/>
        </w:rPr>
      </w:pPr>
      <w:r>
        <w:rPr>
          <w:rFonts w:hint="eastAsia" w:ascii="宋体" w:hAnsi="宋体"/>
          <w:color w:val="auto"/>
          <w:szCs w:val="21"/>
          <w:highlight w:val="none"/>
        </w:rPr>
        <w:t>以下十个附件是本合同的有效组成部分：</w:t>
      </w:r>
    </w:p>
    <w:p>
      <w:pPr>
        <w:spacing w:line="360" w:lineRule="auto"/>
        <w:ind w:right="105" w:rightChars="50" w:firstLine="420" w:firstLineChars="200"/>
        <w:jc w:val="left"/>
        <w:rPr>
          <w:rFonts w:ascii="宋体" w:hAnsi="宋体"/>
          <w:color w:val="auto"/>
          <w:szCs w:val="21"/>
          <w:highlight w:val="none"/>
        </w:rPr>
      </w:pPr>
      <w:r>
        <w:rPr>
          <w:rFonts w:hint="eastAsia" w:ascii="宋体" w:hAnsi="宋体"/>
          <w:color w:val="auto"/>
          <w:szCs w:val="21"/>
          <w:highlight w:val="none"/>
        </w:rPr>
        <w:t>附件1：工程质量保修书</w:t>
      </w:r>
    </w:p>
    <w:p>
      <w:pPr>
        <w:spacing w:line="360" w:lineRule="auto"/>
        <w:ind w:right="105" w:rightChars="50" w:firstLine="420" w:firstLineChars="200"/>
        <w:jc w:val="left"/>
        <w:rPr>
          <w:rFonts w:ascii="宋体" w:hAnsi="宋体"/>
          <w:color w:val="auto"/>
          <w:szCs w:val="21"/>
          <w:highlight w:val="none"/>
        </w:rPr>
      </w:pPr>
      <w:r>
        <w:rPr>
          <w:rFonts w:hint="eastAsia" w:ascii="宋体" w:hAnsi="宋体"/>
          <w:color w:val="auto"/>
          <w:szCs w:val="21"/>
          <w:highlight w:val="none"/>
        </w:rPr>
        <w:t>附件2：主要建设工程文件目录</w:t>
      </w:r>
    </w:p>
    <w:p>
      <w:pPr>
        <w:spacing w:line="360" w:lineRule="auto"/>
        <w:ind w:right="105" w:rightChars="50" w:firstLine="420" w:firstLineChars="200"/>
        <w:jc w:val="left"/>
        <w:rPr>
          <w:rFonts w:ascii="宋体" w:hAnsi="宋体"/>
          <w:color w:val="auto"/>
          <w:szCs w:val="21"/>
          <w:highlight w:val="none"/>
        </w:rPr>
      </w:pPr>
      <w:r>
        <w:rPr>
          <w:rFonts w:hint="eastAsia" w:ascii="宋体" w:hAnsi="宋体"/>
          <w:color w:val="auto"/>
          <w:szCs w:val="21"/>
          <w:highlight w:val="none"/>
        </w:rPr>
        <w:t>附件3：承包人项目管理机构组成表</w:t>
      </w:r>
    </w:p>
    <w:p>
      <w:pPr>
        <w:spacing w:line="360" w:lineRule="auto"/>
        <w:ind w:right="105" w:rightChars="50" w:firstLine="420" w:firstLineChars="200"/>
        <w:jc w:val="left"/>
        <w:rPr>
          <w:rFonts w:ascii="宋体" w:hAnsi="宋体"/>
          <w:color w:val="auto"/>
          <w:szCs w:val="21"/>
          <w:highlight w:val="none"/>
        </w:rPr>
      </w:pPr>
      <w:r>
        <w:rPr>
          <w:rFonts w:hint="eastAsia" w:ascii="宋体" w:hAnsi="宋体"/>
          <w:color w:val="auto"/>
          <w:szCs w:val="21"/>
          <w:highlight w:val="none"/>
        </w:rPr>
        <w:t>附件4：履约担保（如有）</w:t>
      </w:r>
    </w:p>
    <w:p>
      <w:pPr>
        <w:spacing w:line="360" w:lineRule="auto"/>
        <w:ind w:right="105" w:rightChars="50" w:firstLine="420" w:firstLineChars="200"/>
        <w:jc w:val="left"/>
        <w:rPr>
          <w:rFonts w:hint="eastAsia" w:ascii="宋体" w:hAnsi="宋体"/>
          <w:color w:val="auto"/>
          <w:szCs w:val="21"/>
          <w:highlight w:val="none"/>
        </w:rPr>
      </w:pPr>
      <w:r>
        <w:rPr>
          <w:rFonts w:hint="eastAsia" w:ascii="宋体" w:hAnsi="宋体"/>
          <w:color w:val="auto"/>
          <w:szCs w:val="21"/>
          <w:highlight w:val="none"/>
        </w:rPr>
        <w:t>附件5：预付款担保（如有）</w:t>
      </w:r>
    </w:p>
    <w:p>
      <w:pPr>
        <w:spacing w:line="360" w:lineRule="auto"/>
        <w:ind w:right="105" w:rightChars="50" w:firstLine="420" w:firstLineChars="200"/>
        <w:jc w:val="left"/>
        <w:rPr>
          <w:rFonts w:ascii="宋体" w:hAnsi="宋体"/>
          <w:color w:val="auto"/>
          <w:szCs w:val="21"/>
          <w:highlight w:val="none"/>
        </w:rPr>
      </w:pPr>
      <w:r>
        <w:rPr>
          <w:rFonts w:hint="eastAsia" w:ascii="宋体" w:hAnsi="宋体"/>
          <w:color w:val="auto"/>
          <w:szCs w:val="21"/>
          <w:highlight w:val="none"/>
        </w:rPr>
        <w:t>附件6：支付担保（如有）</w:t>
      </w:r>
    </w:p>
    <w:p>
      <w:pPr>
        <w:spacing w:line="360" w:lineRule="auto"/>
        <w:ind w:right="105" w:rightChars="50" w:firstLine="420" w:firstLineChars="200"/>
        <w:jc w:val="left"/>
        <w:rPr>
          <w:rFonts w:ascii="宋体" w:hAnsi="宋体"/>
          <w:color w:val="auto"/>
          <w:szCs w:val="21"/>
          <w:highlight w:val="none"/>
        </w:rPr>
      </w:pPr>
      <w:r>
        <w:rPr>
          <w:rFonts w:hint="eastAsia" w:ascii="宋体" w:hAnsi="宋体"/>
          <w:color w:val="auto"/>
          <w:szCs w:val="21"/>
          <w:highlight w:val="none"/>
        </w:rPr>
        <w:t>附件7：专业工程暂估价表</w:t>
      </w:r>
    </w:p>
    <w:p>
      <w:pPr>
        <w:spacing w:line="360" w:lineRule="auto"/>
        <w:ind w:right="105" w:rightChars="50" w:firstLine="420" w:firstLineChars="200"/>
        <w:jc w:val="left"/>
        <w:rPr>
          <w:rFonts w:ascii="宋体" w:hAnsi="宋体"/>
          <w:color w:val="auto"/>
          <w:szCs w:val="21"/>
          <w:highlight w:val="none"/>
        </w:rPr>
      </w:pPr>
      <w:r>
        <w:rPr>
          <w:rFonts w:hint="eastAsia" w:ascii="宋体" w:hAnsi="宋体"/>
          <w:color w:val="auto"/>
          <w:szCs w:val="21"/>
          <w:highlight w:val="none"/>
        </w:rPr>
        <w:t>附件8：廉洁从业协议</w:t>
      </w:r>
    </w:p>
    <w:p>
      <w:pPr>
        <w:spacing w:line="360" w:lineRule="auto"/>
        <w:ind w:right="105" w:rightChars="50" w:firstLine="420" w:firstLineChars="200"/>
        <w:jc w:val="left"/>
        <w:rPr>
          <w:rFonts w:ascii="宋体" w:hAnsi="宋体"/>
          <w:color w:val="auto"/>
          <w:szCs w:val="21"/>
          <w:highlight w:val="none"/>
        </w:rPr>
      </w:pPr>
      <w:r>
        <w:rPr>
          <w:rFonts w:hint="eastAsia" w:ascii="宋体" w:hAnsi="宋体"/>
          <w:color w:val="auto"/>
          <w:szCs w:val="21"/>
          <w:highlight w:val="none"/>
        </w:rPr>
        <w:t>附件9：安全管理协议</w:t>
      </w:r>
    </w:p>
    <w:p>
      <w:pPr>
        <w:spacing w:line="360" w:lineRule="auto"/>
        <w:ind w:right="105" w:rightChars="50" w:firstLine="420" w:firstLineChars="200"/>
        <w:jc w:val="left"/>
        <w:rPr>
          <w:rFonts w:ascii="宋体" w:hAnsi="宋体"/>
          <w:color w:val="auto"/>
          <w:szCs w:val="21"/>
          <w:highlight w:val="none"/>
        </w:rPr>
      </w:pPr>
      <w:r>
        <w:rPr>
          <w:rFonts w:hint="eastAsia" w:ascii="宋体" w:hAnsi="宋体"/>
          <w:color w:val="auto"/>
          <w:szCs w:val="21"/>
          <w:highlight w:val="none"/>
        </w:rPr>
        <w:t>附件10：保障农民工工资支付协议</w:t>
      </w:r>
    </w:p>
    <w:bookmarkEnd w:id="1349"/>
    <w:p>
      <w:pPr>
        <w:spacing w:line="360" w:lineRule="auto"/>
        <w:rPr>
          <w:rFonts w:ascii="宋体" w:hAnsi="宋体"/>
          <w:color w:val="auto"/>
          <w:szCs w:val="21"/>
          <w:highlight w:val="none"/>
        </w:rPr>
      </w:pPr>
      <w:r>
        <w:rPr>
          <w:rFonts w:hint="eastAsia" w:ascii="宋体" w:hAnsi="宋体"/>
          <w:color w:val="auto"/>
          <w:szCs w:val="21"/>
          <w:highlight w:val="none"/>
        </w:rPr>
        <w:br w:type="page"/>
      </w:r>
      <w:r>
        <w:rPr>
          <w:rFonts w:hint="eastAsia" w:ascii="宋体" w:hAnsi="宋体"/>
          <w:color w:val="auto"/>
          <w:szCs w:val="21"/>
          <w:highlight w:val="none"/>
        </w:rPr>
        <w:t>附</w:t>
      </w:r>
      <w:bookmarkStart w:id="1350" w:name="_Toc296891054"/>
      <w:bookmarkStart w:id="1351" w:name="_Toc296891266"/>
      <w:bookmarkStart w:id="1352" w:name="_Toc296346727"/>
      <w:bookmarkStart w:id="1353" w:name="_Toc296503226"/>
      <w:bookmarkStart w:id="1354" w:name="_Toc267261693"/>
      <w:bookmarkStart w:id="1355" w:name="_Toc296944565"/>
      <w:bookmarkStart w:id="1356" w:name="_Toc296347225"/>
      <w:r>
        <w:rPr>
          <w:rFonts w:hint="eastAsia" w:ascii="宋体" w:hAnsi="宋体"/>
          <w:color w:val="auto"/>
          <w:szCs w:val="21"/>
          <w:highlight w:val="none"/>
        </w:rPr>
        <w:t>件1：</w:t>
      </w:r>
      <w:bookmarkEnd w:id="1350"/>
      <w:bookmarkEnd w:id="1351"/>
      <w:bookmarkEnd w:id="1352"/>
      <w:bookmarkEnd w:id="1353"/>
      <w:bookmarkEnd w:id="1354"/>
      <w:bookmarkEnd w:id="1355"/>
      <w:bookmarkEnd w:id="1356"/>
    </w:p>
    <w:p>
      <w:pPr>
        <w:spacing w:before="156" w:beforeLines="50" w:after="156" w:afterLines="50" w:line="360" w:lineRule="auto"/>
        <w:jc w:val="center"/>
        <w:rPr>
          <w:rFonts w:ascii="宋体" w:hAnsi="宋体"/>
          <w:color w:val="auto"/>
          <w:szCs w:val="21"/>
          <w:highlight w:val="none"/>
        </w:rPr>
      </w:pPr>
      <w:r>
        <w:rPr>
          <w:rFonts w:hint="eastAsia" w:ascii="宋体" w:hAnsi="宋体"/>
          <w:color w:val="auto"/>
          <w:szCs w:val="21"/>
          <w:highlight w:val="none"/>
        </w:rPr>
        <w:t>工程质量保修书</w:t>
      </w:r>
    </w:p>
    <w:p>
      <w:pPr>
        <w:snapToGrid w:val="0"/>
        <w:spacing w:line="360" w:lineRule="auto"/>
        <w:ind w:firstLine="422" w:firstLineChars="200"/>
        <w:rPr>
          <w:rFonts w:ascii="宋体" w:hAnsi="宋体"/>
          <w:b/>
          <w:color w:val="auto"/>
          <w:szCs w:val="21"/>
          <w:highlight w:val="none"/>
          <w:u w:val="single"/>
        </w:rPr>
      </w:pPr>
      <w:r>
        <w:rPr>
          <w:rFonts w:hint="eastAsia" w:ascii="宋体" w:hAnsi="宋体"/>
          <w:b/>
          <w:color w:val="auto"/>
          <w:szCs w:val="21"/>
          <w:highlight w:val="none"/>
        </w:rPr>
        <w:t>发包人（全称）：</w:t>
      </w:r>
      <w:r>
        <w:rPr>
          <w:rFonts w:hint="eastAsia" w:ascii="宋体" w:hAnsi="宋体"/>
          <w:color w:val="auto"/>
          <w:szCs w:val="21"/>
          <w:highlight w:val="none"/>
          <w:u w:val="single"/>
        </w:rPr>
        <w:t xml:space="preserve">                             </w:t>
      </w:r>
    </w:p>
    <w:p>
      <w:pPr>
        <w:snapToGrid w:val="0"/>
        <w:spacing w:line="360" w:lineRule="auto"/>
        <w:ind w:firstLine="422" w:firstLineChars="200"/>
        <w:rPr>
          <w:rFonts w:ascii="宋体" w:hAnsi="宋体"/>
          <w:b/>
          <w:color w:val="auto"/>
          <w:szCs w:val="21"/>
          <w:highlight w:val="none"/>
          <w:u w:val="single"/>
        </w:rPr>
      </w:pPr>
      <w:r>
        <w:rPr>
          <w:rFonts w:hint="eastAsia" w:ascii="宋体" w:hAnsi="宋体"/>
          <w:b/>
          <w:color w:val="auto"/>
          <w:szCs w:val="21"/>
          <w:highlight w:val="none"/>
        </w:rPr>
        <w:t>承包人（全称）：</w:t>
      </w:r>
      <w:r>
        <w:rPr>
          <w:rFonts w:hint="eastAsia" w:ascii="宋体" w:hAnsi="宋体"/>
          <w:color w:val="auto"/>
          <w:szCs w:val="21"/>
          <w:highlight w:val="none"/>
          <w:u w:val="single"/>
        </w:rPr>
        <w:t xml:space="preserve">                             </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发包人和承包人根据《中华人民共和国建筑法》和《建设工程质量管理条例》，经协商一致就</w:t>
      </w:r>
    </w:p>
    <w:p>
      <w:pPr>
        <w:spacing w:line="360" w:lineRule="auto"/>
        <w:rPr>
          <w:rFonts w:ascii="宋体" w:hAnsi="宋体"/>
          <w:color w:val="auto"/>
          <w:szCs w:val="21"/>
          <w:highlight w:val="none"/>
        </w:rPr>
      </w:pPr>
      <w:r>
        <w:rPr>
          <w:rFonts w:hint="eastAsia" w:ascii="宋体" w:hAnsi="宋体"/>
          <w:color w:val="auto"/>
          <w:szCs w:val="21"/>
          <w:highlight w:val="none"/>
          <w:u w:val="single"/>
        </w:rPr>
        <w:t xml:space="preserve">        </w:t>
      </w:r>
      <w:r>
        <w:rPr>
          <w:rFonts w:hint="eastAsia" w:ascii="宋体" w:hAnsi="宋体"/>
          <w:color w:val="auto"/>
          <w:szCs w:val="21"/>
          <w:highlight w:val="none"/>
        </w:rPr>
        <w:t>（工程全称）签订工程质量保修书。</w:t>
      </w:r>
    </w:p>
    <w:p>
      <w:pPr>
        <w:spacing w:line="360" w:lineRule="auto"/>
        <w:ind w:firstLine="420" w:firstLineChars="200"/>
        <w:rPr>
          <w:rFonts w:ascii="宋体" w:hAnsi="宋体"/>
          <w:color w:val="auto"/>
          <w:szCs w:val="21"/>
          <w:highlight w:val="none"/>
        </w:rPr>
      </w:pPr>
      <w:bookmarkStart w:id="1357" w:name="_Toc532375687"/>
      <w:r>
        <w:rPr>
          <w:rFonts w:hint="eastAsia" w:ascii="宋体" w:hAnsi="宋体"/>
          <w:color w:val="auto"/>
          <w:szCs w:val="21"/>
          <w:highlight w:val="none"/>
        </w:rPr>
        <w:t>一、工程质量保修范围和内容</w:t>
      </w:r>
      <w:bookmarkEnd w:id="1357"/>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承包人在质量保修期内，按照有关法律规定和合同约定，承担工程质量保修责任。</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承包人承包范围内容均属质量保修范围内容；其中：</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1.属于设计原因造成的质量问题，承包人负责维修，不留隐患，费用由发包人承担；</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2.属于施工造成的质量问题，承包人负责维修，不留隐患；</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3.属于业主使用不当造成的质量问题，配合抢修，费用由发包人承担。</w:t>
      </w:r>
    </w:p>
    <w:p>
      <w:pPr>
        <w:spacing w:line="360" w:lineRule="auto"/>
        <w:ind w:firstLine="420" w:firstLineChars="200"/>
        <w:rPr>
          <w:rFonts w:ascii="宋体" w:hAnsi="宋体"/>
          <w:color w:val="auto"/>
          <w:szCs w:val="21"/>
          <w:highlight w:val="none"/>
        </w:rPr>
      </w:pPr>
      <w:bookmarkStart w:id="1358" w:name="_Toc532375688"/>
      <w:r>
        <w:rPr>
          <w:rFonts w:hint="eastAsia" w:ascii="宋体" w:hAnsi="宋体"/>
          <w:color w:val="auto"/>
          <w:szCs w:val="21"/>
          <w:highlight w:val="none"/>
        </w:rPr>
        <w:t>二、质量保修期</w:t>
      </w:r>
      <w:bookmarkEnd w:id="1358"/>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根据《建设工程质量管理条例》及有关规定，本工程质量保修期约定如下：</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1.基础设施工程、房屋建筑的地基基础工程和主体结构工程，为设计文件规定的该工程的合理使用年限；</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2.屋面防水工程、有防水要求的卫生间、房间和外墙面的防渗漏，为5年；</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3.供热与供冷系统，为2个采暖期、供冷期；</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4.电气管线、给排水管道、设备安装和装修工程，为2年；</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5.其他项目保修期限：2年；</w:t>
      </w:r>
      <w:r>
        <w:rPr>
          <w:rFonts w:hint="eastAsia" w:ascii="宋体" w:hAnsi="宋体"/>
          <w:i/>
          <w:color w:val="auto"/>
          <w:szCs w:val="21"/>
          <w:highlight w:val="none"/>
        </w:rPr>
        <w:t>[提示：如有不同，根据具体情况修改]</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建设工程的保修期，自工程竣工验收合格之日起计算。</w:t>
      </w:r>
    </w:p>
    <w:p>
      <w:pPr>
        <w:spacing w:line="360" w:lineRule="auto"/>
        <w:ind w:firstLine="420" w:firstLineChars="200"/>
        <w:rPr>
          <w:rFonts w:ascii="宋体" w:hAnsi="宋体"/>
          <w:color w:val="auto"/>
          <w:szCs w:val="21"/>
          <w:highlight w:val="none"/>
        </w:rPr>
      </w:pPr>
      <w:bookmarkStart w:id="1359" w:name="_Toc532375689"/>
      <w:r>
        <w:rPr>
          <w:rFonts w:hint="eastAsia" w:ascii="宋体" w:hAnsi="宋体"/>
          <w:color w:val="auto"/>
          <w:szCs w:val="21"/>
          <w:highlight w:val="none"/>
        </w:rPr>
        <w:t>三、质量保修责任</w:t>
      </w:r>
      <w:bookmarkEnd w:id="1359"/>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1.属于保修范围、内容的项目，承包人应当在接到保修通知之日起7天内派人保修。承包人不在约定期限内派人保修的，发包人可以委托他人修理。</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2.发生紧急事故需抢修的，承包人在接到事故通知后，应当立即到达事故现场抢修。</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3.对于涉及结构安全的质量问题，应当按照《房屋建筑工程质量保修办法》的规定，立即向当地建设行政主管部门报告，采取安全防范措施；由原设计单位或者具有相应资质等级的设计单位提出保修方案，承包人实施保修。</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4.质量保修完成后，由发包人组织验收。</w:t>
      </w:r>
    </w:p>
    <w:p>
      <w:pPr>
        <w:spacing w:line="360" w:lineRule="auto"/>
        <w:ind w:firstLine="420" w:firstLineChars="200"/>
        <w:rPr>
          <w:rFonts w:ascii="宋体" w:hAnsi="宋体"/>
          <w:color w:val="auto"/>
          <w:szCs w:val="21"/>
          <w:highlight w:val="none"/>
        </w:rPr>
      </w:pPr>
      <w:bookmarkStart w:id="1360" w:name="_Toc532375690"/>
      <w:r>
        <w:rPr>
          <w:rFonts w:hint="eastAsia" w:ascii="宋体" w:hAnsi="宋体"/>
          <w:color w:val="auto"/>
          <w:szCs w:val="21"/>
          <w:highlight w:val="none"/>
        </w:rPr>
        <w:t>四、保修费用</w:t>
      </w:r>
      <w:bookmarkEnd w:id="1360"/>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保修费用由质量缺陷的责任方承担。</w:t>
      </w:r>
    </w:p>
    <w:p>
      <w:pPr>
        <w:spacing w:line="360" w:lineRule="auto"/>
        <w:ind w:firstLine="420" w:firstLineChars="200"/>
        <w:rPr>
          <w:rFonts w:ascii="宋体" w:hAnsi="宋体"/>
          <w:color w:val="auto"/>
          <w:szCs w:val="21"/>
          <w:highlight w:val="none"/>
        </w:rPr>
      </w:pPr>
      <w:bookmarkStart w:id="1361" w:name="_Toc532375691"/>
      <w:r>
        <w:rPr>
          <w:rFonts w:hint="eastAsia" w:ascii="宋体" w:hAnsi="宋体"/>
          <w:color w:val="auto"/>
          <w:szCs w:val="21"/>
          <w:highlight w:val="none"/>
        </w:rPr>
        <w:t>五、双方约定的其他工程质量保修事项</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u w:val="single"/>
        </w:rPr>
        <w:t>按国家相关法律和规定执行</w:t>
      </w:r>
      <w:r>
        <w:rPr>
          <w:rFonts w:hint="eastAsia" w:ascii="宋体" w:hAnsi="宋体"/>
          <w:color w:val="auto"/>
          <w:szCs w:val="21"/>
          <w:highlight w:val="none"/>
        </w:rPr>
        <w:t>。</w:t>
      </w:r>
      <w:bookmarkEnd w:id="1361"/>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本工程质量保修书由发包人、承包人在工程竣工验收前共同签署，作为施工合同附件，其有效期限至保修期满。</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六、本文件生效</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本工程质量保修书经发包人与承包人盖章后生效。</w:t>
      </w:r>
    </w:p>
    <w:p>
      <w:pPr>
        <w:pStyle w:val="2"/>
        <w:spacing w:line="360" w:lineRule="auto"/>
        <w:ind w:firstLine="420" w:firstLineChars="200"/>
        <w:rPr>
          <w:rFonts w:ascii="宋体" w:hAnsi="宋体"/>
          <w:color w:val="auto"/>
          <w:szCs w:val="21"/>
          <w:highlight w:val="none"/>
        </w:rPr>
      </w:pPr>
    </w:p>
    <w:p>
      <w:pPr>
        <w:spacing w:line="360" w:lineRule="auto"/>
        <w:ind w:firstLine="420" w:firstLineChars="200"/>
        <w:rPr>
          <w:rFonts w:ascii="宋体" w:hAnsi="宋体"/>
          <w:snapToGrid w:val="0"/>
          <w:color w:val="auto"/>
          <w:kern w:val="0"/>
          <w:szCs w:val="21"/>
          <w:highlight w:val="none"/>
        </w:rPr>
      </w:pPr>
      <w:r>
        <w:rPr>
          <w:rFonts w:hint="eastAsia" w:ascii="宋体" w:hAnsi="宋体"/>
          <w:snapToGrid w:val="0"/>
          <w:color w:val="auto"/>
          <w:kern w:val="0"/>
          <w:szCs w:val="21"/>
          <w:highlight w:val="none"/>
        </w:rPr>
        <w:t>发包人：</w:t>
      </w:r>
      <w:r>
        <w:rPr>
          <w:rFonts w:hint="eastAsia"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rPr>
        <w:t>（盖单位公章）</w:t>
      </w:r>
    </w:p>
    <w:p>
      <w:pPr>
        <w:spacing w:line="360" w:lineRule="auto"/>
        <w:ind w:firstLine="420" w:firstLineChars="200"/>
        <w:rPr>
          <w:rFonts w:ascii="宋体" w:hAnsi="宋体"/>
          <w:snapToGrid w:val="0"/>
          <w:color w:val="auto"/>
          <w:kern w:val="0"/>
          <w:szCs w:val="21"/>
          <w:highlight w:val="none"/>
        </w:rPr>
      </w:pPr>
    </w:p>
    <w:p>
      <w:pPr>
        <w:spacing w:line="360" w:lineRule="auto"/>
        <w:ind w:firstLine="420" w:firstLineChars="200"/>
        <w:rPr>
          <w:rFonts w:ascii="宋体" w:hAnsi="宋体"/>
          <w:snapToGrid w:val="0"/>
          <w:color w:val="auto"/>
          <w:kern w:val="0"/>
          <w:szCs w:val="21"/>
          <w:highlight w:val="none"/>
        </w:rPr>
      </w:pPr>
    </w:p>
    <w:p>
      <w:pPr>
        <w:spacing w:line="360" w:lineRule="auto"/>
        <w:ind w:firstLine="420" w:firstLineChars="200"/>
        <w:rPr>
          <w:rFonts w:ascii="宋体" w:hAnsi="宋体"/>
          <w:snapToGrid w:val="0"/>
          <w:color w:val="auto"/>
          <w:kern w:val="0"/>
          <w:szCs w:val="21"/>
          <w:highlight w:val="none"/>
        </w:rPr>
      </w:pPr>
      <w:r>
        <w:rPr>
          <w:rFonts w:hint="eastAsia" w:ascii="宋体" w:hAnsi="宋体"/>
          <w:snapToGrid w:val="0"/>
          <w:color w:val="auto"/>
          <w:kern w:val="0"/>
          <w:szCs w:val="21"/>
          <w:highlight w:val="none"/>
        </w:rPr>
        <w:t>法定代表人或其委托代理人：</w:t>
      </w:r>
      <w:r>
        <w:rPr>
          <w:rFonts w:hint="eastAsia"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rPr>
        <w:t>（签字）</w:t>
      </w:r>
    </w:p>
    <w:p>
      <w:pPr>
        <w:spacing w:line="360" w:lineRule="auto"/>
        <w:ind w:firstLine="420" w:firstLineChars="200"/>
        <w:rPr>
          <w:rFonts w:ascii="宋体" w:hAnsi="宋体"/>
          <w:snapToGrid w:val="0"/>
          <w:color w:val="auto"/>
          <w:kern w:val="0"/>
          <w:szCs w:val="21"/>
          <w:highlight w:val="none"/>
        </w:rPr>
      </w:pPr>
    </w:p>
    <w:p>
      <w:pPr>
        <w:spacing w:line="360" w:lineRule="auto"/>
        <w:ind w:firstLine="420" w:firstLineChars="200"/>
        <w:rPr>
          <w:rFonts w:ascii="宋体" w:hAnsi="宋体"/>
          <w:snapToGrid w:val="0"/>
          <w:color w:val="auto"/>
          <w:kern w:val="0"/>
          <w:szCs w:val="21"/>
          <w:highlight w:val="none"/>
        </w:rPr>
      </w:pPr>
    </w:p>
    <w:p>
      <w:pPr>
        <w:spacing w:line="360" w:lineRule="auto"/>
        <w:ind w:firstLine="420" w:firstLineChars="200"/>
        <w:rPr>
          <w:rFonts w:ascii="宋体" w:hAnsi="宋体"/>
          <w:color w:val="auto"/>
          <w:szCs w:val="21"/>
          <w:highlight w:val="none"/>
        </w:rPr>
      </w:pPr>
      <w:r>
        <w:rPr>
          <w:rFonts w:hint="eastAsia" w:ascii="宋体" w:hAnsi="宋体"/>
          <w:snapToGrid w:val="0"/>
          <w:color w:val="auto"/>
          <w:kern w:val="0"/>
          <w:szCs w:val="21"/>
          <w:highlight w:val="none"/>
        </w:rPr>
        <w:t>承包人：</w:t>
      </w:r>
      <w:r>
        <w:rPr>
          <w:rFonts w:hint="eastAsia"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rPr>
        <w:t>（盖单位公章）</w:t>
      </w:r>
    </w:p>
    <w:p>
      <w:pPr>
        <w:spacing w:line="360" w:lineRule="auto"/>
        <w:ind w:firstLine="420" w:firstLineChars="200"/>
        <w:rPr>
          <w:rFonts w:ascii="宋体" w:hAnsi="宋体"/>
          <w:snapToGrid w:val="0"/>
          <w:color w:val="auto"/>
          <w:kern w:val="0"/>
          <w:szCs w:val="21"/>
          <w:highlight w:val="none"/>
        </w:rPr>
      </w:pPr>
    </w:p>
    <w:p>
      <w:pPr>
        <w:spacing w:line="360" w:lineRule="auto"/>
        <w:ind w:firstLine="420" w:firstLineChars="200"/>
        <w:rPr>
          <w:rFonts w:ascii="宋体" w:hAnsi="宋体"/>
          <w:snapToGrid w:val="0"/>
          <w:color w:val="auto"/>
          <w:kern w:val="0"/>
          <w:szCs w:val="21"/>
          <w:highlight w:val="none"/>
        </w:rPr>
      </w:pPr>
    </w:p>
    <w:p>
      <w:pPr>
        <w:spacing w:line="360" w:lineRule="auto"/>
        <w:ind w:firstLine="420" w:firstLineChars="200"/>
        <w:rPr>
          <w:rFonts w:ascii="宋体" w:hAnsi="宋体"/>
          <w:bCs/>
          <w:color w:val="auto"/>
          <w:kern w:val="0"/>
          <w:szCs w:val="21"/>
          <w:highlight w:val="none"/>
        </w:rPr>
      </w:pPr>
      <w:r>
        <w:rPr>
          <w:rFonts w:hint="eastAsia" w:ascii="宋体" w:hAnsi="宋体"/>
          <w:snapToGrid w:val="0"/>
          <w:color w:val="auto"/>
          <w:kern w:val="0"/>
          <w:szCs w:val="21"/>
          <w:highlight w:val="none"/>
        </w:rPr>
        <w:t>法定代表人或其委托代理人：</w:t>
      </w:r>
      <w:r>
        <w:rPr>
          <w:rFonts w:hint="eastAsia"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rPr>
        <w:t>（签字）</w:t>
      </w:r>
    </w:p>
    <w:p>
      <w:pPr>
        <w:spacing w:line="360" w:lineRule="auto"/>
        <w:ind w:firstLine="418" w:firstLineChars="200"/>
        <w:rPr>
          <w:rFonts w:ascii="宋体" w:hAnsi="宋体"/>
          <w:snapToGrid w:val="0"/>
          <w:color w:val="auto"/>
          <w:spacing w:val="1"/>
          <w:w w:val="99"/>
          <w:kern w:val="0"/>
          <w:position w:val="-2"/>
          <w:szCs w:val="21"/>
          <w:highlight w:val="none"/>
        </w:rPr>
      </w:pPr>
    </w:p>
    <w:p>
      <w:pPr>
        <w:spacing w:line="360" w:lineRule="auto"/>
        <w:ind w:firstLine="418" w:firstLineChars="200"/>
        <w:rPr>
          <w:rFonts w:ascii="宋体" w:hAnsi="宋体"/>
          <w:snapToGrid w:val="0"/>
          <w:color w:val="auto"/>
          <w:spacing w:val="1"/>
          <w:w w:val="99"/>
          <w:kern w:val="0"/>
          <w:position w:val="-2"/>
          <w:szCs w:val="21"/>
          <w:highlight w:val="none"/>
        </w:rPr>
      </w:pPr>
    </w:p>
    <w:p>
      <w:pPr>
        <w:spacing w:line="360" w:lineRule="auto"/>
        <w:ind w:firstLine="420" w:firstLineChars="200"/>
        <w:rPr>
          <w:rFonts w:ascii="宋体" w:hAnsi="宋体"/>
          <w:snapToGrid w:val="0"/>
          <w:color w:val="auto"/>
          <w:kern w:val="0"/>
          <w:szCs w:val="21"/>
          <w:highlight w:val="none"/>
        </w:rPr>
      </w:pPr>
      <w:r>
        <w:rPr>
          <w:rFonts w:hint="eastAsia" w:ascii="宋体" w:hAnsi="宋体"/>
          <w:snapToGrid w:val="0"/>
          <w:color w:val="auto"/>
          <w:kern w:val="0"/>
          <w:szCs w:val="21"/>
          <w:highlight w:val="none"/>
        </w:rPr>
        <w:t>签约时间：</w:t>
      </w:r>
      <w:r>
        <w:rPr>
          <w:rFonts w:hint="eastAsia"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rPr>
        <w:t>年</w:t>
      </w:r>
      <w:r>
        <w:rPr>
          <w:rFonts w:hint="eastAsia"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rPr>
        <w:t>月</w:t>
      </w:r>
      <w:r>
        <w:rPr>
          <w:rFonts w:hint="eastAsia"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rPr>
        <w:t>日</w:t>
      </w:r>
    </w:p>
    <w:p>
      <w:pPr>
        <w:spacing w:line="480" w:lineRule="auto"/>
        <w:rPr>
          <w:rFonts w:ascii="宋体" w:hAnsi="宋体"/>
          <w:color w:val="auto"/>
          <w:szCs w:val="21"/>
          <w:highlight w:val="none"/>
        </w:rPr>
      </w:pPr>
      <w:r>
        <w:rPr>
          <w:rFonts w:hint="eastAsia" w:ascii="宋体" w:hAnsi="宋体"/>
          <w:color w:val="auto"/>
          <w:szCs w:val="21"/>
          <w:highlight w:val="none"/>
        </w:rPr>
        <w:br w:type="page"/>
      </w:r>
      <w:r>
        <w:rPr>
          <w:rFonts w:hint="eastAsia" w:ascii="宋体" w:hAnsi="宋体"/>
          <w:color w:val="auto"/>
          <w:szCs w:val="21"/>
          <w:highlight w:val="none"/>
        </w:rPr>
        <w:t>附件2：</w:t>
      </w:r>
    </w:p>
    <w:p>
      <w:pPr>
        <w:spacing w:before="156" w:beforeLines="50" w:after="156" w:afterLines="50" w:line="480" w:lineRule="auto"/>
        <w:jc w:val="center"/>
        <w:rPr>
          <w:rFonts w:ascii="宋体" w:hAnsi="宋体"/>
          <w:color w:val="auto"/>
          <w:szCs w:val="21"/>
          <w:highlight w:val="none"/>
        </w:rPr>
      </w:pPr>
      <w:r>
        <w:rPr>
          <w:rFonts w:hint="eastAsia" w:ascii="宋体" w:hAnsi="宋体"/>
          <w:color w:val="auto"/>
          <w:szCs w:val="21"/>
          <w:highlight w:val="none"/>
        </w:rPr>
        <w:t>主要建设工程文件目录</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3536"/>
        <w:gridCol w:w="1418"/>
        <w:gridCol w:w="1418"/>
        <w:gridCol w:w="29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3536" w:type="dxa"/>
            <w:noWrap w:val="0"/>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文件名称</w:t>
            </w:r>
          </w:p>
        </w:tc>
        <w:tc>
          <w:tcPr>
            <w:tcW w:w="1418" w:type="dxa"/>
            <w:noWrap w:val="0"/>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套数</w:t>
            </w:r>
          </w:p>
        </w:tc>
        <w:tc>
          <w:tcPr>
            <w:tcW w:w="1418" w:type="dxa"/>
            <w:noWrap w:val="0"/>
            <w:vAlign w:val="top"/>
          </w:tcPr>
          <w:p>
            <w:pPr>
              <w:spacing w:line="400" w:lineRule="exact"/>
              <w:jc w:val="center"/>
              <w:rPr>
                <w:rFonts w:ascii="宋体" w:hAnsi="宋体"/>
                <w:color w:val="auto"/>
                <w:szCs w:val="21"/>
                <w:highlight w:val="none"/>
              </w:rPr>
            </w:pPr>
            <w:r>
              <w:rPr>
                <w:rFonts w:hint="eastAsia" w:ascii="宋体" w:hAnsi="宋体"/>
                <w:color w:val="auto"/>
                <w:szCs w:val="21"/>
                <w:highlight w:val="none"/>
              </w:rPr>
              <w:t>移交时间</w:t>
            </w:r>
          </w:p>
        </w:tc>
        <w:tc>
          <w:tcPr>
            <w:tcW w:w="2917" w:type="dxa"/>
            <w:noWrap w:val="0"/>
            <w:vAlign w:val="top"/>
          </w:tcPr>
          <w:p>
            <w:pPr>
              <w:spacing w:line="400" w:lineRule="exact"/>
              <w:jc w:val="center"/>
              <w:rPr>
                <w:rFonts w:ascii="宋体" w:hAnsi="宋体"/>
                <w:color w:val="auto"/>
                <w:szCs w:val="21"/>
                <w:highlight w:val="none"/>
              </w:rPr>
            </w:pPr>
            <w:r>
              <w:rPr>
                <w:rFonts w:hint="eastAsia" w:ascii="宋体" w:hAnsi="宋体"/>
                <w:color w:val="auto"/>
                <w:szCs w:val="21"/>
                <w:highlight w:val="none"/>
              </w:rPr>
              <w:t>责任人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3536" w:type="dxa"/>
            <w:noWrap w:val="0"/>
            <w:vAlign w:val="center"/>
          </w:tcPr>
          <w:p>
            <w:pPr>
              <w:spacing w:line="400" w:lineRule="exact"/>
              <w:ind w:firstLine="420" w:firstLineChars="200"/>
              <w:rPr>
                <w:rFonts w:ascii="宋体" w:hAnsi="宋体"/>
                <w:color w:val="auto"/>
                <w:szCs w:val="21"/>
                <w:highlight w:val="none"/>
              </w:rPr>
            </w:pPr>
          </w:p>
        </w:tc>
        <w:tc>
          <w:tcPr>
            <w:tcW w:w="1418" w:type="dxa"/>
            <w:noWrap w:val="0"/>
            <w:vAlign w:val="center"/>
          </w:tcPr>
          <w:p>
            <w:pPr>
              <w:spacing w:line="400" w:lineRule="exact"/>
              <w:ind w:firstLine="420" w:firstLineChars="200"/>
              <w:rPr>
                <w:rFonts w:ascii="宋体" w:hAnsi="宋体"/>
                <w:color w:val="auto"/>
                <w:szCs w:val="21"/>
                <w:highlight w:val="none"/>
              </w:rPr>
            </w:pPr>
          </w:p>
        </w:tc>
        <w:tc>
          <w:tcPr>
            <w:tcW w:w="1418" w:type="dxa"/>
            <w:noWrap w:val="0"/>
            <w:vAlign w:val="center"/>
          </w:tcPr>
          <w:p>
            <w:pPr>
              <w:spacing w:line="400" w:lineRule="exact"/>
              <w:ind w:firstLine="420" w:firstLineChars="200"/>
              <w:rPr>
                <w:rFonts w:ascii="宋体" w:hAnsi="宋体"/>
                <w:color w:val="auto"/>
                <w:szCs w:val="21"/>
                <w:highlight w:val="none"/>
              </w:rPr>
            </w:pPr>
          </w:p>
        </w:tc>
        <w:tc>
          <w:tcPr>
            <w:tcW w:w="2917" w:type="dxa"/>
            <w:noWrap w:val="0"/>
            <w:vAlign w:val="center"/>
          </w:tcPr>
          <w:p>
            <w:pPr>
              <w:spacing w:line="400" w:lineRule="exact"/>
              <w:ind w:firstLine="420" w:firstLineChars="20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3536" w:type="dxa"/>
            <w:noWrap w:val="0"/>
            <w:vAlign w:val="center"/>
          </w:tcPr>
          <w:p>
            <w:pPr>
              <w:spacing w:line="400" w:lineRule="exact"/>
              <w:ind w:firstLine="420" w:firstLineChars="200"/>
              <w:rPr>
                <w:rFonts w:ascii="宋体" w:hAnsi="宋体"/>
                <w:color w:val="auto"/>
                <w:szCs w:val="21"/>
                <w:highlight w:val="none"/>
              </w:rPr>
            </w:pPr>
          </w:p>
        </w:tc>
        <w:tc>
          <w:tcPr>
            <w:tcW w:w="1418" w:type="dxa"/>
            <w:noWrap w:val="0"/>
            <w:vAlign w:val="center"/>
          </w:tcPr>
          <w:p>
            <w:pPr>
              <w:spacing w:line="400" w:lineRule="exact"/>
              <w:ind w:firstLine="420" w:firstLineChars="200"/>
              <w:rPr>
                <w:rFonts w:ascii="宋体" w:hAnsi="宋体"/>
                <w:color w:val="auto"/>
                <w:szCs w:val="21"/>
                <w:highlight w:val="none"/>
              </w:rPr>
            </w:pPr>
          </w:p>
        </w:tc>
        <w:tc>
          <w:tcPr>
            <w:tcW w:w="1418" w:type="dxa"/>
            <w:noWrap w:val="0"/>
            <w:vAlign w:val="center"/>
          </w:tcPr>
          <w:p>
            <w:pPr>
              <w:spacing w:line="400" w:lineRule="exact"/>
              <w:ind w:firstLine="420" w:firstLineChars="200"/>
              <w:rPr>
                <w:rFonts w:ascii="宋体" w:hAnsi="宋体"/>
                <w:color w:val="auto"/>
                <w:szCs w:val="21"/>
                <w:highlight w:val="none"/>
              </w:rPr>
            </w:pPr>
          </w:p>
        </w:tc>
        <w:tc>
          <w:tcPr>
            <w:tcW w:w="2917" w:type="dxa"/>
            <w:noWrap w:val="0"/>
            <w:vAlign w:val="center"/>
          </w:tcPr>
          <w:p>
            <w:pPr>
              <w:spacing w:line="400" w:lineRule="exact"/>
              <w:ind w:firstLine="420" w:firstLineChars="20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3536" w:type="dxa"/>
            <w:noWrap w:val="0"/>
            <w:vAlign w:val="center"/>
          </w:tcPr>
          <w:p>
            <w:pPr>
              <w:spacing w:line="400" w:lineRule="exact"/>
              <w:ind w:firstLine="420" w:firstLineChars="200"/>
              <w:rPr>
                <w:rFonts w:ascii="宋体" w:hAnsi="宋体"/>
                <w:color w:val="auto"/>
                <w:szCs w:val="21"/>
                <w:highlight w:val="none"/>
              </w:rPr>
            </w:pPr>
          </w:p>
        </w:tc>
        <w:tc>
          <w:tcPr>
            <w:tcW w:w="1418" w:type="dxa"/>
            <w:noWrap w:val="0"/>
            <w:vAlign w:val="center"/>
          </w:tcPr>
          <w:p>
            <w:pPr>
              <w:spacing w:line="400" w:lineRule="exact"/>
              <w:ind w:firstLine="420" w:firstLineChars="200"/>
              <w:rPr>
                <w:rFonts w:ascii="宋体" w:hAnsi="宋体"/>
                <w:color w:val="auto"/>
                <w:szCs w:val="21"/>
                <w:highlight w:val="none"/>
              </w:rPr>
            </w:pPr>
          </w:p>
        </w:tc>
        <w:tc>
          <w:tcPr>
            <w:tcW w:w="1418" w:type="dxa"/>
            <w:noWrap w:val="0"/>
            <w:vAlign w:val="center"/>
          </w:tcPr>
          <w:p>
            <w:pPr>
              <w:spacing w:line="400" w:lineRule="exact"/>
              <w:ind w:firstLine="420" w:firstLineChars="200"/>
              <w:rPr>
                <w:rFonts w:ascii="宋体" w:hAnsi="宋体"/>
                <w:color w:val="auto"/>
                <w:szCs w:val="21"/>
                <w:highlight w:val="none"/>
              </w:rPr>
            </w:pPr>
          </w:p>
        </w:tc>
        <w:tc>
          <w:tcPr>
            <w:tcW w:w="2917" w:type="dxa"/>
            <w:noWrap w:val="0"/>
            <w:vAlign w:val="center"/>
          </w:tcPr>
          <w:p>
            <w:pPr>
              <w:spacing w:line="400" w:lineRule="exact"/>
              <w:ind w:firstLine="420" w:firstLineChars="20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3536" w:type="dxa"/>
            <w:noWrap w:val="0"/>
            <w:vAlign w:val="center"/>
          </w:tcPr>
          <w:p>
            <w:pPr>
              <w:spacing w:line="400" w:lineRule="exact"/>
              <w:ind w:firstLine="420" w:firstLineChars="200"/>
              <w:rPr>
                <w:rFonts w:ascii="宋体" w:hAnsi="宋体"/>
                <w:color w:val="auto"/>
                <w:szCs w:val="21"/>
                <w:highlight w:val="none"/>
              </w:rPr>
            </w:pPr>
          </w:p>
        </w:tc>
        <w:tc>
          <w:tcPr>
            <w:tcW w:w="1418" w:type="dxa"/>
            <w:noWrap w:val="0"/>
            <w:vAlign w:val="center"/>
          </w:tcPr>
          <w:p>
            <w:pPr>
              <w:spacing w:line="400" w:lineRule="exact"/>
              <w:ind w:firstLine="420" w:firstLineChars="200"/>
              <w:rPr>
                <w:rFonts w:ascii="宋体" w:hAnsi="宋体"/>
                <w:color w:val="auto"/>
                <w:szCs w:val="21"/>
                <w:highlight w:val="none"/>
              </w:rPr>
            </w:pPr>
          </w:p>
        </w:tc>
        <w:tc>
          <w:tcPr>
            <w:tcW w:w="1418" w:type="dxa"/>
            <w:noWrap w:val="0"/>
            <w:vAlign w:val="center"/>
          </w:tcPr>
          <w:p>
            <w:pPr>
              <w:spacing w:line="400" w:lineRule="exact"/>
              <w:ind w:firstLine="420" w:firstLineChars="200"/>
              <w:rPr>
                <w:rFonts w:ascii="宋体" w:hAnsi="宋体"/>
                <w:color w:val="auto"/>
                <w:szCs w:val="21"/>
                <w:highlight w:val="none"/>
              </w:rPr>
            </w:pPr>
          </w:p>
        </w:tc>
        <w:tc>
          <w:tcPr>
            <w:tcW w:w="2917" w:type="dxa"/>
            <w:noWrap w:val="0"/>
            <w:vAlign w:val="center"/>
          </w:tcPr>
          <w:p>
            <w:pPr>
              <w:spacing w:line="400" w:lineRule="exact"/>
              <w:ind w:firstLine="420" w:firstLineChars="20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3536" w:type="dxa"/>
            <w:noWrap w:val="0"/>
            <w:vAlign w:val="center"/>
          </w:tcPr>
          <w:p>
            <w:pPr>
              <w:spacing w:line="400" w:lineRule="exact"/>
              <w:ind w:firstLine="420" w:firstLineChars="200"/>
              <w:rPr>
                <w:rFonts w:ascii="宋体" w:hAnsi="宋体"/>
                <w:color w:val="auto"/>
                <w:szCs w:val="21"/>
                <w:highlight w:val="none"/>
              </w:rPr>
            </w:pPr>
          </w:p>
        </w:tc>
        <w:tc>
          <w:tcPr>
            <w:tcW w:w="1418" w:type="dxa"/>
            <w:noWrap w:val="0"/>
            <w:vAlign w:val="center"/>
          </w:tcPr>
          <w:p>
            <w:pPr>
              <w:spacing w:line="400" w:lineRule="exact"/>
              <w:ind w:firstLine="420" w:firstLineChars="200"/>
              <w:rPr>
                <w:rFonts w:ascii="宋体" w:hAnsi="宋体"/>
                <w:color w:val="auto"/>
                <w:szCs w:val="21"/>
                <w:highlight w:val="none"/>
              </w:rPr>
            </w:pPr>
          </w:p>
        </w:tc>
        <w:tc>
          <w:tcPr>
            <w:tcW w:w="1418" w:type="dxa"/>
            <w:noWrap w:val="0"/>
            <w:vAlign w:val="center"/>
          </w:tcPr>
          <w:p>
            <w:pPr>
              <w:spacing w:line="400" w:lineRule="exact"/>
              <w:ind w:firstLine="420" w:firstLineChars="200"/>
              <w:rPr>
                <w:rFonts w:ascii="宋体" w:hAnsi="宋体"/>
                <w:color w:val="auto"/>
                <w:szCs w:val="21"/>
                <w:highlight w:val="none"/>
              </w:rPr>
            </w:pPr>
          </w:p>
        </w:tc>
        <w:tc>
          <w:tcPr>
            <w:tcW w:w="2917" w:type="dxa"/>
            <w:noWrap w:val="0"/>
            <w:vAlign w:val="center"/>
          </w:tcPr>
          <w:p>
            <w:pPr>
              <w:spacing w:line="400" w:lineRule="exact"/>
              <w:ind w:firstLine="420" w:firstLineChars="20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3536" w:type="dxa"/>
            <w:noWrap w:val="0"/>
            <w:vAlign w:val="center"/>
          </w:tcPr>
          <w:p>
            <w:pPr>
              <w:spacing w:line="400" w:lineRule="exact"/>
              <w:ind w:firstLine="420" w:firstLineChars="200"/>
              <w:rPr>
                <w:rFonts w:ascii="宋体" w:hAnsi="宋体"/>
                <w:color w:val="auto"/>
                <w:szCs w:val="21"/>
                <w:highlight w:val="none"/>
              </w:rPr>
            </w:pPr>
          </w:p>
        </w:tc>
        <w:tc>
          <w:tcPr>
            <w:tcW w:w="1418" w:type="dxa"/>
            <w:noWrap w:val="0"/>
            <w:vAlign w:val="center"/>
          </w:tcPr>
          <w:p>
            <w:pPr>
              <w:spacing w:line="400" w:lineRule="exact"/>
              <w:ind w:firstLine="420" w:firstLineChars="200"/>
              <w:rPr>
                <w:rFonts w:ascii="宋体" w:hAnsi="宋体"/>
                <w:color w:val="auto"/>
                <w:szCs w:val="21"/>
                <w:highlight w:val="none"/>
              </w:rPr>
            </w:pPr>
          </w:p>
        </w:tc>
        <w:tc>
          <w:tcPr>
            <w:tcW w:w="1418" w:type="dxa"/>
            <w:noWrap w:val="0"/>
            <w:vAlign w:val="center"/>
          </w:tcPr>
          <w:p>
            <w:pPr>
              <w:spacing w:line="400" w:lineRule="exact"/>
              <w:ind w:firstLine="420" w:firstLineChars="200"/>
              <w:rPr>
                <w:rFonts w:ascii="宋体" w:hAnsi="宋体"/>
                <w:color w:val="auto"/>
                <w:szCs w:val="21"/>
                <w:highlight w:val="none"/>
              </w:rPr>
            </w:pPr>
          </w:p>
        </w:tc>
        <w:tc>
          <w:tcPr>
            <w:tcW w:w="2917" w:type="dxa"/>
            <w:noWrap w:val="0"/>
            <w:vAlign w:val="center"/>
          </w:tcPr>
          <w:p>
            <w:pPr>
              <w:spacing w:line="400" w:lineRule="exact"/>
              <w:ind w:firstLine="420" w:firstLineChars="20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3536" w:type="dxa"/>
            <w:noWrap w:val="0"/>
            <w:vAlign w:val="center"/>
          </w:tcPr>
          <w:p>
            <w:pPr>
              <w:spacing w:line="400" w:lineRule="exact"/>
              <w:ind w:firstLine="420" w:firstLineChars="200"/>
              <w:rPr>
                <w:rFonts w:ascii="宋体" w:hAnsi="宋体"/>
                <w:color w:val="auto"/>
                <w:szCs w:val="21"/>
                <w:highlight w:val="none"/>
              </w:rPr>
            </w:pPr>
          </w:p>
        </w:tc>
        <w:tc>
          <w:tcPr>
            <w:tcW w:w="1418" w:type="dxa"/>
            <w:noWrap w:val="0"/>
            <w:vAlign w:val="center"/>
          </w:tcPr>
          <w:p>
            <w:pPr>
              <w:spacing w:line="400" w:lineRule="exact"/>
              <w:ind w:firstLine="420" w:firstLineChars="200"/>
              <w:rPr>
                <w:rFonts w:ascii="宋体" w:hAnsi="宋体"/>
                <w:color w:val="auto"/>
                <w:szCs w:val="21"/>
                <w:highlight w:val="none"/>
              </w:rPr>
            </w:pPr>
          </w:p>
        </w:tc>
        <w:tc>
          <w:tcPr>
            <w:tcW w:w="1418" w:type="dxa"/>
            <w:noWrap w:val="0"/>
            <w:vAlign w:val="center"/>
          </w:tcPr>
          <w:p>
            <w:pPr>
              <w:spacing w:line="400" w:lineRule="exact"/>
              <w:ind w:firstLine="420" w:firstLineChars="200"/>
              <w:rPr>
                <w:rFonts w:ascii="宋体" w:hAnsi="宋体"/>
                <w:color w:val="auto"/>
                <w:szCs w:val="21"/>
                <w:highlight w:val="none"/>
              </w:rPr>
            </w:pPr>
          </w:p>
        </w:tc>
        <w:tc>
          <w:tcPr>
            <w:tcW w:w="2917" w:type="dxa"/>
            <w:noWrap w:val="0"/>
            <w:vAlign w:val="center"/>
          </w:tcPr>
          <w:p>
            <w:pPr>
              <w:spacing w:line="400" w:lineRule="exact"/>
              <w:ind w:firstLine="420" w:firstLineChars="20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3536" w:type="dxa"/>
            <w:noWrap w:val="0"/>
            <w:vAlign w:val="center"/>
          </w:tcPr>
          <w:p>
            <w:pPr>
              <w:spacing w:line="400" w:lineRule="exact"/>
              <w:ind w:firstLine="420" w:firstLineChars="200"/>
              <w:rPr>
                <w:rFonts w:ascii="宋体" w:hAnsi="宋体"/>
                <w:color w:val="auto"/>
                <w:szCs w:val="21"/>
                <w:highlight w:val="none"/>
              </w:rPr>
            </w:pPr>
          </w:p>
        </w:tc>
        <w:tc>
          <w:tcPr>
            <w:tcW w:w="1418" w:type="dxa"/>
            <w:noWrap w:val="0"/>
            <w:vAlign w:val="center"/>
          </w:tcPr>
          <w:p>
            <w:pPr>
              <w:spacing w:line="400" w:lineRule="exact"/>
              <w:ind w:firstLine="420" w:firstLineChars="200"/>
              <w:rPr>
                <w:rFonts w:ascii="宋体" w:hAnsi="宋体"/>
                <w:color w:val="auto"/>
                <w:szCs w:val="21"/>
                <w:highlight w:val="none"/>
              </w:rPr>
            </w:pPr>
          </w:p>
        </w:tc>
        <w:tc>
          <w:tcPr>
            <w:tcW w:w="1418" w:type="dxa"/>
            <w:noWrap w:val="0"/>
            <w:vAlign w:val="center"/>
          </w:tcPr>
          <w:p>
            <w:pPr>
              <w:spacing w:line="400" w:lineRule="exact"/>
              <w:ind w:firstLine="420" w:firstLineChars="200"/>
              <w:rPr>
                <w:rFonts w:ascii="宋体" w:hAnsi="宋体"/>
                <w:color w:val="auto"/>
                <w:szCs w:val="21"/>
                <w:highlight w:val="none"/>
              </w:rPr>
            </w:pPr>
          </w:p>
        </w:tc>
        <w:tc>
          <w:tcPr>
            <w:tcW w:w="2917" w:type="dxa"/>
            <w:noWrap w:val="0"/>
            <w:vAlign w:val="center"/>
          </w:tcPr>
          <w:p>
            <w:pPr>
              <w:spacing w:line="400" w:lineRule="exact"/>
              <w:ind w:firstLine="420" w:firstLineChars="20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3536" w:type="dxa"/>
            <w:noWrap w:val="0"/>
            <w:vAlign w:val="top"/>
          </w:tcPr>
          <w:p>
            <w:pPr>
              <w:spacing w:line="400" w:lineRule="exact"/>
              <w:ind w:firstLine="420" w:firstLineChars="200"/>
              <w:rPr>
                <w:rFonts w:ascii="宋体" w:hAnsi="宋体"/>
                <w:color w:val="auto"/>
                <w:szCs w:val="21"/>
                <w:highlight w:val="none"/>
              </w:rPr>
            </w:pPr>
          </w:p>
        </w:tc>
        <w:tc>
          <w:tcPr>
            <w:tcW w:w="1418" w:type="dxa"/>
            <w:noWrap w:val="0"/>
            <w:vAlign w:val="top"/>
          </w:tcPr>
          <w:p>
            <w:pPr>
              <w:spacing w:line="400" w:lineRule="exact"/>
              <w:ind w:firstLine="420" w:firstLineChars="200"/>
              <w:rPr>
                <w:rFonts w:ascii="宋体" w:hAnsi="宋体"/>
                <w:color w:val="auto"/>
                <w:szCs w:val="21"/>
                <w:highlight w:val="none"/>
              </w:rPr>
            </w:pPr>
          </w:p>
        </w:tc>
        <w:tc>
          <w:tcPr>
            <w:tcW w:w="1418" w:type="dxa"/>
            <w:noWrap w:val="0"/>
            <w:vAlign w:val="top"/>
          </w:tcPr>
          <w:p>
            <w:pPr>
              <w:spacing w:line="400" w:lineRule="exact"/>
              <w:ind w:firstLine="420" w:firstLineChars="200"/>
              <w:rPr>
                <w:rFonts w:ascii="宋体" w:hAnsi="宋体"/>
                <w:color w:val="auto"/>
                <w:szCs w:val="21"/>
                <w:highlight w:val="none"/>
              </w:rPr>
            </w:pPr>
          </w:p>
        </w:tc>
        <w:tc>
          <w:tcPr>
            <w:tcW w:w="2917" w:type="dxa"/>
            <w:noWrap w:val="0"/>
            <w:vAlign w:val="top"/>
          </w:tcPr>
          <w:p>
            <w:pPr>
              <w:spacing w:line="400" w:lineRule="exact"/>
              <w:ind w:firstLine="420" w:firstLineChars="20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3536" w:type="dxa"/>
            <w:noWrap w:val="0"/>
            <w:vAlign w:val="center"/>
          </w:tcPr>
          <w:p>
            <w:pPr>
              <w:spacing w:line="400" w:lineRule="exact"/>
              <w:ind w:firstLine="420" w:firstLineChars="200"/>
              <w:rPr>
                <w:rFonts w:ascii="宋体" w:hAnsi="宋体"/>
                <w:color w:val="auto"/>
                <w:szCs w:val="21"/>
                <w:highlight w:val="none"/>
              </w:rPr>
            </w:pPr>
          </w:p>
        </w:tc>
        <w:tc>
          <w:tcPr>
            <w:tcW w:w="1418" w:type="dxa"/>
            <w:noWrap w:val="0"/>
            <w:vAlign w:val="center"/>
          </w:tcPr>
          <w:p>
            <w:pPr>
              <w:spacing w:line="400" w:lineRule="exact"/>
              <w:ind w:firstLine="420" w:firstLineChars="200"/>
              <w:rPr>
                <w:rFonts w:ascii="宋体" w:hAnsi="宋体"/>
                <w:color w:val="auto"/>
                <w:szCs w:val="21"/>
                <w:highlight w:val="none"/>
              </w:rPr>
            </w:pPr>
          </w:p>
        </w:tc>
        <w:tc>
          <w:tcPr>
            <w:tcW w:w="1418" w:type="dxa"/>
            <w:noWrap w:val="0"/>
            <w:vAlign w:val="center"/>
          </w:tcPr>
          <w:p>
            <w:pPr>
              <w:spacing w:line="400" w:lineRule="exact"/>
              <w:ind w:firstLine="420" w:firstLineChars="200"/>
              <w:rPr>
                <w:rFonts w:ascii="宋体" w:hAnsi="宋体"/>
                <w:color w:val="auto"/>
                <w:szCs w:val="21"/>
                <w:highlight w:val="none"/>
              </w:rPr>
            </w:pPr>
          </w:p>
        </w:tc>
        <w:tc>
          <w:tcPr>
            <w:tcW w:w="2917" w:type="dxa"/>
            <w:noWrap w:val="0"/>
            <w:vAlign w:val="center"/>
          </w:tcPr>
          <w:p>
            <w:pPr>
              <w:spacing w:line="400" w:lineRule="exact"/>
              <w:ind w:firstLine="420" w:firstLineChars="20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3536" w:type="dxa"/>
            <w:noWrap w:val="0"/>
            <w:vAlign w:val="top"/>
          </w:tcPr>
          <w:p>
            <w:pPr>
              <w:spacing w:line="400" w:lineRule="exact"/>
              <w:ind w:firstLine="420" w:firstLineChars="200"/>
              <w:rPr>
                <w:rFonts w:ascii="宋体" w:hAnsi="宋体"/>
                <w:color w:val="auto"/>
                <w:szCs w:val="21"/>
                <w:highlight w:val="none"/>
              </w:rPr>
            </w:pPr>
          </w:p>
        </w:tc>
        <w:tc>
          <w:tcPr>
            <w:tcW w:w="1418" w:type="dxa"/>
            <w:noWrap w:val="0"/>
            <w:vAlign w:val="top"/>
          </w:tcPr>
          <w:p>
            <w:pPr>
              <w:spacing w:line="400" w:lineRule="exact"/>
              <w:ind w:firstLine="420" w:firstLineChars="200"/>
              <w:rPr>
                <w:rFonts w:ascii="宋体" w:hAnsi="宋体"/>
                <w:color w:val="auto"/>
                <w:szCs w:val="21"/>
                <w:highlight w:val="none"/>
              </w:rPr>
            </w:pPr>
          </w:p>
        </w:tc>
        <w:tc>
          <w:tcPr>
            <w:tcW w:w="1418" w:type="dxa"/>
            <w:noWrap w:val="0"/>
            <w:vAlign w:val="top"/>
          </w:tcPr>
          <w:p>
            <w:pPr>
              <w:spacing w:line="400" w:lineRule="exact"/>
              <w:ind w:firstLine="420" w:firstLineChars="200"/>
              <w:rPr>
                <w:rFonts w:ascii="宋体" w:hAnsi="宋体"/>
                <w:color w:val="auto"/>
                <w:szCs w:val="21"/>
                <w:highlight w:val="none"/>
              </w:rPr>
            </w:pPr>
          </w:p>
        </w:tc>
        <w:tc>
          <w:tcPr>
            <w:tcW w:w="2917" w:type="dxa"/>
            <w:noWrap w:val="0"/>
            <w:vAlign w:val="top"/>
          </w:tcPr>
          <w:p>
            <w:pPr>
              <w:spacing w:line="400" w:lineRule="exact"/>
              <w:ind w:firstLine="420" w:firstLineChars="20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3536" w:type="dxa"/>
            <w:noWrap w:val="0"/>
            <w:vAlign w:val="top"/>
          </w:tcPr>
          <w:p>
            <w:pPr>
              <w:spacing w:line="400" w:lineRule="exact"/>
              <w:ind w:firstLine="420" w:firstLineChars="200"/>
              <w:rPr>
                <w:rFonts w:ascii="宋体" w:hAnsi="宋体"/>
                <w:color w:val="auto"/>
                <w:szCs w:val="21"/>
                <w:highlight w:val="none"/>
              </w:rPr>
            </w:pPr>
          </w:p>
        </w:tc>
        <w:tc>
          <w:tcPr>
            <w:tcW w:w="1418" w:type="dxa"/>
            <w:noWrap w:val="0"/>
            <w:vAlign w:val="top"/>
          </w:tcPr>
          <w:p>
            <w:pPr>
              <w:spacing w:line="400" w:lineRule="exact"/>
              <w:ind w:firstLine="420" w:firstLineChars="200"/>
              <w:rPr>
                <w:rFonts w:ascii="宋体" w:hAnsi="宋体"/>
                <w:color w:val="auto"/>
                <w:szCs w:val="21"/>
                <w:highlight w:val="none"/>
              </w:rPr>
            </w:pPr>
          </w:p>
        </w:tc>
        <w:tc>
          <w:tcPr>
            <w:tcW w:w="1418" w:type="dxa"/>
            <w:noWrap w:val="0"/>
            <w:vAlign w:val="top"/>
          </w:tcPr>
          <w:p>
            <w:pPr>
              <w:spacing w:line="400" w:lineRule="exact"/>
              <w:ind w:firstLine="420" w:firstLineChars="200"/>
              <w:rPr>
                <w:rFonts w:ascii="宋体" w:hAnsi="宋体"/>
                <w:color w:val="auto"/>
                <w:szCs w:val="21"/>
                <w:highlight w:val="none"/>
              </w:rPr>
            </w:pPr>
          </w:p>
        </w:tc>
        <w:tc>
          <w:tcPr>
            <w:tcW w:w="2917" w:type="dxa"/>
            <w:noWrap w:val="0"/>
            <w:vAlign w:val="top"/>
          </w:tcPr>
          <w:p>
            <w:pPr>
              <w:spacing w:line="400" w:lineRule="exact"/>
              <w:ind w:firstLine="420" w:firstLineChars="20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3536" w:type="dxa"/>
            <w:noWrap w:val="0"/>
            <w:vAlign w:val="top"/>
          </w:tcPr>
          <w:p>
            <w:pPr>
              <w:spacing w:line="400" w:lineRule="exact"/>
              <w:ind w:firstLine="420" w:firstLineChars="200"/>
              <w:rPr>
                <w:rFonts w:ascii="宋体" w:hAnsi="宋体"/>
                <w:color w:val="auto"/>
                <w:szCs w:val="21"/>
                <w:highlight w:val="none"/>
              </w:rPr>
            </w:pPr>
          </w:p>
        </w:tc>
        <w:tc>
          <w:tcPr>
            <w:tcW w:w="1418" w:type="dxa"/>
            <w:noWrap w:val="0"/>
            <w:vAlign w:val="top"/>
          </w:tcPr>
          <w:p>
            <w:pPr>
              <w:spacing w:line="400" w:lineRule="exact"/>
              <w:ind w:firstLine="420" w:firstLineChars="200"/>
              <w:rPr>
                <w:rFonts w:ascii="宋体" w:hAnsi="宋体"/>
                <w:color w:val="auto"/>
                <w:szCs w:val="21"/>
                <w:highlight w:val="none"/>
              </w:rPr>
            </w:pPr>
          </w:p>
        </w:tc>
        <w:tc>
          <w:tcPr>
            <w:tcW w:w="1418" w:type="dxa"/>
            <w:noWrap w:val="0"/>
            <w:vAlign w:val="top"/>
          </w:tcPr>
          <w:p>
            <w:pPr>
              <w:spacing w:line="400" w:lineRule="exact"/>
              <w:ind w:firstLine="420" w:firstLineChars="200"/>
              <w:rPr>
                <w:rFonts w:ascii="宋体" w:hAnsi="宋体"/>
                <w:color w:val="auto"/>
                <w:szCs w:val="21"/>
                <w:highlight w:val="none"/>
              </w:rPr>
            </w:pPr>
          </w:p>
        </w:tc>
        <w:tc>
          <w:tcPr>
            <w:tcW w:w="2917" w:type="dxa"/>
            <w:noWrap w:val="0"/>
            <w:vAlign w:val="top"/>
          </w:tcPr>
          <w:p>
            <w:pPr>
              <w:spacing w:line="400" w:lineRule="exact"/>
              <w:ind w:firstLine="420" w:firstLineChars="20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3536" w:type="dxa"/>
            <w:noWrap w:val="0"/>
            <w:vAlign w:val="top"/>
          </w:tcPr>
          <w:p>
            <w:pPr>
              <w:spacing w:line="400" w:lineRule="exact"/>
              <w:ind w:firstLine="420" w:firstLineChars="200"/>
              <w:rPr>
                <w:rFonts w:ascii="宋体" w:hAnsi="宋体"/>
                <w:color w:val="auto"/>
                <w:szCs w:val="21"/>
                <w:highlight w:val="none"/>
              </w:rPr>
            </w:pPr>
          </w:p>
        </w:tc>
        <w:tc>
          <w:tcPr>
            <w:tcW w:w="1418" w:type="dxa"/>
            <w:noWrap w:val="0"/>
            <w:vAlign w:val="top"/>
          </w:tcPr>
          <w:p>
            <w:pPr>
              <w:spacing w:line="400" w:lineRule="exact"/>
              <w:ind w:firstLine="420" w:firstLineChars="200"/>
              <w:rPr>
                <w:rFonts w:ascii="宋体" w:hAnsi="宋体"/>
                <w:color w:val="auto"/>
                <w:szCs w:val="21"/>
                <w:highlight w:val="none"/>
              </w:rPr>
            </w:pPr>
          </w:p>
        </w:tc>
        <w:tc>
          <w:tcPr>
            <w:tcW w:w="1418" w:type="dxa"/>
            <w:noWrap w:val="0"/>
            <w:vAlign w:val="top"/>
          </w:tcPr>
          <w:p>
            <w:pPr>
              <w:spacing w:line="400" w:lineRule="exact"/>
              <w:ind w:firstLine="420" w:firstLineChars="200"/>
              <w:rPr>
                <w:rFonts w:ascii="宋体" w:hAnsi="宋体"/>
                <w:color w:val="auto"/>
                <w:szCs w:val="21"/>
                <w:highlight w:val="none"/>
              </w:rPr>
            </w:pPr>
          </w:p>
        </w:tc>
        <w:tc>
          <w:tcPr>
            <w:tcW w:w="2917" w:type="dxa"/>
            <w:noWrap w:val="0"/>
            <w:vAlign w:val="top"/>
          </w:tcPr>
          <w:p>
            <w:pPr>
              <w:spacing w:line="400" w:lineRule="exact"/>
              <w:ind w:firstLine="420" w:firstLineChars="20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3536" w:type="dxa"/>
            <w:noWrap w:val="0"/>
            <w:vAlign w:val="top"/>
          </w:tcPr>
          <w:p>
            <w:pPr>
              <w:spacing w:line="400" w:lineRule="exact"/>
              <w:ind w:firstLine="420" w:firstLineChars="200"/>
              <w:rPr>
                <w:rFonts w:ascii="宋体" w:hAnsi="宋体"/>
                <w:color w:val="auto"/>
                <w:szCs w:val="21"/>
                <w:highlight w:val="none"/>
              </w:rPr>
            </w:pPr>
          </w:p>
        </w:tc>
        <w:tc>
          <w:tcPr>
            <w:tcW w:w="1418" w:type="dxa"/>
            <w:noWrap w:val="0"/>
            <w:vAlign w:val="top"/>
          </w:tcPr>
          <w:p>
            <w:pPr>
              <w:spacing w:line="400" w:lineRule="exact"/>
              <w:ind w:firstLine="420" w:firstLineChars="200"/>
              <w:rPr>
                <w:rFonts w:ascii="宋体" w:hAnsi="宋体"/>
                <w:color w:val="auto"/>
                <w:szCs w:val="21"/>
                <w:highlight w:val="none"/>
              </w:rPr>
            </w:pPr>
          </w:p>
        </w:tc>
        <w:tc>
          <w:tcPr>
            <w:tcW w:w="1418" w:type="dxa"/>
            <w:noWrap w:val="0"/>
            <w:vAlign w:val="top"/>
          </w:tcPr>
          <w:p>
            <w:pPr>
              <w:spacing w:line="400" w:lineRule="exact"/>
              <w:ind w:firstLine="420" w:firstLineChars="200"/>
              <w:rPr>
                <w:rFonts w:ascii="宋体" w:hAnsi="宋体"/>
                <w:color w:val="auto"/>
                <w:szCs w:val="21"/>
                <w:highlight w:val="none"/>
              </w:rPr>
            </w:pPr>
          </w:p>
        </w:tc>
        <w:tc>
          <w:tcPr>
            <w:tcW w:w="2917" w:type="dxa"/>
            <w:noWrap w:val="0"/>
            <w:vAlign w:val="top"/>
          </w:tcPr>
          <w:p>
            <w:pPr>
              <w:spacing w:line="400" w:lineRule="exact"/>
              <w:ind w:firstLine="420" w:firstLineChars="20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3536" w:type="dxa"/>
            <w:noWrap w:val="0"/>
            <w:vAlign w:val="top"/>
          </w:tcPr>
          <w:p>
            <w:pPr>
              <w:spacing w:line="400" w:lineRule="exact"/>
              <w:ind w:firstLine="420" w:firstLineChars="200"/>
              <w:rPr>
                <w:rFonts w:ascii="宋体" w:hAnsi="宋体"/>
                <w:color w:val="auto"/>
                <w:szCs w:val="21"/>
                <w:highlight w:val="none"/>
              </w:rPr>
            </w:pPr>
          </w:p>
        </w:tc>
        <w:tc>
          <w:tcPr>
            <w:tcW w:w="1418" w:type="dxa"/>
            <w:noWrap w:val="0"/>
            <w:vAlign w:val="top"/>
          </w:tcPr>
          <w:p>
            <w:pPr>
              <w:spacing w:line="400" w:lineRule="exact"/>
              <w:ind w:firstLine="420" w:firstLineChars="200"/>
              <w:rPr>
                <w:rFonts w:ascii="宋体" w:hAnsi="宋体"/>
                <w:color w:val="auto"/>
                <w:szCs w:val="21"/>
                <w:highlight w:val="none"/>
              </w:rPr>
            </w:pPr>
          </w:p>
        </w:tc>
        <w:tc>
          <w:tcPr>
            <w:tcW w:w="1418" w:type="dxa"/>
            <w:noWrap w:val="0"/>
            <w:vAlign w:val="top"/>
          </w:tcPr>
          <w:p>
            <w:pPr>
              <w:spacing w:line="400" w:lineRule="exact"/>
              <w:ind w:firstLine="420" w:firstLineChars="200"/>
              <w:rPr>
                <w:rFonts w:ascii="宋体" w:hAnsi="宋体"/>
                <w:color w:val="auto"/>
                <w:szCs w:val="21"/>
                <w:highlight w:val="none"/>
              </w:rPr>
            </w:pPr>
          </w:p>
        </w:tc>
        <w:tc>
          <w:tcPr>
            <w:tcW w:w="2917" w:type="dxa"/>
            <w:noWrap w:val="0"/>
            <w:vAlign w:val="top"/>
          </w:tcPr>
          <w:p>
            <w:pPr>
              <w:spacing w:line="400" w:lineRule="exact"/>
              <w:ind w:firstLine="420" w:firstLineChars="20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3536" w:type="dxa"/>
            <w:noWrap w:val="0"/>
            <w:vAlign w:val="top"/>
          </w:tcPr>
          <w:p>
            <w:pPr>
              <w:spacing w:line="400" w:lineRule="exact"/>
              <w:ind w:firstLine="420" w:firstLineChars="200"/>
              <w:rPr>
                <w:rFonts w:ascii="宋体" w:hAnsi="宋体"/>
                <w:color w:val="auto"/>
                <w:szCs w:val="21"/>
                <w:highlight w:val="none"/>
              </w:rPr>
            </w:pPr>
          </w:p>
        </w:tc>
        <w:tc>
          <w:tcPr>
            <w:tcW w:w="1418" w:type="dxa"/>
            <w:noWrap w:val="0"/>
            <w:vAlign w:val="top"/>
          </w:tcPr>
          <w:p>
            <w:pPr>
              <w:spacing w:line="400" w:lineRule="exact"/>
              <w:ind w:firstLine="420" w:firstLineChars="200"/>
              <w:rPr>
                <w:rFonts w:ascii="宋体" w:hAnsi="宋体"/>
                <w:color w:val="auto"/>
                <w:szCs w:val="21"/>
                <w:highlight w:val="none"/>
              </w:rPr>
            </w:pPr>
          </w:p>
        </w:tc>
        <w:tc>
          <w:tcPr>
            <w:tcW w:w="1418" w:type="dxa"/>
            <w:noWrap w:val="0"/>
            <w:vAlign w:val="top"/>
          </w:tcPr>
          <w:p>
            <w:pPr>
              <w:spacing w:line="400" w:lineRule="exact"/>
              <w:ind w:firstLine="420" w:firstLineChars="200"/>
              <w:rPr>
                <w:rFonts w:ascii="宋体" w:hAnsi="宋体"/>
                <w:color w:val="auto"/>
                <w:szCs w:val="21"/>
                <w:highlight w:val="none"/>
              </w:rPr>
            </w:pPr>
          </w:p>
        </w:tc>
        <w:tc>
          <w:tcPr>
            <w:tcW w:w="2917" w:type="dxa"/>
            <w:noWrap w:val="0"/>
            <w:vAlign w:val="top"/>
          </w:tcPr>
          <w:p>
            <w:pPr>
              <w:spacing w:line="400" w:lineRule="exact"/>
              <w:ind w:firstLine="420" w:firstLineChars="20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3536" w:type="dxa"/>
            <w:noWrap w:val="0"/>
            <w:vAlign w:val="top"/>
          </w:tcPr>
          <w:p>
            <w:pPr>
              <w:spacing w:line="400" w:lineRule="exact"/>
              <w:ind w:firstLine="420" w:firstLineChars="200"/>
              <w:rPr>
                <w:rFonts w:ascii="宋体" w:hAnsi="宋体"/>
                <w:color w:val="auto"/>
                <w:szCs w:val="21"/>
                <w:highlight w:val="none"/>
              </w:rPr>
            </w:pPr>
          </w:p>
        </w:tc>
        <w:tc>
          <w:tcPr>
            <w:tcW w:w="1418" w:type="dxa"/>
            <w:noWrap w:val="0"/>
            <w:vAlign w:val="top"/>
          </w:tcPr>
          <w:p>
            <w:pPr>
              <w:spacing w:line="400" w:lineRule="exact"/>
              <w:ind w:firstLine="420" w:firstLineChars="200"/>
              <w:rPr>
                <w:rFonts w:ascii="宋体" w:hAnsi="宋体"/>
                <w:color w:val="auto"/>
                <w:szCs w:val="21"/>
                <w:highlight w:val="none"/>
              </w:rPr>
            </w:pPr>
          </w:p>
        </w:tc>
        <w:tc>
          <w:tcPr>
            <w:tcW w:w="1418" w:type="dxa"/>
            <w:noWrap w:val="0"/>
            <w:vAlign w:val="top"/>
          </w:tcPr>
          <w:p>
            <w:pPr>
              <w:spacing w:line="400" w:lineRule="exact"/>
              <w:ind w:firstLine="420" w:firstLineChars="200"/>
              <w:rPr>
                <w:rFonts w:ascii="宋体" w:hAnsi="宋体"/>
                <w:color w:val="auto"/>
                <w:szCs w:val="21"/>
                <w:highlight w:val="none"/>
              </w:rPr>
            </w:pPr>
          </w:p>
        </w:tc>
        <w:tc>
          <w:tcPr>
            <w:tcW w:w="2917" w:type="dxa"/>
            <w:noWrap w:val="0"/>
            <w:vAlign w:val="top"/>
          </w:tcPr>
          <w:p>
            <w:pPr>
              <w:spacing w:line="400" w:lineRule="exact"/>
              <w:ind w:firstLine="420" w:firstLineChars="200"/>
              <w:rPr>
                <w:rFonts w:ascii="宋体" w:hAnsi="宋体"/>
                <w:color w:val="auto"/>
                <w:szCs w:val="21"/>
                <w:highlight w:val="none"/>
              </w:rPr>
            </w:pPr>
          </w:p>
        </w:tc>
      </w:tr>
    </w:tbl>
    <w:p>
      <w:pPr>
        <w:spacing w:line="360" w:lineRule="auto"/>
        <w:ind w:firstLine="420" w:firstLineChars="200"/>
        <w:rPr>
          <w:rFonts w:ascii="宋体" w:hAnsi="宋体"/>
          <w:color w:val="auto"/>
          <w:szCs w:val="21"/>
          <w:highlight w:val="none"/>
        </w:rPr>
      </w:pPr>
    </w:p>
    <w:p>
      <w:pPr>
        <w:spacing w:line="480" w:lineRule="auto"/>
        <w:rPr>
          <w:rFonts w:ascii="宋体" w:hAnsi="宋体"/>
          <w:color w:val="auto"/>
          <w:szCs w:val="21"/>
          <w:highlight w:val="none"/>
        </w:rPr>
      </w:pPr>
      <w:r>
        <w:rPr>
          <w:rFonts w:hint="eastAsia" w:ascii="宋体" w:hAnsi="宋体"/>
          <w:color w:val="auto"/>
          <w:szCs w:val="21"/>
          <w:highlight w:val="none"/>
        </w:rPr>
        <w:br w:type="page"/>
      </w:r>
      <w:r>
        <w:rPr>
          <w:rFonts w:hint="eastAsia" w:ascii="宋体" w:hAnsi="宋体"/>
          <w:color w:val="auto"/>
          <w:szCs w:val="21"/>
          <w:highlight w:val="none"/>
        </w:rPr>
        <w:t>附</w:t>
      </w:r>
      <w:bookmarkStart w:id="1362" w:name="_Toc296891056"/>
      <w:bookmarkStart w:id="1363" w:name="_Toc296503228"/>
      <w:bookmarkStart w:id="1364" w:name="_Toc296346729"/>
      <w:bookmarkStart w:id="1365" w:name="_Toc296944567"/>
      <w:bookmarkStart w:id="1366" w:name="_Toc267261699"/>
      <w:bookmarkStart w:id="1367" w:name="_Toc296347227"/>
      <w:bookmarkStart w:id="1368" w:name="_Toc296891268"/>
      <w:r>
        <w:rPr>
          <w:rFonts w:hint="eastAsia" w:ascii="宋体" w:hAnsi="宋体"/>
          <w:color w:val="auto"/>
          <w:szCs w:val="21"/>
          <w:highlight w:val="none"/>
        </w:rPr>
        <w:t>件3：</w:t>
      </w:r>
    </w:p>
    <w:bookmarkEnd w:id="1362"/>
    <w:bookmarkEnd w:id="1363"/>
    <w:bookmarkEnd w:id="1364"/>
    <w:bookmarkEnd w:id="1365"/>
    <w:bookmarkEnd w:id="1366"/>
    <w:bookmarkEnd w:id="1367"/>
    <w:bookmarkEnd w:id="1368"/>
    <w:p>
      <w:pPr>
        <w:spacing w:before="156" w:beforeLines="50" w:after="156" w:afterLines="50" w:line="480" w:lineRule="auto"/>
        <w:jc w:val="center"/>
        <w:rPr>
          <w:rFonts w:ascii="宋体" w:hAnsi="宋体"/>
          <w:color w:val="auto"/>
          <w:szCs w:val="21"/>
          <w:highlight w:val="none"/>
        </w:rPr>
      </w:pPr>
      <w:r>
        <w:rPr>
          <w:rFonts w:hint="eastAsia" w:ascii="宋体" w:hAnsi="宋体"/>
          <w:color w:val="auto"/>
          <w:szCs w:val="21"/>
          <w:highlight w:val="none"/>
        </w:rPr>
        <w:t>承包人项目管理机构组成表</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871"/>
        <w:gridCol w:w="1418"/>
        <w:gridCol w:w="1134"/>
        <w:gridCol w:w="1134"/>
        <w:gridCol w:w="4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871" w:type="dxa"/>
            <w:noWrap w:val="0"/>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名    称</w:t>
            </w:r>
          </w:p>
        </w:tc>
        <w:tc>
          <w:tcPr>
            <w:tcW w:w="1418" w:type="dxa"/>
            <w:noWrap w:val="0"/>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姓名</w:t>
            </w:r>
          </w:p>
        </w:tc>
        <w:tc>
          <w:tcPr>
            <w:tcW w:w="1134" w:type="dxa"/>
            <w:noWrap w:val="0"/>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职务</w:t>
            </w:r>
          </w:p>
        </w:tc>
        <w:tc>
          <w:tcPr>
            <w:tcW w:w="1134" w:type="dxa"/>
            <w:noWrap w:val="0"/>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职称</w:t>
            </w:r>
          </w:p>
        </w:tc>
        <w:tc>
          <w:tcPr>
            <w:tcW w:w="4252" w:type="dxa"/>
            <w:noWrap w:val="0"/>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主要资历、经验及承担过的项目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47" w:hRule="atLeast"/>
          <w:jc w:val="center"/>
        </w:trPr>
        <w:tc>
          <w:tcPr>
            <w:tcW w:w="9809" w:type="dxa"/>
            <w:gridSpan w:val="5"/>
            <w:noWrap w:val="0"/>
            <w:vAlign w:val="center"/>
          </w:tcPr>
          <w:p>
            <w:pPr>
              <w:spacing w:line="400" w:lineRule="exact"/>
              <w:rPr>
                <w:rFonts w:ascii="宋体" w:hAnsi="宋体"/>
                <w:color w:val="auto"/>
                <w:szCs w:val="21"/>
                <w:highlight w:val="none"/>
              </w:rPr>
            </w:pPr>
            <w:r>
              <w:rPr>
                <w:rFonts w:hint="eastAsia" w:ascii="宋体" w:hAnsi="宋体"/>
                <w:color w:val="auto"/>
                <w:szCs w:val="21"/>
                <w:highlight w:val="none"/>
              </w:rPr>
              <w:t>一、总部人员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noWrap w:val="0"/>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项目主管</w:t>
            </w:r>
          </w:p>
        </w:tc>
        <w:tc>
          <w:tcPr>
            <w:tcW w:w="1418" w:type="dxa"/>
            <w:noWrap w:val="0"/>
            <w:vAlign w:val="center"/>
          </w:tcPr>
          <w:p>
            <w:pPr>
              <w:spacing w:line="400" w:lineRule="exact"/>
              <w:ind w:firstLine="420" w:firstLineChars="200"/>
              <w:rPr>
                <w:rFonts w:ascii="宋体" w:hAnsi="宋体"/>
                <w:color w:val="auto"/>
                <w:szCs w:val="21"/>
                <w:highlight w:val="none"/>
              </w:rPr>
            </w:pPr>
          </w:p>
        </w:tc>
        <w:tc>
          <w:tcPr>
            <w:tcW w:w="1134" w:type="dxa"/>
            <w:noWrap w:val="0"/>
            <w:vAlign w:val="center"/>
          </w:tcPr>
          <w:p>
            <w:pPr>
              <w:spacing w:line="400" w:lineRule="exact"/>
              <w:ind w:firstLine="420" w:firstLineChars="200"/>
              <w:rPr>
                <w:rFonts w:ascii="宋体" w:hAnsi="宋体"/>
                <w:color w:val="auto"/>
                <w:szCs w:val="21"/>
                <w:highlight w:val="none"/>
              </w:rPr>
            </w:pPr>
          </w:p>
        </w:tc>
        <w:tc>
          <w:tcPr>
            <w:tcW w:w="1134" w:type="dxa"/>
            <w:noWrap w:val="0"/>
            <w:vAlign w:val="center"/>
          </w:tcPr>
          <w:p>
            <w:pPr>
              <w:spacing w:line="400" w:lineRule="exact"/>
              <w:ind w:firstLine="420" w:firstLineChars="200"/>
              <w:rPr>
                <w:rFonts w:ascii="宋体" w:hAnsi="宋体"/>
                <w:color w:val="auto"/>
                <w:szCs w:val="21"/>
                <w:highlight w:val="none"/>
              </w:rPr>
            </w:pPr>
          </w:p>
        </w:tc>
        <w:tc>
          <w:tcPr>
            <w:tcW w:w="4252" w:type="dxa"/>
            <w:noWrap w:val="0"/>
            <w:vAlign w:val="center"/>
          </w:tcPr>
          <w:p>
            <w:pPr>
              <w:spacing w:line="400" w:lineRule="exact"/>
              <w:ind w:firstLine="420" w:firstLineChars="20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noWrap w:val="0"/>
            <w:vAlign w:val="center"/>
          </w:tcPr>
          <w:p>
            <w:pPr>
              <w:spacing w:line="400" w:lineRule="exact"/>
              <w:jc w:val="center"/>
              <w:rPr>
                <w:rFonts w:ascii="宋体" w:hAnsi="宋体"/>
                <w:color w:val="auto"/>
                <w:szCs w:val="21"/>
                <w:highlight w:val="none"/>
              </w:rPr>
            </w:pPr>
          </w:p>
        </w:tc>
        <w:tc>
          <w:tcPr>
            <w:tcW w:w="1418" w:type="dxa"/>
            <w:noWrap w:val="0"/>
            <w:vAlign w:val="center"/>
          </w:tcPr>
          <w:p>
            <w:pPr>
              <w:spacing w:line="400" w:lineRule="exact"/>
              <w:ind w:firstLine="420" w:firstLineChars="200"/>
              <w:rPr>
                <w:rFonts w:ascii="宋体" w:hAnsi="宋体"/>
                <w:color w:val="auto"/>
                <w:szCs w:val="21"/>
                <w:highlight w:val="none"/>
              </w:rPr>
            </w:pPr>
          </w:p>
        </w:tc>
        <w:tc>
          <w:tcPr>
            <w:tcW w:w="1134" w:type="dxa"/>
            <w:noWrap w:val="0"/>
            <w:vAlign w:val="center"/>
          </w:tcPr>
          <w:p>
            <w:pPr>
              <w:spacing w:line="400" w:lineRule="exact"/>
              <w:ind w:firstLine="420" w:firstLineChars="200"/>
              <w:rPr>
                <w:rFonts w:ascii="宋体" w:hAnsi="宋体"/>
                <w:color w:val="auto"/>
                <w:szCs w:val="21"/>
                <w:highlight w:val="none"/>
              </w:rPr>
            </w:pPr>
          </w:p>
        </w:tc>
        <w:tc>
          <w:tcPr>
            <w:tcW w:w="1134" w:type="dxa"/>
            <w:noWrap w:val="0"/>
            <w:vAlign w:val="center"/>
          </w:tcPr>
          <w:p>
            <w:pPr>
              <w:spacing w:line="400" w:lineRule="exact"/>
              <w:ind w:firstLine="420" w:firstLineChars="200"/>
              <w:rPr>
                <w:rFonts w:ascii="宋体" w:hAnsi="宋体"/>
                <w:color w:val="auto"/>
                <w:szCs w:val="21"/>
                <w:highlight w:val="none"/>
              </w:rPr>
            </w:pPr>
          </w:p>
        </w:tc>
        <w:tc>
          <w:tcPr>
            <w:tcW w:w="4252" w:type="dxa"/>
            <w:noWrap w:val="0"/>
            <w:vAlign w:val="center"/>
          </w:tcPr>
          <w:p>
            <w:pPr>
              <w:spacing w:line="400" w:lineRule="exact"/>
              <w:ind w:firstLine="420" w:firstLineChars="20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noWrap w:val="0"/>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其他人员</w:t>
            </w:r>
          </w:p>
        </w:tc>
        <w:tc>
          <w:tcPr>
            <w:tcW w:w="1418" w:type="dxa"/>
            <w:noWrap w:val="0"/>
            <w:vAlign w:val="center"/>
          </w:tcPr>
          <w:p>
            <w:pPr>
              <w:spacing w:line="400" w:lineRule="exact"/>
              <w:ind w:firstLine="420" w:firstLineChars="200"/>
              <w:rPr>
                <w:rFonts w:ascii="宋体" w:hAnsi="宋体"/>
                <w:color w:val="auto"/>
                <w:szCs w:val="21"/>
                <w:highlight w:val="none"/>
              </w:rPr>
            </w:pPr>
          </w:p>
        </w:tc>
        <w:tc>
          <w:tcPr>
            <w:tcW w:w="1134" w:type="dxa"/>
            <w:noWrap w:val="0"/>
            <w:vAlign w:val="center"/>
          </w:tcPr>
          <w:p>
            <w:pPr>
              <w:spacing w:line="400" w:lineRule="exact"/>
              <w:ind w:firstLine="420" w:firstLineChars="200"/>
              <w:rPr>
                <w:rFonts w:ascii="宋体" w:hAnsi="宋体"/>
                <w:color w:val="auto"/>
                <w:szCs w:val="21"/>
                <w:highlight w:val="none"/>
              </w:rPr>
            </w:pPr>
          </w:p>
        </w:tc>
        <w:tc>
          <w:tcPr>
            <w:tcW w:w="1134" w:type="dxa"/>
            <w:noWrap w:val="0"/>
            <w:vAlign w:val="center"/>
          </w:tcPr>
          <w:p>
            <w:pPr>
              <w:spacing w:line="400" w:lineRule="exact"/>
              <w:ind w:firstLine="420" w:firstLineChars="200"/>
              <w:rPr>
                <w:rFonts w:ascii="宋体" w:hAnsi="宋体"/>
                <w:color w:val="auto"/>
                <w:szCs w:val="21"/>
                <w:highlight w:val="none"/>
              </w:rPr>
            </w:pPr>
          </w:p>
        </w:tc>
        <w:tc>
          <w:tcPr>
            <w:tcW w:w="4252" w:type="dxa"/>
            <w:noWrap w:val="0"/>
            <w:vAlign w:val="center"/>
          </w:tcPr>
          <w:p>
            <w:pPr>
              <w:spacing w:line="400" w:lineRule="exact"/>
              <w:ind w:firstLine="420" w:firstLineChars="20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noWrap w:val="0"/>
            <w:vAlign w:val="center"/>
          </w:tcPr>
          <w:p>
            <w:pPr>
              <w:spacing w:line="400" w:lineRule="exact"/>
              <w:jc w:val="center"/>
              <w:rPr>
                <w:rFonts w:ascii="宋体" w:hAnsi="宋体"/>
                <w:color w:val="auto"/>
                <w:szCs w:val="21"/>
                <w:highlight w:val="none"/>
              </w:rPr>
            </w:pPr>
          </w:p>
        </w:tc>
        <w:tc>
          <w:tcPr>
            <w:tcW w:w="1418" w:type="dxa"/>
            <w:noWrap w:val="0"/>
            <w:vAlign w:val="center"/>
          </w:tcPr>
          <w:p>
            <w:pPr>
              <w:spacing w:line="400" w:lineRule="exact"/>
              <w:ind w:firstLine="420" w:firstLineChars="200"/>
              <w:rPr>
                <w:rFonts w:ascii="宋体" w:hAnsi="宋体"/>
                <w:color w:val="auto"/>
                <w:szCs w:val="21"/>
                <w:highlight w:val="none"/>
              </w:rPr>
            </w:pPr>
          </w:p>
        </w:tc>
        <w:tc>
          <w:tcPr>
            <w:tcW w:w="1134" w:type="dxa"/>
            <w:noWrap w:val="0"/>
            <w:vAlign w:val="center"/>
          </w:tcPr>
          <w:p>
            <w:pPr>
              <w:spacing w:line="400" w:lineRule="exact"/>
              <w:ind w:firstLine="420" w:firstLineChars="200"/>
              <w:rPr>
                <w:rFonts w:ascii="宋体" w:hAnsi="宋体"/>
                <w:color w:val="auto"/>
                <w:szCs w:val="21"/>
                <w:highlight w:val="none"/>
              </w:rPr>
            </w:pPr>
          </w:p>
        </w:tc>
        <w:tc>
          <w:tcPr>
            <w:tcW w:w="1134" w:type="dxa"/>
            <w:noWrap w:val="0"/>
            <w:vAlign w:val="center"/>
          </w:tcPr>
          <w:p>
            <w:pPr>
              <w:spacing w:line="400" w:lineRule="exact"/>
              <w:ind w:firstLine="420" w:firstLineChars="200"/>
              <w:rPr>
                <w:rFonts w:ascii="宋体" w:hAnsi="宋体"/>
                <w:color w:val="auto"/>
                <w:szCs w:val="21"/>
                <w:highlight w:val="none"/>
              </w:rPr>
            </w:pPr>
          </w:p>
        </w:tc>
        <w:tc>
          <w:tcPr>
            <w:tcW w:w="4252" w:type="dxa"/>
            <w:noWrap w:val="0"/>
            <w:vAlign w:val="center"/>
          </w:tcPr>
          <w:p>
            <w:pPr>
              <w:spacing w:line="400" w:lineRule="exact"/>
              <w:ind w:firstLine="420" w:firstLineChars="20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9809" w:type="dxa"/>
            <w:gridSpan w:val="5"/>
            <w:noWrap w:val="0"/>
            <w:vAlign w:val="center"/>
          </w:tcPr>
          <w:p>
            <w:pPr>
              <w:spacing w:line="400" w:lineRule="exact"/>
              <w:rPr>
                <w:rFonts w:ascii="宋体" w:hAnsi="宋体"/>
                <w:color w:val="auto"/>
                <w:szCs w:val="21"/>
                <w:highlight w:val="none"/>
              </w:rPr>
            </w:pPr>
            <w:r>
              <w:rPr>
                <w:rFonts w:hint="eastAsia" w:ascii="宋体" w:hAnsi="宋体"/>
                <w:color w:val="auto"/>
                <w:szCs w:val="21"/>
                <w:highlight w:val="none"/>
              </w:rPr>
              <w:t>二、现场人员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noWrap w:val="0"/>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项目经理</w:t>
            </w:r>
          </w:p>
        </w:tc>
        <w:tc>
          <w:tcPr>
            <w:tcW w:w="1418" w:type="dxa"/>
            <w:noWrap w:val="0"/>
            <w:vAlign w:val="center"/>
          </w:tcPr>
          <w:p>
            <w:pPr>
              <w:spacing w:line="400" w:lineRule="exact"/>
              <w:ind w:firstLine="420" w:firstLineChars="200"/>
              <w:rPr>
                <w:rFonts w:ascii="宋体" w:hAnsi="宋体"/>
                <w:color w:val="auto"/>
                <w:szCs w:val="21"/>
                <w:highlight w:val="none"/>
              </w:rPr>
            </w:pPr>
          </w:p>
        </w:tc>
        <w:tc>
          <w:tcPr>
            <w:tcW w:w="1134" w:type="dxa"/>
            <w:noWrap w:val="0"/>
            <w:vAlign w:val="center"/>
          </w:tcPr>
          <w:p>
            <w:pPr>
              <w:spacing w:line="400" w:lineRule="exact"/>
              <w:ind w:firstLine="420" w:firstLineChars="200"/>
              <w:rPr>
                <w:rFonts w:ascii="宋体" w:hAnsi="宋体"/>
                <w:color w:val="auto"/>
                <w:szCs w:val="21"/>
                <w:highlight w:val="none"/>
              </w:rPr>
            </w:pPr>
          </w:p>
        </w:tc>
        <w:tc>
          <w:tcPr>
            <w:tcW w:w="1134" w:type="dxa"/>
            <w:noWrap w:val="0"/>
            <w:vAlign w:val="center"/>
          </w:tcPr>
          <w:p>
            <w:pPr>
              <w:spacing w:line="400" w:lineRule="exact"/>
              <w:ind w:firstLine="420" w:firstLineChars="200"/>
              <w:rPr>
                <w:rFonts w:ascii="宋体" w:hAnsi="宋体"/>
                <w:color w:val="auto"/>
                <w:szCs w:val="21"/>
                <w:highlight w:val="none"/>
              </w:rPr>
            </w:pPr>
          </w:p>
        </w:tc>
        <w:tc>
          <w:tcPr>
            <w:tcW w:w="4252" w:type="dxa"/>
            <w:noWrap w:val="0"/>
            <w:vAlign w:val="center"/>
          </w:tcPr>
          <w:p>
            <w:pPr>
              <w:spacing w:line="400" w:lineRule="exact"/>
              <w:ind w:firstLine="420" w:firstLineChars="20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noWrap w:val="0"/>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项目副经理</w:t>
            </w:r>
          </w:p>
        </w:tc>
        <w:tc>
          <w:tcPr>
            <w:tcW w:w="1418" w:type="dxa"/>
            <w:noWrap w:val="0"/>
            <w:vAlign w:val="center"/>
          </w:tcPr>
          <w:p>
            <w:pPr>
              <w:spacing w:line="400" w:lineRule="exact"/>
              <w:ind w:firstLine="420" w:firstLineChars="200"/>
              <w:rPr>
                <w:rFonts w:ascii="宋体" w:hAnsi="宋体"/>
                <w:color w:val="auto"/>
                <w:szCs w:val="21"/>
                <w:highlight w:val="none"/>
              </w:rPr>
            </w:pPr>
          </w:p>
        </w:tc>
        <w:tc>
          <w:tcPr>
            <w:tcW w:w="1134" w:type="dxa"/>
            <w:noWrap w:val="0"/>
            <w:vAlign w:val="center"/>
          </w:tcPr>
          <w:p>
            <w:pPr>
              <w:spacing w:line="400" w:lineRule="exact"/>
              <w:ind w:firstLine="420" w:firstLineChars="200"/>
              <w:rPr>
                <w:rFonts w:ascii="宋体" w:hAnsi="宋体"/>
                <w:color w:val="auto"/>
                <w:szCs w:val="21"/>
                <w:highlight w:val="none"/>
              </w:rPr>
            </w:pPr>
          </w:p>
        </w:tc>
        <w:tc>
          <w:tcPr>
            <w:tcW w:w="1134" w:type="dxa"/>
            <w:noWrap w:val="0"/>
            <w:vAlign w:val="center"/>
          </w:tcPr>
          <w:p>
            <w:pPr>
              <w:spacing w:line="400" w:lineRule="exact"/>
              <w:ind w:firstLine="420" w:firstLineChars="200"/>
              <w:rPr>
                <w:rFonts w:ascii="宋体" w:hAnsi="宋体"/>
                <w:color w:val="auto"/>
                <w:szCs w:val="21"/>
                <w:highlight w:val="none"/>
              </w:rPr>
            </w:pPr>
          </w:p>
        </w:tc>
        <w:tc>
          <w:tcPr>
            <w:tcW w:w="4252" w:type="dxa"/>
            <w:noWrap w:val="0"/>
            <w:vAlign w:val="center"/>
          </w:tcPr>
          <w:p>
            <w:pPr>
              <w:spacing w:line="400" w:lineRule="exact"/>
              <w:ind w:firstLine="420" w:firstLineChars="20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noWrap w:val="0"/>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技术负责人</w:t>
            </w:r>
          </w:p>
        </w:tc>
        <w:tc>
          <w:tcPr>
            <w:tcW w:w="1418" w:type="dxa"/>
            <w:noWrap w:val="0"/>
            <w:vAlign w:val="center"/>
          </w:tcPr>
          <w:p>
            <w:pPr>
              <w:spacing w:line="400" w:lineRule="exact"/>
              <w:ind w:firstLine="420" w:firstLineChars="200"/>
              <w:rPr>
                <w:rFonts w:ascii="宋体" w:hAnsi="宋体"/>
                <w:color w:val="auto"/>
                <w:szCs w:val="21"/>
                <w:highlight w:val="none"/>
              </w:rPr>
            </w:pPr>
          </w:p>
        </w:tc>
        <w:tc>
          <w:tcPr>
            <w:tcW w:w="1134" w:type="dxa"/>
            <w:noWrap w:val="0"/>
            <w:vAlign w:val="center"/>
          </w:tcPr>
          <w:p>
            <w:pPr>
              <w:spacing w:line="400" w:lineRule="exact"/>
              <w:ind w:firstLine="420" w:firstLineChars="200"/>
              <w:rPr>
                <w:rFonts w:ascii="宋体" w:hAnsi="宋体"/>
                <w:color w:val="auto"/>
                <w:szCs w:val="21"/>
                <w:highlight w:val="none"/>
              </w:rPr>
            </w:pPr>
          </w:p>
        </w:tc>
        <w:tc>
          <w:tcPr>
            <w:tcW w:w="1134" w:type="dxa"/>
            <w:noWrap w:val="0"/>
            <w:vAlign w:val="center"/>
          </w:tcPr>
          <w:p>
            <w:pPr>
              <w:spacing w:line="400" w:lineRule="exact"/>
              <w:ind w:firstLine="420" w:firstLineChars="200"/>
              <w:rPr>
                <w:rFonts w:ascii="宋体" w:hAnsi="宋体"/>
                <w:color w:val="auto"/>
                <w:szCs w:val="21"/>
                <w:highlight w:val="none"/>
              </w:rPr>
            </w:pPr>
          </w:p>
        </w:tc>
        <w:tc>
          <w:tcPr>
            <w:tcW w:w="4252" w:type="dxa"/>
            <w:noWrap w:val="0"/>
            <w:vAlign w:val="center"/>
          </w:tcPr>
          <w:p>
            <w:pPr>
              <w:spacing w:line="400" w:lineRule="exact"/>
              <w:ind w:firstLine="420" w:firstLineChars="20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noWrap w:val="0"/>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造价管理</w:t>
            </w:r>
          </w:p>
        </w:tc>
        <w:tc>
          <w:tcPr>
            <w:tcW w:w="1418" w:type="dxa"/>
            <w:noWrap w:val="0"/>
            <w:vAlign w:val="center"/>
          </w:tcPr>
          <w:p>
            <w:pPr>
              <w:spacing w:line="400" w:lineRule="exact"/>
              <w:ind w:firstLine="420" w:firstLineChars="200"/>
              <w:rPr>
                <w:rFonts w:ascii="宋体" w:hAnsi="宋体"/>
                <w:color w:val="auto"/>
                <w:szCs w:val="21"/>
                <w:highlight w:val="none"/>
              </w:rPr>
            </w:pPr>
          </w:p>
        </w:tc>
        <w:tc>
          <w:tcPr>
            <w:tcW w:w="1134" w:type="dxa"/>
            <w:noWrap w:val="0"/>
            <w:vAlign w:val="center"/>
          </w:tcPr>
          <w:p>
            <w:pPr>
              <w:spacing w:line="400" w:lineRule="exact"/>
              <w:ind w:firstLine="420" w:firstLineChars="200"/>
              <w:rPr>
                <w:rFonts w:ascii="宋体" w:hAnsi="宋体"/>
                <w:color w:val="auto"/>
                <w:szCs w:val="21"/>
                <w:highlight w:val="none"/>
              </w:rPr>
            </w:pPr>
          </w:p>
        </w:tc>
        <w:tc>
          <w:tcPr>
            <w:tcW w:w="1134" w:type="dxa"/>
            <w:noWrap w:val="0"/>
            <w:vAlign w:val="center"/>
          </w:tcPr>
          <w:p>
            <w:pPr>
              <w:spacing w:line="400" w:lineRule="exact"/>
              <w:ind w:firstLine="420" w:firstLineChars="200"/>
              <w:rPr>
                <w:rFonts w:ascii="宋体" w:hAnsi="宋体"/>
                <w:color w:val="auto"/>
                <w:szCs w:val="21"/>
                <w:highlight w:val="none"/>
              </w:rPr>
            </w:pPr>
          </w:p>
        </w:tc>
        <w:tc>
          <w:tcPr>
            <w:tcW w:w="4252" w:type="dxa"/>
            <w:noWrap w:val="0"/>
            <w:vAlign w:val="center"/>
          </w:tcPr>
          <w:p>
            <w:pPr>
              <w:spacing w:line="400" w:lineRule="exact"/>
              <w:ind w:firstLine="420" w:firstLineChars="20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noWrap w:val="0"/>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质量管理</w:t>
            </w:r>
          </w:p>
        </w:tc>
        <w:tc>
          <w:tcPr>
            <w:tcW w:w="1418" w:type="dxa"/>
            <w:noWrap w:val="0"/>
            <w:vAlign w:val="center"/>
          </w:tcPr>
          <w:p>
            <w:pPr>
              <w:spacing w:line="400" w:lineRule="exact"/>
              <w:ind w:firstLine="420" w:firstLineChars="200"/>
              <w:rPr>
                <w:rFonts w:ascii="宋体" w:hAnsi="宋体"/>
                <w:color w:val="auto"/>
                <w:szCs w:val="21"/>
                <w:highlight w:val="none"/>
              </w:rPr>
            </w:pPr>
          </w:p>
        </w:tc>
        <w:tc>
          <w:tcPr>
            <w:tcW w:w="1134" w:type="dxa"/>
            <w:noWrap w:val="0"/>
            <w:vAlign w:val="center"/>
          </w:tcPr>
          <w:p>
            <w:pPr>
              <w:spacing w:line="400" w:lineRule="exact"/>
              <w:ind w:firstLine="420" w:firstLineChars="200"/>
              <w:rPr>
                <w:rFonts w:ascii="宋体" w:hAnsi="宋体"/>
                <w:color w:val="auto"/>
                <w:szCs w:val="21"/>
                <w:highlight w:val="none"/>
              </w:rPr>
            </w:pPr>
          </w:p>
        </w:tc>
        <w:tc>
          <w:tcPr>
            <w:tcW w:w="1134" w:type="dxa"/>
            <w:noWrap w:val="0"/>
            <w:vAlign w:val="center"/>
          </w:tcPr>
          <w:p>
            <w:pPr>
              <w:spacing w:line="400" w:lineRule="exact"/>
              <w:ind w:firstLine="420" w:firstLineChars="200"/>
              <w:rPr>
                <w:rFonts w:ascii="宋体" w:hAnsi="宋体"/>
                <w:color w:val="auto"/>
                <w:szCs w:val="21"/>
                <w:highlight w:val="none"/>
              </w:rPr>
            </w:pPr>
          </w:p>
        </w:tc>
        <w:tc>
          <w:tcPr>
            <w:tcW w:w="4252" w:type="dxa"/>
            <w:noWrap w:val="0"/>
            <w:vAlign w:val="center"/>
          </w:tcPr>
          <w:p>
            <w:pPr>
              <w:spacing w:line="400" w:lineRule="exact"/>
              <w:ind w:firstLine="420" w:firstLineChars="20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noWrap w:val="0"/>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材料管理</w:t>
            </w:r>
          </w:p>
        </w:tc>
        <w:tc>
          <w:tcPr>
            <w:tcW w:w="1418" w:type="dxa"/>
            <w:noWrap w:val="0"/>
            <w:vAlign w:val="center"/>
          </w:tcPr>
          <w:p>
            <w:pPr>
              <w:spacing w:line="400" w:lineRule="exact"/>
              <w:ind w:firstLine="420" w:firstLineChars="200"/>
              <w:rPr>
                <w:rFonts w:ascii="宋体" w:hAnsi="宋体"/>
                <w:color w:val="auto"/>
                <w:szCs w:val="21"/>
                <w:highlight w:val="none"/>
              </w:rPr>
            </w:pPr>
          </w:p>
        </w:tc>
        <w:tc>
          <w:tcPr>
            <w:tcW w:w="1134" w:type="dxa"/>
            <w:noWrap w:val="0"/>
            <w:vAlign w:val="center"/>
          </w:tcPr>
          <w:p>
            <w:pPr>
              <w:spacing w:line="400" w:lineRule="exact"/>
              <w:ind w:firstLine="420" w:firstLineChars="200"/>
              <w:rPr>
                <w:rFonts w:ascii="宋体" w:hAnsi="宋体"/>
                <w:color w:val="auto"/>
                <w:szCs w:val="21"/>
                <w:highlight w:val="none"/>
              </w:rPr>
            </w:pPr>
          </w:p>
        </w:tc>
        <w:tc>
          <w:tcPr>
            <w:tcW w:w="1134" w:type="dxa"/>
            <w:noWrap w:val="0"/>
            <w:vAlign w:val="center"/>
          </w:tcPr>
          <w:p>
            <w:pPr>
              <w:spacing w:line="400" w:lineRule="exact"/>
              <w:ind w:firstLine="420" w:firstLineChars="200"/>
              <w:rPr>
                <w:rFonts w:ascii="宋体" w:hAnsi="宋体"/>
                <w:color w:val="auto"/>
                <w:szCs w:val="21"/>
                <w:highlight w:val="none"/>
              </w:rPr>
            </w:pPr>
          </w:p>
        </w:tc>
        <w:tc>
          <w:tcPr>
            <w:tcW w:w="4252" w:type="dxa"/>
            <w:noWrap w:val="0"/>
            <w:vAlign w:val="center"/>
          </w:tcPr>
          <w:p>
            <w:pPr>
              <w:spacing w:line="400" w:lineRule="exact"/>
              <w:ind w:firstLine="420" w:firstLineChars="20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noWrap w:val="0"/>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计划管理</w:t>
            </w:r>
          </w:p>
        </w:tc>
        <w:tc>
          <w:tcPr>
            <w:tcW w:w="1418" w:type="dxa"/>
            <w:noWrap w:val="0"/>
            <w:vAlign w:val="center"/>
          </w:tcPr>
          <w:p>
            <w:pPr>
              <w:spacing w:line="400" w:lineRule="exact"/>
              <w:ind w:firstLine="420" w:firstLineChars="200"/>
              <w:rPr>
                <w:rFonts w:ascii="宋体" w:hAnsi="宋体"/>
                <w:color w:val="auto"/>
                <w:szCs w:val="21"/>
                <w:highlight w:val="none"/>
              </w:rPr>
            </w:pPr>
          </w:p>
        </w:tc>
        <w:tc>
          <w:tcPr>
            <w:tcW w:w="1134" w:type="dxa"/>
            <w:noWrap w:val="0"/>
            <w:vAlign w:val="center"/>
          </w:tcPr>
          <w:p>
            <w:pPr>
              <w:spacing w:line="400" w:lineRule="exact"/>
              <w:ind w:firstLine="420" w:firstLineChars="200"/>
              <w:rPr>
                <w:rFonts w:ascii="宋体" w:hAnsi="宋体"/>
                <w:color w:val="auto"/>
                <w:szCs w:val="21"/>
                <w:highlight w:val="none"/>
              </w:rPr>
            </w:pPr>
          </w:p>
        </w:tc>
        <w:tc>
          <w:tcPr>
            <w:tcW w:w="1134" w:type="dxa"/>
            <w:noWrap w:val="0"/>
            <w:vAlign w:val="center"/>
          </w:tcPr>
          <w:p>
            <w:pPr>
              <w:spacing w:line="400" w:lineRule="exact"/>
              <w:ind w:firstLine="420" w:firstLineChars="200"/>
              <w:rPr>
                <w:rFonts w:ascii="宋体" w:hAnsi="宋体"/>
                <w:color w:val="auto"/>
                <w:szCs w:val="21"/>
                <w:highlight w:val="none"/>
              </w:rPr>
            </w:pPr>
          </w:p>
        </w:tc>
        <w:tc>
          <w:tcPr>
            <w:tcW w:w="4252" w:type="dxa"/>
            <w:noWrap w:val="0"/>
            <w:vAlign w:val="center"/>
          </w:tcPr>
          <w:p>
            <w:pPr>
              <w:spacing w:line="400" w:lineRule="exact"/>
              <w:ind w:firstLine="420" w:firstLineChars="20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noWrap w:val="0"/>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安全管理</w:t>
            </w:r>
          </w:p>
        </w:tc>
        <w:tc>
          <w:tcPr>
            <w:tcW w:w="1418" w:type="dxa"/>
            <w:noWrap w:val="0"/>
            <w:vAlign w:val="center"/>
          </w:tcPr>
          <w:p>
            <w:pPr>
              <w:spacing w:line="400" w:lineRule="exact"/>
              <w:ind w:firstLine="420" w:firstLineChars="200"/>
              <w:rPr>
                <w:rFonts w:ascii="宋体" w:hAnsi="宋体"/>
                <w:color w:val="auto"/>
                <w:szCs w:val="21"/>
                <w:highlight w:val="none"/>
              </w:rPr>
            </w:pPr>
          </w:p>
        </w:tc>
        <w:tc>
          <w:tcPr>
            <w:tcW w:w="1134" w:type="dxa"/>
            <w:noWrap w:val="0"/>
            <w:vAlign w:val="center"/>
          </w:tcPr>
          <w:p>
            <w:pPr>
              <w:spacing w:line="400" w:lineRule="exact"/>
              <w:ind w:firstLine="420" w:firstLineChars="200"/>
              <w:rPr>
                <w:rFonts w:ascii="宋体" w:hAnsi="宋体"/>
                <w:color w:val="auto"/>
                <w:szCs w:val="21"/>
                <w:highlight w:val="none"/>
              </w:rPr>
            </w:pPr>
          </w:p>
        </w:tc>
        <w:tc>
          <w:tcPr>
            <w:tcW w:w="1134" w:type="dxa"/>
            <w:noWrap w:val="0"/>
            <w:vAlign w:val="center"/>
          </w:tcPr>
          <w:p>
            <w:pPr>
              <w:spacing w:line="400" w:lineRule="exact"/>
              <w:ind w:firstLine="420" w:firstLineChars="200"/>
              <w:rPr>
                <w:rFonts w:ascii="宋体" w:hAnsi="宋体"/>
                <w:color w:val="auto"/>
                <w:szCs w:val="21"/>
                <w:highlight w:val="none"/>
              </w:rPr>
            </w:pPr>
          </w:p>
        </w:tc>
        <w:tc>
          <w:tcPr>
            <w:tcW w:w="4252" w:type="dxa"/>
            <w:noWrap w:val="0"/>
            <w:vAlign w:val="center"/>
          </w:tcPr>
          <w:p>
            <w:pPr>
              <w:spacing w:line="400" w:lineRule="exact"/>
              <w:ind w:firstLine="420" w:firstLineChars="20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restart"/>
            <w:noWrap w:val="0"/>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其他人员</w:t>
            </w:r>
          </w:p>
        </w:tc>
        <w:tc>
          <w:tcPr>
            <w:tcW w:w="1418" w:type="dxa"/>
            <w:noWrap w:val="0"/>
            <w:vAlign w:val="center"/>
          </w:tcPr>
          <w:p>
            <w:pPr>
              <w:spacing w:line="400" w:lineRule="exact"/>
              <w:ind w:firstLine="420" w:firstLineChars="200"/>
              <w:rPr>
                <w:rFonts w:ascii="宋体" w:hAnsi="宋体"/>
                <w:color w:val="auto"/>
                <w:szCs w:val="21"/>
                <w:highlight w:val="none"/>
              </w:rPr>
            </w:pPr>
          </w:p>
        </w:tc>
        <w:tc>
          <w:tcPr>
            <w:tcW w:w="1134" w:type="dxa"/>
            <w:noWrap w:val="0"/>
            <w:vAlign w:val="center"/>
          </w:tcPr>
          <w:p>
            <w:pPr>
              <w:spacing w:line="400" w:lineRule="exact"/>
              <w:ind w:firstLine="420" w:firstLineChars="200"/>
              <w:rPr>
                <w:rFonts w:ascii="宋体" w:hAnsi="宋体"/>
                <w:color w:val="auto"/>
                <w:szCs w:val="21"/>
                <w:highlight w:val="none"/>
              </w:rPr>
            </w:pPr>
          </w:p>
        </w:tc>
        <w:tc>
          <w:tcPr>
            <w:tcW w:w="1134" w:type="dxa"/>
            <w:noWrap w:val="0"/>
            <w:vAlign w:val="center"/>
          </w:tcPr>
          <w:p>
            <w:pPr>
              <w:spacing w:line="400" w:lineRule="exact"/>
              <w:ind w:firstLine="420" w:firstLineChars="200"/>
              <w:rPr>
                <w:rFonts w:ascii="宋体" w:hAnsi="宋体"/>
                <w:color w:val="auto"/>
                <w:szCs w:val="21"/>
                <w:highlight w:val="none"/>
              </w:rPr>
            </w:pPr>
          </w:p>
        </w:tc>
        <w:tc>
          <w:tcPr>
            <w:tcW w:w="4252" w:type="dxa"/>
            <w:noWrap w:val="0"/>
            <w:vAlign w:val="center"/>
          </w:tcPr>
          <w:p>
            <w:pPr>
              <w:spacing w:line="400" w:lineRule="exact"/>
              <w:ind w:firstLine="420" w:firstLineChars="20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continue"/>
            <w:noWrap w:val="0"/>
            <w:vAlign w:val="center"/>
          </w:tcPr>
          <w:p>
            <w:pPr>
              <w:spacing w:line="400" w:lineRule="exact"/>
              <w:ind w:firstLine="420" w:firstLineChars="200"/>
              <w:rPr>
                <w:rFonts w:ascii="宋体" w:hAnsi="宋体"/>
                <w:color w:val="auto"/>
                <w:szCs w:val="21"/>
                <w:highlight w:val="none"/>
              </w:rPr>
            </w:pPr>
          </w:p>
        </w:tc>
        <w:tc>
          <w:tcPr>
            <w:tcW w:w="1418" w:type="dxa"/>
            <w:noWrap w:val="0"/>
            <w:vAlign w:val="center"/>
          </w:tcPr>
          <w:p>
            <w:pPr>
              <w:spacing w:line="400" w:lineRule="exact"/>
              <w:ind w:firstLine="420" w:firstLineChars="200"/>
              <w:rPr>
                <w:rFonts w:ascii="宋体" w:hAnsi="宋体"/>
                <w:color w:val="auto"/>
                <w:szCs w:val="21"/>
                <w:highlight w:val="none"/>
              </w:rPr>
            </w:pPr>
          </w:p>
        </w:tc>
        <w:tc>
          <w:tcPr>
            <w:tcW w:w="1134" w:type="dxa"/>
            <w:noWrap w:val="0"/>
            <w:vAlign w:val="center"/>
          </w:tcPr>
          <w:p>
            <w:pPr>
              <w:spacing w:line="400" w:lineRule="exact"/>
              <w:ind w:firstLine="420" w:firstLineChars="200"/>
              <w:rPr>
                <w:rFonts w:ascii="宋体" w:hAnsi="宋体"/>
                <w:color w:val="auto"/>
                <w:szCs w:val="21"/>
                <w:highlight w:val="none"/>
              </w:rPr>
            </w:pPr>
          </w:p>
        </w:tc>
        <w:tc>
          <w:tcPr>
            <w:tcW w:w="1134" w:type="dxa"/>
            <w:noWrap w:val="0"/>
            <w:vAlign w:val="center"/>
          </w:tcPr>
          <w:p>
            <w:pPr>
              <w:spacing w:line="400" w:lineRule="exact"/>
              <w:ind w:firstLine="420" w:firstLineChars="200"/>
              <w:rPr>
                <w:rFonts w:ascii="宋体" w:hAnsi="宋体"/>
                <w:color w:val="auto"/>
                <w:szCs w:val="21"/>
                <w:highlight w:val="none"/>
              </w:rPr>
            </w:pPr>
          </w:p>
        </w:tc>
        <w:tc>
          <w:tcPr>
            <w:tcW w:w="4252" w:type="dxa"/>
            <w:noWrap w:val="0"/>
            <w:vAlign w:val="center"/>
          </w:tcPr>
          <w:p>
            <w:pPr>
              <w:spacing w:line="400" w:lineRule="exact"/>
              <w:ind w:firstLine="420" w:firstLineChars="20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continue"/>
            <w:noWrap w:val="0"/>
            <w:vAlign w:val="center"/>
          </w:tcPr>
          <w:p>
            <w:pPr>
              <w:spacing w:line="400" w:lineRule="exact"/>
              <w:ind w:firstLine="420" w:firstLineChars="200"/>
              <w:rPr>
                <w:rFonts w:ascii="宋体" w:hAnsi="宋体"/>
                <w:color w:val="auto"/>
                <w:szCs w:val="21"/>
                <w:highlight w:val="none"/>
              </w:rPr>
            </w:pPr>
          </w:p>
        </w:tc>
        <w:tc>
          <w:tcPr>
            <w:tcW w:w="1418" w:type="dxa"/>
            <w:noWrap w:val="0"/>
            <w:vAlign w:val="center"/>
          </w:tcPr>
          <w:p>
            <w:pPr>
              <w:spacing w:line="400" w:lineRule="exact"/>
              <w:ind w:firstLine="420" w:firstLineChars="200"/>
              <w:rPr>
                <w:rFonts w:ascii="宋体" w:hAnsi="宋体"/>
                <w:color w:val="auto"/>
                <w:szCs w:val="21"/>
                <w:highlight w:val="none"/>
              </w:rPr>
            </w:pPr>
          </w:p>
        </w:tc>
        <w:tc>
          <w:tcPr>
            <w:tcW w:w="1134" w:type="dxa"/>
            <w:noWrap w:val="0"/>
            <w:vAlign w:val="center"/>
          </w:tcPr>
          <w:p>
            <w:pPr>
              <w:spacing w:line="400" w:lineRule="exact"/>
              <w:ind w:firstLine="420" w:firstLineChars="200"/>
              <w:rPr>
                <w:rFonts w:ascii="宋体" w:hAnsi="宋体"/>
                <w:color w:val="auto"/>
                <w:szCs w:val="21"/>
                <w:highlight w:val="none"/>
              </w:rPr>
            </w:pPr>
          </w:p>
        </w:tc>
        <w:tc>
          <w:tcPr>
            <w:tcW w:w="1134" w:type="dxa"/>
            <w:noWrap w:val="0"/>
            <w:vAlign w:val="center"/>
          </w:tcPr>
          <w:p>
            <w:pPr>
              <w:spacing w:line="400" w:lineRule="exact"/>
              <w:ind w:firstLine="420" w:firstLineChars="200"/>
              <w:rPr>
                <w:rFonts w:ascii="宋体" w:hAnsi="宋体"/>
                <w:color w:val="auto"/>
                <w:szCs w:val="21"/>
                <w:highlight w:val="none"/>
              </w:rPr>
            </w:pPr>
          </w:p>
        </w:tc>
        <w:tc>
          <w:tcPr>
            <w:tcW w:w="4252" w:type="dxa"/>
            <w:noWrap w:val="0"/>
            <w:vAlign w:val="center"/>
          </w:tcPr>
          <w:p>
            <w:pPr>
              <w:spacing w:line="400" w:lineRule="exact"/>
              <w:ind w:firstLine="420" w:firstLineChars="20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7" w:hRule="atLeast"/>
          <w:jc w:val="center"/>
        </w:trPr>
        <w:tc>
          <w:tcPr>
            <w:tcW w:w="1871" w:type="dxa"/>
            <w:vMerge w:val="continue"/>
            <w:noWrap w:val="0"/>
            <w:vAlign w:val="center"/>
          </w:tcPr>
          <w:p>
            <w:pPr>
              <w:spacing w:line="400" w:lineRule="exact"/>
              <w:ind w:firstLine="420" w:firstLineChars="200"/>
              <w:rPr>
                <w:rFonts w:ascii="宋体" w:hAnsi="宋体"/>
                <w:color w:val="auto"/>
                <w:szCs w:val="21"/>
                <w:highlight w:val="none"/>
              </w:rPr>
            </w:pPr>
          </w:p>
        </w:tc>
        <w:tc>
          <w:tcPr>
            <w:tcW w:w="1418" w:type="dxa"/>
            <w:noWrap w:val="0"/>
            <w:vAlign w:val="center"/>
          </w:tcPr>
          <w:p>
            <w:pPr>
              <w:spacing w:line="400" w:lineRule="exact"/>
              <w:ind w:firstLine="420" w:firstLineChars="200"/>
              <w:rPr>
                <w:rFonts w:ascii="宋体" w:hAnsi="宋体"/>
                <w:color w:val="auto"/>
                <w:szCs w:val="21"/>
                <w:highlight w:val="none"/>
              </w:rPr>
            </w:pPr>
          </w:p>
        </w:tc>
        <w:tc>
          <w:tcPr>
            <w:tcW w:w="1134" w:type="dxa"/>
            <w:noWrap w:val="0"/>
            <w:vAlign w:val="center"/>
          </w:tcPr>
          <w:p>
            <w:pPr>
              <w:spacing w:line="400" w:lineRule="exact"/>
              <w:ind w:firstLine="420" w:firstLineChars="200"/>
              <w:rPr>
                <w:rFonts w:ascii="宋体" w:hAnsi="宋体"/>
                <w:color w:val="auto"/>
                <w:szCs w:val="21"/>
                <w:highlight w:val="none"/>
              </w:rPr>
            </w:pPr>
          </w:p>
        </w:tc>
        <w:tc>
          <w:tcPr>
            <w:tcW w:w="1134" w:type="dxa"/>
            <w:noWrap w:val="0"/>
            <w:vAlign w:val="center"/>
          </w:tcPr>
          <w:p>
            <w:pPr>
              <w:spacing w:line="400" w:lineRule="exact"/>
              <w:ind w:firstLine="420" w:firstLineChars="200"/>
              <w:rPr>
                <w:rFonts w:ascii="宋体" w:hAnsi="宋体"/>
                <w:color w:val="auto"/>
                <w:szCs w:val="21"/>
                <w:highlight w:val="none"/>
              </w:rPr>
            </w:pPr>
          </w:p>
        </w:tc>
        <w:tc>
          <w:tcPr>
            <w:tcW w:w="4252" w:type="dxa"/>
            <w:noWrap w:val="0"/>
            <w:vAlign w:val="center"/>
          </w:tcPr>
          <w:p>
            <w:pPr>
              <w:spacing w:line="400" w:lineRule="exact"/>
              <w:ind w:firstLine="420" w:firstLineChars="20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0" w:hRule="atLeast"/>
          <w:jc w:val="center"/>
        </w:trPr>
        <w:tc>
          <w:tcPr>
            <w:tcW w:w="1871" w:type="dxa"/>
            <w:vMerge w:val="continue"/>
            <w:noWrap w:val="0"/>
            <w:vAlign w:val="center"/>
          </w:tcPr>
          <w:p>
            <w:pPr>
              <w:spacing w:line="400" w:lineRule="exact"/>
              <w:ind w:firstLine="420" w:firstLineChars="200"/>
              <w:rPr>
                <w:rFonts w:ascii="宋体" w:hAnsi="宋体"/>
                <w:color w:val="auto"/>
                <w:szCs w:val="21"/>
                <w:highlight w:val="none"/>
              </w:rPr>
            </w:pPr>
          </w:p>
        </w:tc>
        <w:tc>
          <w:tcPr>
            <w:tcW w:w="1418" w:type="dxa"/>
            <w:noWrap w:val="0"/>
            <w:vAlign w:val="center"/>
          </w:tcPr>
          <w:p>
            <w:pPr>
              <w:spacing w:line="400" w:lineRule="exact"/>
              <w:ind w:firstLine="420" w:firstLineChars="200"/>
              <w:rPr>
                <w:rFonts w:ascii="宋体" w:hAnsi="宋体"/>
                <w:color w:val="auto"/>
                <w:szCs w:val="21"/>
                <w:highlight w:val="none"/>
              </w:rPr>
            </w:pPr>
          </w:p>
        </w:tc>
        <w:tc>
          <w:tcPr>
            <w:tcW w:w="1134" w:type="dxa"/>
            <w:noWrap w:val="0"/>
            <w:vAlign w:val="center"/>
          </w:tcPr>
          <w:p>
            <w:pPr>
              <w:spacing w:line="400" w:lineRule="exact"/>
              <w:ind w:firstLine="420" w:firstLineChars="200"/>
              <w:rPr>
                <w:rFonts w:ascii="宋体" w:hAnsi="宋体"/>
                <w:color w:val="auto"/>
                <w:szCs w:val="21"/>
                <w:highlight w:val="none"/>
              </w:rPr>
            </w:pPr>
          </w:p>
        </w:tc>
        <w:tc>
          <w:tcPr>
            <w:tcW w:w="1134" w:type="dxa"/>
            <w:noWrap w:val="0"/>
            <w:vAlign w:val="center"/>
          </w:tcPr>
          <w:p>
            <w:pPr>
              <w:spacing w:line="400" w:lineRule="exact"/>
              <w:ind w:firstLine="420" w:firstLineChars="200"/>
              <w:rPr>
                <w:rFonts w:ascii="宋体" w:hAnsi="宋体"/>
                <w:color w:val="auto"/>
                <w:szCs w:val="21"/>
                <w:highlight w:val="none"/>
              </w:rPr>
            </w:pPr>
          </w:p>
        </w:tc>
        <w:tc>
          <w:tcPr>
            <w:tcW w:w="4252" w:type="dxa"/>
            <w:noWrap w:val="0"/>
            <w:vAlign w:val="center"/>
          </w:tcPr>
          <w:p>
            <w:pPr>
              <w:spacing w:line="400" w:lineRule="exact"/>
              <w:ind w:firstLine="420" w:firstLineChars="200"/>
              <w:rPr>
                <w:rFonts w:ascii="宋体" w:hAnsi="宋体"/>
                <w:color w:val="auto"/>
                <w:szCs w:val="21"/>
                <w:highlight w:val="none"/>
              </w:rPr>
            </w:pPr>
          </w:p>
        </w:tc>
      </w:tr>
    </w:tbl>
    <w:p>
      <w:pPr>
        <w:spacing w:line="480" w:lineRule="auto"/>
        <w:rPr>
          <w:rFonts w:ascii="宋体" w:hAnsi="宋体"/>
          <w:color w:val="auto"/>
          <w:szCs w:val="21"/>
          <w:highlight w:val="none"/>
        </w:rPr>
      </w:pPr>
      <w:r>
        <w:rPr>
          <w:rFonts w:hint="eastAsia" w:ascii="宋体" w:hAnsi="宋体"/>
          <w:color w:val="auto"/>
          <w:szCs w:val="21"/>
          <w:highlight w:val="none"/>
        </w:rPr>
        <w:br w:type="page"/>
      </w:r>
      <w:bookmarkStart w:id="1369" w:name="_Toc267261701"/>
      <w:r>
        <w:rPr>
          <w:rFonts w:hint="eastAsia" w:ascii="宋体" w:hAnsi="宋体"/>
          <w:color w:val="auto"/>
          <w:szCs w:val="21"/>
          <w:highlight w:val="none"/>
        </w:rPr>
        <w:t>附</w:t>
      </w:r>
      <w:bookmarkStart w:id="1370" w:name="_Toc296891271"/>
      <w:bookmarkStart w:id="1371" w:name="_Toc296346732"/>
      <w:bookmarkStart w:id="1372" w:name="_Toc296503231"/>
      <w:bookmarkStart w:id="1373" w:name="_Toc296347230"/>
      <w:bookmarkStart w:id="1374" w:name="_Toc296944570"/>
      <w:bookmarkStart w:id="1375" w:name="_Toc296891059"/>
      <w:r>
        <w:rPr>
          <w:rFonts w:hint="eastAsia" w:ascii="宋体" w:hAnsi="宋体"/>
          <w:color w:val="auto"/>
          <w:szCs w:val="21"/>
          <w:highlight w:val="none"/>
        </w:rPr>
        <w:t>件4：</w:t>
      </w:r>
    </w:p>
    <w:bookmarkEnd w:id="1369"/>
    <w:bookmarkEnd w:id="1370"/>
    <w:bookmarkEnd w:id="1371"/>
    <w:bookmarkEnd w:id="1372"/>
    <w:bookmarkEnd w:id="1373"/>
    <w:bookmarkEnd w:id="1374"/>
    <w:bookmarkEnd w:id="1375"/>
    <w:p>
      <w:pPr>
        <w:spacing w:before="156" w:beforeLines="50" w:after="156" w:afterLines="50" w:line="480" w:lineRule="auto"/>
        <w:jc w:val="center"/>
        <w:rPr>
          <w:rFonts w:ascii="宋体" w:hAnsi="宋体"/>
          <w:color w:val="auto"/>
          <w:szCs w:val="21"/>
          <w:highlight w:val="none"/>
        </w:rPr>
      </w:pPr>
      <w:r>
        <w:rPr>
          <w:rFonts w:hint="eastAsia" w:ascii="宋体" w:hAnsi="宋体"/>
          <w:color w:val="auto"/>
          <w:szCs w:val="21"/>
          <w:highlight w:val="none"/>
        </w:rPr>
        <w:t>履约担保（如有）</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u w:val="single"/>
        </w:rPr>
        <w:tab/>
      </w:r>
      <w:r>
        <w:rPr>
          <w:rFonts w:hint="eastAsia" w:ascii="宋体" w:hAnsi="宋体"/>
          <w:color w:val="auto"/>
          <w:szCs w:val="21"/>
          <w:highlight w:val="none"/>
          <w:u w:val="single"/>
        </w:rPr>
        <w:t xml:space="preserve">       </w:t>
      </w:r>
      <w:r>
        <w:rPr>
          <w:rFonts w:hint="eastAsia" w:ascii="宋体" w:hAnsi="宋体"/>
          <w:color w:val="auto"/>
          <w:szCs w:val="21"/>
          <w:highlight w:val="none"/>
        </w:rPr>
        <w:t>（发包人名称）：</w:t>
      </w:r>
    </w:p>
    <w:p>
      <w:pPr>
        <w:spacing w:line="360" w:lineRule="auto"/>
        <w:ind w:firstLine="420" w:firstLineChars="200"/>
        <w:rPr>
          <w:rFonts w:ascii="宋体" w:hAnsi="宋体"/>
          <w:color w:val="auto"/>
          <w:szCs w:val="21"/>
          <w:highlight w:val="none"/>
        </w:rPr>
      </w:pP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鉴于</w:t>
      </w:r>
      <w:r>
        <w:rPr>
          <w:rFonts w:hint="eastAsia" w:ascii="宋体" w:hAnsi="宋体"/>
          <w:color w:val="auto"/>
          <w:szCs w:val="21"/>
          <w:highlight w:val="none"/>
          <w:u w:val="single"/>
        </w:rPr>
        <w:t xml:space="preserve">                </w:t>
      </w:r>
      <w:r>
        <w:rPr>
          <w:rFonts w:hint="eastAsia" w:ascii="宋体" w:hAnsi="宋体"/>
          <w:color w:val="auto"/>
          <w:szCs w:val="21"/>
          <w:highlight w:val="none"/>
        </w:rPr>
        <w:t>（发包人名称，以下简称“发包人”）与</w:t>
      </w:r>
    </w:p>
    <w:p>
      <w:pPr>
        <w:spacing w:line="360" w:lineRule="auto"/>
        <w:rPr>
          <w:rFonts w:ascii="宋体" w:hAnsi="宋体"/>
          <w:color w:val="auto"/>
          <w:szCs w:val="21"/>
          <w:highlight w:val="none"/>
        </w:rPr>
      </w:pPr>
      <w:r>
        <w:rPr>
          <w:rFonts w:hint="eastAsia" w:ascii="宋体" w:hAnsi="宋体"/>
          <w:color w:val="auto"/>
          <w:szCs w:val="21"/>
          <w:highlight w:val="none"/>
        </w:rPr>
        <w:t xml:space="preserve"> </w:t>
      </w:r>
      <w:r>
        <w:rPr>
          <w:rFonts w:hint="eastAsia" w:ascii="宋体" w:hAnsi="宋体"/>
          <w:color w:val="auto"/>
          <w:szCs w:val="21"/>
          <w:highlight w:val="none"/>
          <w:u w:val="single"/>
        </w:rPr>
        <w:t xml:space="preserve">                           </w:t>
      </w:r>
      <w:r>
        <w:rPr>
          <w:rFonts w:hint="eastAsia" w:ascii="宋体" w:hAnsi="宋体"/>
          <w:color w:val="auto"/>
          <w:szCs w:val="21"/>
          <w:highlight w:val="none"/>
        </w:rPr>
        <w:t>（承包人名称）（以下称“承包人”）于</w:t>
      </w:r>
      <w:r>
        <w:rPr>
          <w:rFonts w:hint="eastAsia" w:ascii="宋体" w:hAnsi="宋体"/>
          <w:color w:val="auto"/>
          <w:szCs w:val="21"/>
          <w:highlight w:val="none"/>
          <w:u w:val="single"/>
        </w:rPr>
        <w:t xml:space="preserve">    </w:t>
      </w:r>
      <w:r>
        <w:rPr>
          <w:rFonts w:hint="eastAsia" w:ascii="宋体" w:hAnsi="宋体"/>
          <w:color w:val="auto"/>
          <w:szCs w:val="21"/>
          <w:highlight w:val="none"/>
        </w:rPr>
        <w:t>年</w:t>
      </w:r>
      <w:r>
        <w:rPr>
          <w:rFonts w:hint="eastAsia" w:ascii="宋体" w:hAnsi="宋体"/>
          <w:color w:val="auto"/>
          <w:szCs w:val="21"/>
          <w:highlight w:val="none"/>
          <w:u w:val="single"/>
        </w:rPr>
        <w:t xml:space="preserve">  </w:t>
      </w:r>
      <w:r>
        <w:rPr>
          <w:rFonts w:hint="eastAsia" w:ascii="宋体" w:hAnsi="宋体"/>
          <w:color w:val="auto"/>
          <w:szCs w:val="21"/>
          <w:highlight w:val="none"/>
        </w:rPr>
        <w:t>月</w:t>
      </w:r>
      <w:r>
        <w:rPr>
          <w:rFonts w:hint="eastAsia" w:ascii="宋体" w:hAnsi="宋体"/>
          <w:color w:val="auto"/>
          <w:szCs w:val="21"/>
          <w:highlight w:val="none"/>
          <w:u w:val="single"/>
        </w:rPr>
        <w:t xml:space="preserve">  </w:t>
      </w:r>
      <w:r>
        <w:rPr>
          <w:rFonts w:hint="eastAsia" w:ascii="宋体" w:hAnsi="宋体"/>
          <w:color w:val="auto"/>
          <w:szCs w:val="21"/>
          <w:highlight w:val="none"/>
        </w:rPr>
        <w:t>日就</w:t>
      </w:r>
      <w:r>
        <w:rPr>
          <w:rFonts w:hint="eastAsia" w:ascii="宋体" w:hAnsi="宋体"/>
          <w:color w:val="auto"/>
          <w:szCs w:val="21"/>
          <w:highlight w:val="none"/>
          <w:u w:val="single"/>
        </w:rPr>
        <w:t xml:space="preserve">                         </w:t>
      </w:r>
      <w:r>
        <w:rPr>
          <w:rFonts w:hint="eastAsia" w:ascii="宋体" w:hAnsi="宋体"/>
          <w:color w:val="auto"/>
          <w:szCs w:val="21"/>
          <w:highlight w:val="none"/>
        </w:rPr>
        <w:t>（工程名称）施工及有关事项协商一致共同签订《建设工程施工合同》。我方愿意无条件地、不可撤销地就承包人履行与你方签订的合同，向你方提供连带责任担保。</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 担保金额人民币（大写）</w:t>
      </w:r>
      <w:r>
        <w:rPr>
          <w:rFonts w:hint="eastAsia" w:ascii="宋体" w:hAnsi="宋体"/>
          <w:color w:val="auto"/>
          <w:szCs w:val="21"/>
          <w:highlight w:val="none"/>
          <w:u w:val="single"/>
        </w:rPr>
        <w:t xml:space="preserve">        </w:t>
      </w:r>
      <w:r>
        <w:rPr>
          <w:rFonts w:hint="eastAsia" w:ascii="宋体" w:hAnsi="宋体"/>
          <w:color w:val="auto"/>
          <w:szCs w:val="21"/>
          <w:highlight w:val="none"/>
        </w:rPr>
        <w:t>元（¥</w:t>
      </w:r>
      <w:r>
        <w:rPr>
          <w:rFonts w:hint="eastAsia" w:ascii="宋体" w:hAnsi="宋体"/>
          <w:color w:val="auto"/>
          <w:szCs w:val="21"/>
          <w:highlight w:val="none"/>
          <w:u w:val="single"/>
        </w:rPr>
        <w:t xml:space="preserve">        </w:t>
      </w:r>
      <w:r>
        <w:rPr>
          <w:rFonts w:hint="eastAsia" w:ascii="宋体" w:hAnsi="宋体"/>
          <w:color w:val="auto"/>
          <w:szCs w:val="21"/>
          <w:highlight w:val="none"/>
        </w:rPr>
        <w:t>）。</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 担保有效期：</w:t>
      </w:r>
      <w:r>
        <w:rPr>
          <w:rFonts w:hint="eastAsia" w:ascii="宋体" w:hAnsi="宋体"/>
          <w:color w:val="auto"/>
          <w:szCs w:val="21"/>
          <w:highlight w:val="none"/>
          <w:u w:val="single"/>
        </w:rPr>
        <w:t>自</w:t>
      </w:r>
      <w:r>
        <w:rPr>
          <w:rStyle w:val="9"/>
          <w:rFonts w:hint="eastAsia"/>
          <w:color w:val="auto"/>
          <w:highlight w:val="none"/>
        </w:rPr>
        <w:t>我</w:t>
      </w:r>
      <w:r>
        <w:rPr>
          <w:rFonts w:hint="eastAsia" w:ascii="宋体" w:hAnsi="宋体"/>
          <w:color w:val="auto"/>
          <w:szCs w:val="21"/>
          <w:highlight w:val="none"/>
          <w:u w:val="single"/>
        </w:rPr>
        <w:t>方法定代表人（或其委托代理人）签字并加盖公章之日起至你方签发或应签发工程接收证书之日止</w:t>
      </w:r>
      <w:r>
        <w:rPr>
          <w:rFonts w:hint="eastAsia" w:ascii="宋体" w:hAnsi="宋体"/>
          <w:color w:val="auto"/>
          <w:szCs w:val="21"/>
          <w:highlight w:val="none"/>
        </w:rPr>
        <w:t>。</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3. 在本担保有效期内，因承包人违反合同约定的义务给你方造成经济损失时，我方在收到你方以书面形式提出的在担保金额内的赔偿要求后，在7天内无条件支付。</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4. 你方和承包人按合同约定变更合同时，我方承担本担保规定的义务不变。</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5. 因本保函发生的纠纷，可由双方协商解决，协商不成的，按下列第</w:t>
      </w:r>
      <w:r>
        <w:rPr>
          <w:rFonts w:hint="eastAsia" w:ascii="宋体" w:hAnsi="宋体"/>
          <w:color w:val="auto"/>
          <w:szCs w:val="21"/>
          <w:highlight w:val="none"/>
          <w:u w:val="single"/>
        </w:rPr>
        <w:t xml:space="preserve">    </w:t>
      </w:r>
      <w:r>
        <w:rPr>
          <w:rFonts w:hint="eastAsia" w:ascii="宋体" w:hAnsi="宋体"/>
          <w:color w:val="auto"/>
          <w:szCs w:val="21"/>
          <w:highlight w:val="none"/>
        </w:rPr>
        <w:t>种方式解决：</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（1）向</w:t>
      </w:r>
      <w:r>
        <w:rPr>
          <w:rFonts w:hint="eastAsia" w:ascii="宋体" w:hAnsi="宋体"/>
          <w:color w:val="auto"/>
          <w:szCs w:val="21"/>
          <w:highlight w:val="none"/>
          <w:u w:val="single"/>
        </w:rPr>
        <w:t xml:space="preserve">                     </w:t>
      </w:r>
      <w:r>
        <w:rPr>
          <w:rFonts w:hint="eastAsia" w:ascii="宋体" w:hAnsi="宋体"/>
          <w:color w:val="auto"/>
          <w:szCs w:val="21"/>
          <w:highlight w:val="none"/>
        </w:rPr>
        <w:t>仲裁委员会申请仲裁；</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（2）向</w:t>
      </w:r>
      <w:r>
        <w:rPr>
          <w:rFonts w:hint="eastAsia" w:ascii="宋体" w:hAnsi="宋体"/>
          <w:color w:val="auto"/>
          <w:szCs w:val="21"/>
          <w:highlight w:val="none"/>
          <w:u w:val="single"/>
        </w:rPr>
        <w:t xml:space="preserve">                     </w:t>
      </w:r>
      <w:r>
        <w:rPr>
          <w:rFonts w:hint="eastAsia" w:ascii="宋体" w:hAnsi="宋体"/>
          <w:color w:val="auto"/>
          <w:szCs w:val="21"/>
          <w:highlight w:val="none"/>
        </w:rPr>
        <w:t>人民法院起诉。</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6. 本保函自我方法定代表人（或其委托代理人）签字并加盖公章之日起生效。</w:t>
      </w:r>
    </w:p>
    <w:p>
      <w:pPr>
        <w:spacing w:line="360" w:lineRule="auto"/>
        <w:ind w:firstLine="420" w:firstLineChars="200"/>
        <w:rPr>
          <w:rFonts w:hint="eastAsia" w:ascii="宋体" w:hAnsi="宋体"/>
          <w:color w:val="auto"/>
          <w:szCs w:val="21"/>
          <w:highlight w:val="none"/>
        </w:rPr>
      </w:pP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担 保 人：</w:t>
      </w:r>
      <w:r>
        <w:rPr>
          <w:rFonts w:hint="eastAsia" w:ascii="宋体" w:hAnsi="宋体"/>
          <w:color w:val="auto"/>
          <w:szCs w:val="21"/>
          <w:highlight w:val="none"/>
          <w:u w:val="single"/>
        </w:rPr>
        <w:t xml:space="preserve">                           </w:t>
      </w:r>
      <w:r>
        <w:rPr>
          <w:rFonts w:hint="eastAsia" w:ascii="宋体" w:hAnsi="宋体"/>
          <w:color w:val="auto"/>
          <w:szCs w:val="21"/>
          <w:highlight w:val="none"/>
        </w:rPr>
        <w:t>（盖单位章）</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法定代表人或其委托代理人：</w:t>
      </w:r>
      <w:r>
        <w:rPr>
          <w:rFonts w:hint="eastAsia" w:ascii="宋体" w:hAnsi="宋体"/>
          <w:color w:val="auto"/>
          <w:szCs w:val="21"/>
          <w:highlight w:val="none"/>
          <w:u w:val="single"/>
        </w:rPr>
        <w:t xml:space="preserve">               </w:t>
      </w:r>
      <w:r>
        <w:rPr>
          <w:rFonts w:hint="eastAsia" w:ascii="宋体" w:hAnsi="宋体"/>
          <w:color w:val="auto"/>
          <w:szCs w:val="21"/>
          <w:highlight w:val="none"/>
        </w:rPr>
        <w:t>（签字）</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地    址：</w:t>
      </w:r>
      <w:r>
        <w:rPr>
          <w:rFonts w:hint="eastAsia" w:ascii="宋体" w:hAnsi="宋体"/>
          <w:color w:val="auto"/>
          <w:szCs w:val="21"/>
          <w:highlight w:val="none"/>
          <w:u w:val="single"/>
        </w:rPr>
        <w:t xml:space="preserve">                                      </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邮政编码：</w:t>
      </w:r>
      <w:r>
        <w:rPr>
          <w:rFonts w:hint="eastAsia" w:ascii="宋体" w:hAnsi="宋体"/>
          <w:color w:val="auto"/>
          <w:szCs w:val="21"/>
          <w:highlight w:val="none"/>
          <w:u w:val="single"/>
        </w:rPr>
        <w:t xml:space="preserve">                                      </w:t>
      </w:r>
    </w:p>
    <w:p>
      <w:pPr>
        <w:spacing w:line="360" w:lineRule="auto"/>
        <w:ind w:firstLine="420" w:firstLineChars="200"/>
        <w:rPr>
          <w:rFonts w:ascii="宋体" w:hAnsi="宋体"/>
          <w:color w:val="auto"/>
          <w:szCs w:val="21"/>
          <w:highlight w:val="none"/>
          <w:u w:val="single"/>
        </w:rPr>
      </w:pPr>
      <w:r>
        <w:rPr>
          <w:rFonts w:hint="eastAsia" w:ascii="宋体" w:hAnsi="宋体"/>
          <w:color w:val="auto"/>
          <w:szCs w:val="21"/>
          <w:highlight w:val="none"/>
        </w:rPr>
        <w:t>电    话：</w:t>
      </w:r>
      <w:r>
        <w:rPr>
          <w:rFonts w:hint="eastAsia" w:ascii="宋体" w:hAnsi="宋体"/>
          <w:color w:val="auto"/>
          <w:szCs w:val="21"/>
          <w:highlight w:val="none"/>
          <w:u w:val="single"/>
        </w:rPr>
        <w:t xml:space="preserve">                                      </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传    真：</w:t>
      </w:r>
      <w:r>
        <w:rPr>
          <w:rFonts w:hint="eastAsia" w:ascii="宋体" w:hAnsi="宋体"/>
          <w:color w:val="auto"/>
          <w:szCs w:val="21"/>
          <w:highlight w:val="none"/>
          <w:u w:val="single"/>
        </w:rPr>
        <w:t xml:space="preserve">                                      </w:t>
      </w:r>
    </w:p>
    <w:p>
      <w:pPr>
        <w:spacing w:line="360" w:lineRule="auto"/>
        <w:ind w:firstLine="420" w:firstLineChars="200"/>
        <w:jc w:val="right"/>
        <w:rPr>
          <w:rFonts w:hint="eastAsia" w:ascii="宋体" w:hAnsi="宋体"/>
          <w:color w:val="auto"/>
          <w:szCs w:val="21"/>
          <w:highlight w:val="none"/>
          <w:u w:val="single"/>
        </w:rPr>
      </w:pPr>
    </w:p>
    <w:p>
      <w:pPr>
        <w:spacing w:line="360" w:lineRule="auto"/>
        <w:ind w:firstLine="420" w:firstLineChars="200"/>
        <w:jc w:val="right"/>
        <w:rPr>
          <w:rFonts w:hint="eastAsia" w:ascii="宋体" w:hAnsi="宋体"/>
          <w:color w:val="auto"/>
          <w:szCs w:val="21"/>
          <w:highlight w:val="none"/>
          <w:u w:val="single"/>
        </w:rPr>
      </w:pPr>
    </w:p>
    <w:p>
      <w:pPr>
        <w:spacing w:line="360" w:lineRule="auto"/>
        <w:ind w:firstLine="420" w:firstLineChars="200"/>
        <w:jc w:val="right"/>
        <w:rPr>
          <w:rFonts w:ascii="宋体" w:hAnsi="宋体"/>
          <w:color w:val="auto"/>
          <w:szCs w:val="21"/>
          <w:highlight w:val="none"/>
        </w:rPr>
      </w:pPr>
      <w:r>
        <w:rPr>
          <w:rFonts w:hint="eastAsia" w:ascii="宋体" w:hAnsi="宋体"/>
          <w:color w:val="auto"/>
          <w:szCs w:val="21"/>
          <w:highlight w:val="none"/>
          <w:u w:val="single"/>
        </w:rPr>
        <w:t xml:space="preserve">           </w:t>
      </w:r>
      <w:r>
        <w:rPr>
          <w:rFonts w:hint="eastAsia" w:ascii="宋体" w:hAnsi="宋体"/>
          <w:color w:val="auto"/>
          <w:szCs w:val="21"/>
          <w:highlight w:val="none"/>
        </w:rPr>
        <w:t>年</w:t>
      </w:r>
      <w:r>
        <w:rPr>
          <w:rFonts w:hint="eastAsia" w:ascii="宋体" w:hAnsi="宋体"/>
          <w:color w:val="auto"/>
          <w:szCs w:val="21"/>
          <w:highlight w:val="none"/>
          <w:u w:val="single"/>
        </w:rPr>
        <w:t xml:space="preserve">        </w:t>
      </w:r>
      <w:r>
        <w:rPr>
          <w:rFonts w:hint="eastAsia" w:ascii="宋体" w:hAnsi="宋体"/>
          <w:color w:val="auto"/>
          <w:szCs w:val="21"/>
          <w:highlight w:val="none"/>
        </w:rPr>
        <w:t>月</w:t>
      </w:r>
      <w:r>
        <w:rPr>
          <w:rFonts w:hint="eastAsia" w:ascii="宋体" w:hAnsi="宋体"/>
          <w:color w:val="auto"/>
          <w:szCs w:val="21"/>
          <w:highlight w:val="none"/>
          <w:u w:val="single"/>
        </w:rPr>
        <w:t xml:space="preserve">        </w:t>
      </w:r>
      <w:r>
        <w:rPr>
          <w:rFonts w:hint="eastAsia" w:ascii="宋体" w:hAnsi="宋体"/>
          <w:color w:val="auto"/>
          <w:szCs w:val="21"/>
          <w:highlight w:val="none"/>
        </w:rPr>
        <w:t>日</w:t>
      </w:r>
    </w:p>
    <w:p>
      <w:pPr>
        <w:widowControl/>
        <w:spacing w:line="360" w:lineRule="auto"/>
        <w:jc w:val="left"/>
        <w:rPr>
          <w:rFonts w:ascii="宋体" w:hAnsi="宋体"/>
          <w:color w:val="auto"/>
          <w:szCs w:val="21"/>
          <w:highlight w:val="none"/>
        </w:rPr>
      </w:pPr>
      <w:r>
        <w:rPr>
          <w:rFonts w:ascii="宋体" w:hAnsi="宋体"/>
          <w:color w:val="auto"/>
          <w:szCs w:val="21"/>
          <w:highlight w:val="none"/>
        </w:rPr>
        <w:br w:type="page"/>
      </w:r>
    </w:p>
    <w:p>
      <w:pPr>
        <w:spacing w:line="480" w:lineRule="auto"/>
        <w:rPr>
          <w:rFonts w:ascii="宋体" w:hAnsi="宋体"/>
          <w:color w:val="auto"/>
          <w:szCs w:val="21"/>
          <w:highlight w:val="none"/>
        </w:rPr>
      </w:pPr>
      <w:r>
        <w:rPr>
          <w:rFonts w:hint="eastAsia" w:ascii="宋体" w:hAnsi="宋体"/>
          <w:color w:val="auto"/>
          <w:szCs w:val="21"/>
          <w:highlight w:val="none"/>
        </w:rPr>
        <w:t>附</w:t>
      </w:r>
      <w:bookmarkStart w:id="1376" w:name="_Toc296891060"/>
      <w:bookmarkStart w:id="1377" w:name="_Toc296891272"/>
      <w:bookmarkStart w:id="1378" w:name="_Toc296346733"/>
      <w:bookmarkStart w:id="1379" w:name="_Toc267261702"/>
      <w:bookmarkStart w:id="1380" w:name="_Toc296503232"/>
      <w:bookmarkStart w:id="1381" w:name="_Toc296944571"/>
      <w:bookmarkStart w:id="1382" w:name="_Toc296347231"/>
      <w:r>
        <w:rPr>
          <w:rFonts w:hint="eastAsia" w:ascii="宋体" w:hAnsi="宋体"/>
          <w:color w:val="auto"/>
          <w:szCs w:val="21"/>
          <w:highlight w:val="none"/>
        </w:rPr>
        <w:t>件5：</w:t>
      </w:r>
    </w:p>
    <w:bookmarkEnd w:id="1376"/>
    <w:bookmarkEnd w:id="1377"/>
    <w:bookmarkEnd w:id="1378"/>
    <w:bookmarkEnd w:id="1379"/>
    <w:bookmarkEnd w:id="1380"/>
    <w:bookmarkEnd w:id="1381"/>
    <w:bookmarkEnd w:id="1382"/>
    <w:p>
      <w:pPr>
        <w:spacing w:before="156" w:beforeLines="50" w:after="156" w:afterLines="50" w:line="480" w:lineRule="auto"/>
        <w:jc w:val="center"/>
        <w:rPr>
          <w:rFonts w:hint="eastAsia" w:ascii="宋体" w:hAnsi="宋体"/>
          <w:color w:val="auto"/>
          <w:szCs w:val="21"/>
          <w:highlight w:val="none"/>
        </w:rPr>
      </w:pPr>
      <w:r>
        <w:rPr>
          <w:rFonts w:hint="eastAsia" w:ascii="宋体" w:hAnsi="宋体"/>
          <w:color w:val="auto"/>
          <w:szCs w:val="21"/>
          <w:highlight w:val="none"/>
        </w:rPr>
        <w:t>预付款担保（如有）</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u w:val="single"/>
        </w:rPr>
        <w:t xml:space="preserve">            </w:t>
      </w:r>
      <w:r>
        <w:rPr>
          <w:rFonts w:hint="eastAsia" w:ascii="宋体" w:hAnsi="宋体"/>
          <w:color w:val="auto"/>
          <w:szCs w:val="21"/>
          <w:highlight w:val="none"/>
          <w:u w:val="single"/>
        </w:rPr>
        <w:tab/>
      </w:r>
      <w:r>
        <w:rPr>
          <w:rFonts w:hint="eastAsia" w:ascii="宋体" w:hAnsi="宋体"/>
          <w:color w:val="auto"/>
          <w:szCs w:val="21"/>
          <w:highlight w:val="none"/>
          <w:u w:val="single"/>
        </w:rPr>
        <w:tab/>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 （发包人名称）：</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根据</w:t>
      </w:r>
      <w:r>
        <w:rPr>
          <w:rFonts w:hint="eastAsia" w:ascii="宋体" w:hAnsi="宋体"/>
          <w:color w:val="auto"/>
          <w:szCs w:val="21"/>
          <w:highlight w:val="none"/>
          <w:u w:val="single"/>
        </w:rPr>
        <w:t xml:space="preserve">       </w:t>
      </w:r>
      <w:r>
        <w:rPr>
          <w:rFonts w:hint="eastAsia" w:ascii="宋体" w:hAnsi="宋体"/>
          <w:color w:val="auto"/>
          <w:szCs w:val="21"/>
          <w:highlight w:val="none"/>
        </w:rPr>
        <w:t>（承包人名称）（以下称“承包人”）与</w:t>
      </w:r>
      <w:r>
        <w:rPr>
          <w:rFonts w:hint="eastAsia" w:ascii="宋体" w:hAnsi="宋体"/>
          <w:color w:val="auto"/>
          <w:szCs w:val="21"/>
          <w:highlight w:val="none"/>
          <w:u w:val="single"/>
        </w:rPr>
        <w:t xml:space="preserve">         </w:t>
      </w:r>
      <w:r>
        <w:rPr>
          <w:rFonts w:hint="eastAsia" w:ascii="宋体" w:hAnsi="宋体"/>
          <w:color w:val="auto"/>
          <w:szCs w:val="21"/>
          <w:highlight w:val="none"/>
        </w:rPr>
        <w:t>（发包人名称）（以下简称“发包人”）于</w:t>
      </w:r>
      <w:r>
        <w:rPr>
          <w:rFonts w:hint="eastAsia" w:ascii="宋体" w:hAnsi="宋体"/>
          <w:color w:val="auto"/>
          <w:szCs w:val="21"/>
          <w:highlight w:val="none"/>
          <w:u w:val="single"/>
        </w:rPr>
        <w:t xml:space="preserve">       </w:t>
      </w:r>
      <w:r>
        <w:rPr>
          <w:rFonts w:hint="eastAsia" w:ascii="宋体" w:hAnsi="宋体"/>
          <w:color w:val="auto"/>
          <w:szCs w:val="21"/>
          <w:highlight w:val="none"/>
        </w:rPr>
        <w:t>年</w:t>
      </w:r>
      <w:r>
        <w:rPr>
          <w:rFonts w:hint="eastAsia" w:ascii="宋体" w:hAnsi="宋体"/>
          <w:color w:val="auto"/>
          <w:szCs w:val="21"/>
          <w:highlight w:val="none"/>
          <w:u w:val="single"/>
        </w:rPr>
        <w:t xml:space="preserve">      </w:t>
      </w:r>
      <w:r>
        <w:rPr>
          <w:rFonts w:hint="eastAsia" w:ascii="宋体" w:hAnsi="宋体"/>
          <w:color w:val="auto"/>
          <w:szCs w:val="21"/>
          <w:highlight w:val="none"/>
        </w:rPr>
        <w:t>月</w:t>
      </w:r>
      <w:r>
        <w:rPr>
          <w:rFonts w:hint="eastAsia" w:ascii="宋体" w:hAnsi="宋体"/>
          <w:color w:val="auto"/>
          <w:szCs w:val="21"/>
          <w:highlight w:val="none"/>
          <w:u w:val="single"/>
        </w:rPr>
        <w:t xml:space="preserve">      </w:t>
      </w:r>
      <w:r>
        <w:rPr>
          <w:rFonts w:hint="eastAsia" w:ascii="宋体" w:hAnsi="宋体"/>
          <w:color w:val="auto"/>
          <w:szCs w:val="21"/>
          <w:highlight w:val="none"/>
        </w:rPr>
        <w:t>日签订的</w:t>
      </w:r>
      <w:r>
        <w:rPr>
          <w:rFonts w:hint="eastAsia" w:ascii="宋体" w:hAnsi="宋体"/>
          <w:color w:val="auto"/>
          <w:szCs w:val="21"/>
          <w:highlight w:val="none"/>
          <w:u w:val="single"/>
        </w:rPr>
        <w:t xml:space="preserve">            </w:t>
      </w:r>
      <w:r>
        <w:rPr>
          <w:rFonts w:hint="eastAsia" w:ascii="宋体" w:hAnsi="宋体"/>
          <w:color w:val="auto"/>
          <w:szCs w:val="21"/>
          <w:highlight w:val="none"/>
        </w:rPr>
        <w:t>（工程名称）《建设工程施工合同》，承包人按约定的金额向你方提交一份预付款担保，即有权得到你方支付相等金额的预付款。我方愿意就你方提供给承包人的预付款为承包人提供连带责任担保。</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 担保金额人民币（大写）</w:t>
      </w:r>
      <w:r>
        <w:rPr>
          <w:rFonts w:hint="eastAsia" w:ascii="宋体" w:hAnsi="宋体"/>
          <w:color w:val="auto"/>
          <w:szCs w:val="21"/>
          <w:highlight w:val="none"/>
          <w:u w:val="single"/>
        </w:rPr>
        <w:t xml:space="preserve">        </w:t>
      </w:r>
      <w:r>
        <w:rPr>
          <w:rFonts w:hint="eastAsia" w:ascii="宋体" w:hAnsi="宋体"/>
          <w:color w:val="auto"/>
          <w:szCs w:val="21"/>
          <w:highlight w:val="none"/>
        </w:rPr>
        <w:t>元（¥</w:t>
      </w:r>
      <w:r>
        <w:rPr>
          <w:rFonts w:hint="eastAsia" w:ascii="宋体" w:hAnsi="宋体"/>
          <w:color w:val="auto"/>
          <w:szCs w:val="21"/>
          <w:highlight w:val="none"/>
          <w:u w:val="single"/>
        </w:rPr>
        <w:t xml:space="preserve">        </w:t>
      </w:r>
      <w:r>
        <w:rPr>
          <w:rFonts w:hint="eastAsia" w:ascii="宋体" w:hAnsi="宋体"/>
          <w:color w:val="auto"/>
          <w:szCs w:val="21"/>
          <w:highlight w:val="none"/>
        </w:rPr>
        <w:t>）。</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 担保有效期自预付款支付给承包人起生效，至你方签发的进度款支付证书说明已完全扣清止。</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3. 在本保函有效期内，因承包人违反合同约定的义务而要求收回预付款时，我方在收到你方的书面通知后，在７天内无条件支付。但本保函的担保金额，在任何时候不应超过预付款金额减去你方按合同约定在向承包人签发的进度款支付证书中扣除的金额。</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4. 你方和承包人按合同约定变更合同时，我方承担本保函规定的义务不变。</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5. 因本保函发生的纠纷，可由双方协商解决，协商不成的，按下列第</w:t>
      </w:r>
      <w:r>
        <w:rPr>
          <w:rFonts w:hint="eastAsia" w:ascii="宋体" w:hAnsi="宋体"/>
          <w:color w:val="auto"/>
          <w:szCs w:val="21"/>
          <w:highlight w:val="none"/>
          <w:u w:val="single"/>
        </w:rPr>
        <w:t xml:space="preserve">    </w:t>
      </w:r>
      <w:r>
        <w:rPr>
          <w:rFonts w:hint="eastAsia" w:ascii="宋体" w:hAnsi="宋体"/>
          <w:color w:val="auto"/>
          <w:szCs w:val="21"/>
          <w:highlight w:val="none"/>
        </w:rPr>
        <w:t>种方式解决：</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（1）向</w:t>
      </w:r>
      <w:r>
        <w:rPr>
          <w:rFonts w:hint="eastAsia" w:ascii="宋体" w:hAnsi="宋体"/>
          <w:color w:val="auto"/>
          <w:szCs w:val="21"/>
          <w:highlight w:val="none"/>
          <w:u w:val="single"/>
        </w:rPr>
        <w:t xml:space="preserve">                     </w:t>
      </w:r>
      <w:r>
        <w:rPr>
          <w:rFonts w:hint="eastAsia" w:ascii="宋体" w:hAnsi="宋体"/>
          <w:color w:val="auto"/>
          <w:szCs w:val="21"/>
          <w:highlight w:val="none"/>
        </w:rPr>
        <w:t>仲裁委员会申请仲裁；</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（2）向</w:t>
      </w:r>
      <w:r>
        <w:rPr>
          <w:rFonts w:hint="eastAsia" w:ascii="宋体" w:hAnsi="宋体"/>
          <w:color w:val="auto"/>
          <w:szCs w:val="21"/>
          <w:highlight w:val="none"/>
          <w:u w:val="single"/>
        </w:rPr>
        <w:t xml:space="preserve">                     </w:t>
      </w:r>
      <w:r>
        <w:rPr>
          <w:rFonts w:hint="eastAsia" w:ascii="宋体" w:hAnsi="宋体"/>
          <w:color w:val="auto"/>
          <w:szCs w:val="21"/>
          <w:highlight w:val="none"/>
        </w:rPr>
        <w:t>人民法院起诉。</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6. 本保函自我方法定代表人（或其委托代理人）签字并加盖公章之日起生效。</w:t>
      </w:r>
    </w:p>
    <w:p>
      <w:pPr>
        <w:pStyle w:val="2"/>
        <w:spacing w:line="360" w:lineRule="auto"/>
        <w:ind w:firstLine="420" w:firstLineChars="200"/>
        <w:rPr>
          <w:rFonts w:ascii="宋体" w:hAnsi="宋体"/>
          <w:color w:val="auto"/>
          <w:szCs w:val="21"/>
          <w:highlight w:val="none"/>
        </w:rPr>
      </w:pP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担保人：</w:t>
      </w:r>
      <w:r>
        <w:rPr>
          <w:rFonts w:hint="eastAsia" w:ascii="宋体" w:hAnsi="宋体"/>
          <w:color w:val="auto"/>
          <w:szCs w:val="21"/>
          <w:highlight w:val="none"/>
          <w:u w:val="single"/>
        </w:rPr>
        <w:t xml:space="preserve">                           </w:t>
      </w:r>
      <w:r>
        <w:rPr>
          <w:rFonts w:hint="eastAsia" w:ascii="宋体" w:hAnsi="宋体"/>
          <w:color w:val="auto"/>
          <w:szCs w:val="21"/>
          <w:highlight w:val="none"/>
        </w:rPr>
        <w:t>（盖单位章）</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法定代表人或其委托代理人：</w:t>
      </w:r>
      <w:r>
        <w:rPr>
          <w:rFonts w:hint="eastAsia" w:ascii="宋体" w:hAnsi="宋体"/>
          <w:color w:val="auto"/>
          <w:szCs w:val="21"/>
          <w:highlight w:val="none"/>
          <w:u w:val="single"/>
        </w:rPr>
        <w:t xml:space="preserve">          </w:t>
      </w:r>
      <w:r>
        <w:rPr>
          <w:rFonts w:hint="eastAsia" w:ascii="宋体" w:hAnsi="宋体"/>
          <w:color w:val="auto"/>
          <w:szCs w:val="21"/>
          <w:highlight w:val="none"/>
        </w:rPr>
        <w:t>（签字）</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地    址：</w:t>
      </w:r>
      <w:r>
        <w:rPr>
          <w:rFonts w:hint="eastAsia" w:ascii="宋体" w:hAnsi="宋体"/>
          <w:color w:val="auto"/>
          <w:szCs w:val="21"/>
          <w:highlight w:val="none"/>
          <w:u w:val="single"/>
        </w:rPr>
        <w:tab/>
      </w:r>
      <w:r>
        <w:rPr>
          <w:rFonts w:hint="eastAsia" w:ascii="宋体" w:hAnsi="宋体"/>
          <w:color w:val="auto"/>
          <w:szCs w:val="21"/>
          <w:highlight w:val="none"/>
          <w:u w:val="single"/>
        </w:rPr>
        <w:tab/>
      </w:r>
      <w:r>
        <w:rPr>
          <w:rFonts w:hint="eastAsia" w:ascii="宋体" w:hAnsi="宋体"/>
          <w:color w:val="auto"/>
          <w:szCs w:val="21"/>
          <w:highlight w:val="none"/>
          <w:u w:val="single"/>
        </w:rPr>
        <w:tab/>
      </w:r>
      <w:r>
        <w:rPr>
          <w:rFonts w:hint="eastAsia" w:ascii="宋体" w:hAnsi="宋体"/>
          <w:color w:val="auto"/>
          <w:szCs w:val="21"/>
          <w:highlight w:val="none"/>
          <w:u w:val="single"/>
        </w:rPr>
        <w:tab/>
      </w:r>
      <w:r>
        <w:rPr>
          <w:rFonts w:hint="eastAsia" w:ascii="宋体" w:hAnsi="宋体"/>
          <w:color w:val="auto"/>
          <w:szCs w:val="21"/>
          <w:highlight w:val="none"/>
          <w:u w:val="single"/>
        </w:rPr>
        <w:tab/>
      </w:r>
      <w:r>
        <w:rPr>
          <w:rFonts w:hint="eastAsia" w:ascii="宋体" w:hAnsi="宋体"/>
          <w:color w:val="auto"/>
          <w:szCs w:val="21"/>
          <w:highlight w:val="none"/>
          <w:u w:val="single"/>
        </w:rPr>
        <w:tab/>
      </w:r>
      <w:r>
        <w:rPr>
          <w:rFonts w:hint="eastAsia" w:ascii="宋体" w:hAnsi="宋体"/>
          <w:color w:val="auto"/>
          <w:szCs w:val="21"/>
          <w:highlight w:val="none"/>
          <w:u w:val="single"/>
        </w:rPr>
        <w:tab/>
      </w:r>
    </w:p>
    <w:p>
      <w:pPr>
        <w:spacing w:line="360" w:lineRule="auto"/>
        <w:ind w:firstLine="420" w:firstLineChars="200"/>
        <w:rPr>
          <w:rFonts w:ascii="宋体" w:hAnsi="宋体"/>
          <w:color w:val="auto"/>
          <w:szCs w:val="21"/>
          <w:highlight w:val="none"/>
          <w:u w:val="single"/>
        </w:rPr>
      </w:pPr>
      <w:r>
        <w:rPr>
          <w:rFonts w:hint="eastAsia" w:ascii="宋体" w:hAnsi="宋体"/>
          <w:color w:val="auto"/>
          <w:szCs w:val="21"/>
          <w:highlight w:val="none"/>
        </w:rPr>
        <w:t>邮政编码：</w:t>
      </w:r>
      <w:r>
        <w:rPr>
          <w:rFonts w:hint="eastAsia" w:ascii="宋体" w:hAnsi="宋体"/>
          <w:color w:val="auto"/>
          <w:szCs w:val="21"/>
          <w:highlight w:val="none"/>
          <w:u w:val="single"/>
        </w:rPr>
        <w:tab/>
      </w:r>
      <w:r>
        <w:rPr>
          <w:rFonts w:hint="eastAsia" w:ascii="宋体" w:hAnsi="宋体"/>
          <w:color w:val="auto"/>
          <w:szCs w:val="21"/>
          <w:highlight w:val="none"/>
          <w:u w:val="single"/>
        </w:rPr>
        <w:tab/>
      </w:r>
      <w:r>
        <w:rPr>
          <w:rFonts w:hint="eastAsia" w:ascii="宋体" w:hAnsi="宋体"/>
          <w:color w:val="auto"/>
          <w:szCs w:val="21"/>
          <w:highlight w:val="none"/>
          <w:u w:val="single"/>
        </w:rPr>
        <w:tab/>
      </w:r>
      <w:r>
        <w:rPr>
          <w:rFonts w:hint="eastAsia" w:ascii="宋体" w:hAnsi="宋体"/>
          <w:color w:val="auto"/>
          <w:szCs w:val="21"/>
          <w:highlight w:val="none"/>
          <w:u w:val="single"/>
        </w:rPr>
        <w:tab/>
      </w:r>
      <w:r>
        <w:rPr>
          <w:rFonts w:hint="eastAsia" w:ascii="宋体" w:hAnsi="宋体"/>
          <w:color w:val="auto"/>
          <w:szCs w:val="21"/>
          <w:highlight w:val="none"/>
          <w:u w:val="single"/>
        </w:rPr>
        <w:tab/>
      </w:r>
      <w:r>
        <w:rPr>
          <w:rFonts w:hint="eastAsia" w:ascii="宋体" w:hAnsi="宋体"/>
          <w:color w:val="auto"/>
          <w:szCs w:val="21"/>
          <w:highlight w:val="none"/>
          <w:u w:val="single"/>
        </w:rPr>
        <w:tab/>
      </w:r>
      <w:r>
        <w:rPr>
          <w:rFonts w:hint="eastAsia" w:ascii="宋体" w:hAnsi="宋体"/>
          <w:color w:val="auto"/>
          <w:szCs w:val="21"/>
          <w:highlight w:val="none"/>
          <w:u w:val="single"/>
        </w:rPr>
        <w:tab/>
      </w:r>
    </w:p>
    <w:p>
      <w:pPr>
        <w:spacing w:line="360" w:lineRule="auto"/>
        <w:ind w:firstLine="420" w:firstLineChars="200"/>
        <w:rPr>
          <w:rFonts w:ascii="宋体" w:hAnsi="宋体"/>
          <w:color w:val="auto"/>
          <w:szCs w:val="21"/>
          <w:highlight w:val="none"/>
          <w:u w:val="single"/>
        </w:rPr>
      </w:pPr>
      <w:r>
        <w:rPr>
          <w:rFonts w:hint="eastAsia" w:ascii="宋体" w:hAnsi="宋体"/>
          <w:color w:val="auto"/>
          <w:szCs w:val="21"/>
          <w:highlight w:val="none"/>
        </w:rPr>
        <w:t>电    话：</w:t>
      </w:r>
      <w:r>
        <w:rPr>
          <w:rFonts w:hint="eastAsia" w:ascii="宋体" w:hAnsi="宋体"/>
          <w:color w:val="auto"/>
          <w:szCs w:val="21"/>
          <w:highlight w:val="none"/>
          <w:u w:val="single"/>
        </w:rPr>
        <w:tab/>
      </w:r>
      <w:r>
        <w:rPr>
          <w:rFonts w:hint="eastAsia" w:ascii="宋体" w:hAnsi="宋体"/>
          <w:color w:val="auto"/>
          <w:szCs w:val="21"/>
          <w:highlight w:val="none"/>
          <w:u w:val="single"/>
        </w:rPr>
        <w:tab/>
      </w:r>
      <w:r>
        <w:rPr>
          <w:rFonts w:hint="eastAsia" w:ascii="宋体" w:hAnsi="宋体"/>
          <w:color w:val="auto"/>
          <w:szCs w:val="21"/>
          <w:highlight w:val="none"/>
          <w:u w:val="single"/>
        </w:rPr>
        <w:tab/>
      </w:r>
      <w:r>
        <w:rPr>
          <w:rFonts w:hint="eastAsia" w:ascii="宋体" w:hAnsi="宋体"/>
          <w:color w:val="auto"/>
          <w:szCs w:val="21"/>
          <w:highlight w:val="none"/>
          <w:u w:val="single"/>
        </w:rPr>
        <w:tab/>
      </w:r>
      <w:r>
        <w:rPr>
          <w:rFonts w:hint="eastAsia" w:ascii="宋体" w:hAnsi="宋体"/>
          <w:color w:val="auto"/>
          <w:szCs w:val="21"/>
          <w:highlight w:val="none"/>
          <w:u w:val="single"/>
        </w:rPr>
        <w:tab/>
      </w:r>
      <w:r>
        <w:rPr>
          <w:rFonts w:hint="eastAsia" w:ascii="宋体" w:hAnsi="宋体"/>
          <w:color w:val="auto"/>
          <w:szCs w:val="21"/>
          <w:highlight w:val="none"/>
          <w:u w:val="single"/>
        </w:rPr>
        <w:tab/>
      </w:r>
      <w:r>
        <w:rPr>
          <w:rFonts w:hint="eastAsia" w:ascii="宋体" w:hAnsi="宋体"/>
          <w:color w:val="auto"/>
          <w:szCs w:val="21"/>
          <w:highlight w:val="none"/>
          <w:u w:val="single"/>
        </w:rPr>
        <w:tab/>
      </w:r>
    </w:p>
    <w:p>
      <w:pPr>
        <w:spacing w:line="360" w:lineRule="auto"/>
        <w:ind w:firstLine="420" w:firstLineChars="200"/>
        <w:rPr>
          <w:rFonts w:ascii="宋体" w:hAnsi="宋体"/>
          <w:color w:val="auto"/>
          <w:szCs w:val="21"/>
          <w:highlight w:val="none"/>
          <w:u w:val="single"/>
        </w:rPr>
      </w:pPr>
      <w:r>
        <w:rPr>
          <w:rFonts w:hint="eastAsia" w:ascii="宋体" w:hAnsi="宋体"/>
          <w:color w:val="auto"/>
          <w:szCs w:val="21"/>
          <w:highlight w:val="none"/>
        </w:rPr>
        <w:t>传    真：</w:t>
      </w:r>
      <w:r>
        <w:rPr>
          <w:rFonts w:hint="eastAsia" w:ascii="宋体" w:hAnsi="宋体"/>
          <w:color w:val="auto"/>
          <w:szCs w:val="21"/>
          <w:highlight w:val="none"/>
          <w:u w:val="single"/>
        </w:rPr>
        <w:tab/>
      </w:r>
      <w:r>
        <w:rPr>
          <w:rFonts w:hint="eastAsia" w:ascii="宋体" w:hAnsi="宋体"/>
          <w:color w:val="auto"/>
          <w:szCs w:val="21"/>
          <w:highlight w:val="none"/>
          <w:u w:val="single"/>
        </w:rPr>
        <w:tab/>
      </w:r>
      <w:r>
        <w:rPr>
          <w:rFonts w:hint="eastAsia" w:ascii="宋体" w:hAnsi="宋体"/>
          <w:color w:val="auto"/>
          <w:szCs w:val="21"/>
          <w:highlight w:val="none"/>
          <w:u w:val="single"/>
        </w:rPr>
        <w:tab/>
      </w:r>
      <w:r>
        <w:rPr>
          <w:rFonts w:hint="eastAsia" w:ascii="宋体" w:hAnsi="宋体"/>
          <w:color w:val="auto"/>
          <w:szCs w:val="21"/>
          <w:highlight w:val="none"/>
          <w:u w:val="single"/>
        </w:rPr>
        <w:tab/>
      </w:r>
      <w:r>
        <w:rPr>
          <w:rFonts w:hint="eastAsia" w:ascii="宋体" w:hAnsi="宋体"/>
          <w:color w:val="auto"/>
          <w:szCs w:val="21"/>
          <w:highlight w:val="none"/>
          <w:u w:val="single"/>
        </w:rPr>
        <w:tab/>
      </w:r>
      <w:r>
        <w:rPr>
          <w:rFonts w:hint="eastAsia" w:ascii="宋体" w:hAnsi="宋体"/>
          <w:color w:val="auto"/>
          <w:szCs w:val="21"/>
          <w:highlight w:val="none"/>
          <w:u w:val="single"/>
        </w:rPr>
        <w:tab/>
      </w:r>
      <w:r>
        <w:rPr>
          <w:rFonts w:hint="eastAsia" w:ascii="宋体" w:hAnsi="宋体"/>
          <w:color w:val="auto"/>
          <w:szCs w:val="21"/>
          <w:highlight w:val="none"/>
          <w:u w:val="single"/>
        </w:rPr>
        <w:tab/>
      </w:r>
    </w:p>
    <w:p>
      <w:pPr>
        <w:spacing w:line="360" w:lineRule="auto"/>
        <w:ind w:firstLine="420" w:firstLineChars="200"/>
        <w:rPr>
          <w:rFonts w:ascii="宋体" w:hAnsi="宋体"/>
          <w:color w:val="auto"/>
          <w:szCs w:val="21"/>
          <w:highlight w:val="none"/>
          <w:u w:val="single"/>
        </w:rPr>
      </w:pPr>
    </w:p>
    <w:p>
      <w:pPr>
        <w:spacing w:line="360" w:lineRule="auto"/>
        <w:ind w:firstLine="420" w:firstLineChars="200"/>
        <w:jc w:val="right"/>
        <w:rPr>
          <w:rFonts w:ascii="宋体" w:hAnsi="宋体"/>
          <w:color w:val="auto"/>
          <w:szCs w:val="21"/>
          <w:highlight w:val="none"/>
        </w:rPr>
      </w:pPr>
      <w:r>
        <w:rPr>
          <w:rFonts w:hint="eastAsia" w:ascii="宋体" w:hAnsi="宋体"/>
          <w:color w:val="auto"/>
          <w:szCs w:val="21"/>
          <w:highlight w:val="none"/>
          <w:u w:val="single"/>
        </w:rPr>
        <w:t xml:space="preserve">           </w:t>
      </w:r>
      <w:r>
        <w:rPr>
          <w:rFonts w:hint="eastAsia" w:ascii="宋体" w:hAnsi="宋体"/>
          <w:color w:val="auto"/>
          <w:szCs w:val="21"/>
          <w:highlight w:val="none"/>
        </w:rPr>
        <w:t>年</w:t>
      </w:r>
      <w:r>
        <w:rPr>
          <w:rFonts w:hint="eastAsia" w:ascii="宋体" w:hAnsi="宋体"/>
          <w:color w:val="auto"/>
          <w:szCs w:val="21"/>
          <w:highlight w:val="none"/>
          <w:u w:val="single"/>
        </w:rPr>
        <w:t xml:space="preserve">        </w:t>
      </w:r>
      <w:r>
        <w:rPr>
          <w:rFonts w:hint="eastAsia" w:ascii="宋体" w:hAnsi="宋体"/>
          <w:color w:val="auto"/>
          <w:szCs w:val="21"/>
          <w:highlight w:val="none"/>
        </w:rPr>
        <w:t>月</w:t>
      </w:r>
      <w:r>
        <w:rPr>
          <w:rFonts w:hint="eastAsia" w:ascii="宋体" w:hAnsi="宋体"/>
          <w:color w:val="auto"/>
          <w:szCs w:val="21"/>
          <w:highlight w:val="none"/>
          <w:u w:val="single"/>
        </w:rPr>
        <w:t xml:space="preserve">        </w:t>
      </w:r>
      <w:r>
        <w:rPr>
          <w:rFonts w:hint="eastAsia" w:ascii="宋体" w:hAnsi="宋体"/>
          <w:color w:val="auto"/>
          <w:szCs w:val="21"/>
          <w:highlight w:val="none"/>
        </w:rPr>
        <w:t>日</w:t>
      </w:r>
    </w:p>
    <w:p>
      <w:pPr>
        <w:spacing w:line="480" w:lineRule="auto"/>
        <w:rPr>
          <w:rFonts w:hint="eastAsia" w:ascii="宋体" w:hAnsi="宋体"/>
          <w:color w:val="auto"/>
          <w:szCs w:val="21"/>
          <w:highlight w:val="none"/>
        </w:rPr>
      </w:pPr>
      <w:r>
        <w:rPr>
          <w:rFonts w:hint="eastAsia" w:ascii="宋体" w:hAnsi="宋体"/>
          <w:color w:val="auto"/>
          <w:szCs w:val="21"/>
          <w:highlight w:val="none"/>
        </w:rPr>
        <w:br w:type="page"/>
      </w:r>
      <w:r>
        <w:rPr>
          <w:rFonts w:hint="eastAsia" w:ascii="宋体" w:hAnsi="宋体"/>
          <w:color w:val="auto"/>
          <w:szCs w:val="21"/>
          <w:highlight w:val="none"/>
        </w:rPr>
        <w:t>附</w:t>
      </w:r>
      <w:bookmarkStart w:id="1383" w:name="_Toc296891273"/>
      <w:bookmarkStart w:id="1384" w:name="_Toc296503233"/>
      <w:bookmarkStart w:id="1385" w:name="_Toc296944572"/>
      <w:bookmarkStart w:id="1386" w:name="_Toc296346734"/>
      <w:bookmarkStart w:id="1387" w:name="_Toc296347232"/>
      <w:bookmarkStart w:id="1388" w:name="_Toc296891061"/>
      <w:r>
        <w:rPr>
          <w:rFonts w:hint="eastAsia" w:ascii="宋体" w:hAnsi="宋体"/>
          <w:color w:val="auto"/>
          <w:szCs w:val="21"/>
          <w:highlight w:val="none"/>
        </w:rPr>
        <w:t>件6：</w:t>
      </w:r>
    </w:p>
    <w:bookmarkEnd w:id="1383"/>
    <w:bookmarkEnd w:id="1384"/>
    <w:bookmarkEnd w:id="1385"/>
    <w:bookmarkEnd w:id="1386"/>
    <w:bookmarkEnd w:id="1387"/>
    <w:bookmarkEnd w:id="1388"/>
    <w:p>
      <w:pPr>
        <w:spacing w:before="156" w:beforeLines="50" w:after="156" w:afterLines="50" w:line="480" w:lineRule="auto"/>
        <w:jc w:val="center"/>
        <w:rPr>
          <w:rFonts w:ascii="宋体" w:hAnsi="宋体"/>
          <w:color w:val="auto"/>
          <w:szCs w:val="21"/>
          <w:highlight w:val="none"/>
        </w:rPr>
      </w:pPr>
      <w:r>
        <w:rPr>
          <w:rFonts w:hint="eastAsia" w:ascii="宋体" w:hAnsi="宋体"/>
          <w:color w:val="auto"/>
          <w:szCs w:val="21"/>
          <w:highlight w:val="none"/>
        </w:rPr>
        <w:t>支付担保（如有）</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u w:val="single"/>
        </w:rPr>
        <w:t xml:space="preserve">             </w:t>
      </w:r>
      <w:r>
        <w:rPr>
          <w:rFonts w:hint="eastAsia" w:ascii="宋体" w:hAnsi="宋体"/>
          <w:color w:val="auto"/>
          <w:szCs w:val="21"/>
          <w:highlight w:val="none"/>
        </w:rPr>
        <w:t>（承包人）：</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 xml:space="preserve">鉴于你方作为承包人已经与 </w:t>
      </w:r>
      <w:r>
        <w:rPr>
          <w:rFonts w:hint="eastAsia" w:ascii="宋体" w:hAnsi="宋体"/>
          <w:color w:val="auto"/>
          <w:szCs w:val="21"/>
          <w:highlight w:val="none"/>
          <w:u w:val="single"/>
        </w:rPr>
        <w:t xml:space="preserve">            </w:t>
      </w:r>
      <w:r>
        <w:rPr>
          <w:rFonts w:hint="eastAsia" w:ascii="宋体" w:hAnsi="宋体"/>
          <w:color w:val="auto"/>
          <w:szCs w:val="21"/>
          <w:highlight w:val="none"/>
        </w:rPr>
        <w:t>（发包人名称）（以下称“发包人”）于</w:t>
      </w:r>
      <w:r>
        <w:rPr>
          <w:rFonts w:hint="eastAsia" w:ascii="宋体" w:hAnsi="宋体"/>
          <w:color w:val="auto"/>
          <w:szCs w:val="21"/>
          <w:highlight w:val="none"/>
          <w:u w:val="single"/>
        </w:rPr>
        <w:t xml:space="preserve">   </w:t>
      </w:r>
      <w:r>
        <w:rPr>
          <w:rFonts w:hint="eastAsia" w:ascii="宋体" w:hAnsi="宋体"/>
          <w:color w:val="auto"/>
          <w:szCs w:val="21"/>
          <w:highlight w:val="none"/>
        </w:rPr>
        <w:t>年</w:t>
      </w:r>
      <w:r>
        <w:rPr>
          <w:rFonts w:hint="eastAsia" w:ascii="宋体" w:hAnsi="宋体"/>
          <w:color w:val="auto"/>
          <w:szCs w:val="21"/>
          <w:highlight w:val="none"/>
          <w:u w:val="single"/>
        </w:rPr>
        <w:t xml:space="preserve">   </w:t>
      </w:r>
      <w:r>
        <w:rPr>
          <w:rFonts w:hint="eastAsia" w:ascii="宋体" w:hAnsi="宋体"/>
          <w:color w:val="auto"/>
          <w:szCs w:val="21"/>
          <w:highlight w:val="none"/>
        </w:rPr>
        <w:t>月</w:t>
      </w:r>
      <w:r>
        <w:rPr>
          <w:rFonts w:hint="eastAsia" w:ascii="宋体" w:hAnsi="宋体"/>
          <w:color w:val="auto"/>
          <w:szCs w:val="21"/>
          <w:highlight w:val="none"/>
          <w:u w:val="single"/>
        </w:rPr>
        <w:t xml:space="preserve">   </w:t>
      </w:r>
      <w:r>
        <w:rPr>
          <w:rFonts w:hint="eastAsia" w:ascii="宋体" w:hAnsi="宋体"/>
          <w:color w:val="auto"/>
          <w:szCs w:val="21"/>
          <w:highlight w:val="none"/>
        </w:rPr>
        <w:t>日签订了</w:t>
      </w:r>
      <w:r>
        <w:rPr>
          <w:rFonts w:hint="eastAsia" w:ascii="宋体" w:hAnsi="宋体"/>
          <w:color w:val="auto"/>
          <w:szCs w:val="21"/>
          <w:highlight w:val="none"/>
          <w:u w:val="single"/>
        </w:rPr>
        <w:t xml:space="preserve">             </w:t>
      </w:r>
      <w:r>
        <w:rPr>
          <w:rFonts w:hint="eastAsia" w:ascii="宋体" w:hAnsi="宋体"/>
          <w:color w:val="auto"/>
          <w:szCs w:val="21"/>
          <w:highlight w:val="none"/>
        </w:rPr>
        <w:t>（工程名称）《建设工程施工合同》（以下称“主合同”），应发包人的申请，我方愿就发包人履行主合同约定的工程款支付义务以保证的方式向你方提供如下担保：</w:t>
      </w:r>
    </w:p>
    <w:p>
      <w:pPr>
        <w:spacing w:line="360" w:lineRule="auto"/>
        <w:ind w:firstLine="420" w:firstLineChars="200"/>
        <w:rPr>
          <w:rFonts w:ascii="宋体" w:hAnsi="宋体"/>
          <w:color w:val="auto"/>
          <w:szCs w:val="21"/>
          <w:highlight w:val="none"/>
        </w:rPr>
      </w:pPr>
      <w:bookmarkStart w:id="1389" w:name="_Toc532375692"/>
      <w:r>
        <w:rPr>
          <w:rFonts w:hint="eastAsia" w:ascii="宋体" w:hAnsi="宋体"/>
          <w:color w:val="auto"/>
          <w:szCs w:val="21"/>
          <w:highlight w:val="none"/>
        </w:rPr>
        <w:t>一、保证的范围及保证金额</w:t>
      </w:r>
      <w:bookmarkEnd w:id="1389"/>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 我方的保证范围是主合同约定的工程款。</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 本保函所称主合同约定的工程款是指主合同约定的除工程质量保证金以外的合同价款。</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3. 我方保证的金额是主合同约定的工程款的</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 %，数额最高不超过人民币元（大写：</w:t>
      </w:r>
      <w:r>
        <w:rPr>
          <w:rFonts w:hint="eastAsia" w:ascii="宋体" w:hAnsi="宋体"/>
          <w:color w:val="auto"/>
          <w:szCs w:val="21"/>
          <w:highlight w:val="none"/>
          <w:u w:val="single"/>
        </w:rPr>
        <w:t xml:space="preserve">      </w:t>
      </w:r>
      <w:r>
        <w:rPr>
          <w:rFonts w:hint="eastAsia" w:ascii="宋体" w:hAnsi="宋体"/>
          <w:color w:val="auto"/>
          <w:szCs w:val="21"/>
          <w:highlight w:val="none"/>
        </w:rPr>
        <w:t>）。</w:t>
      </w:r>
    </w:p>
    <w:p>
      <w:pPr>
        <w:spacing w:line="360" w:lineRule="auto"/>
        <w:ind w:firstLine="420" w:firstLineChars="200"/>
        <w:rPr>
          <w:rFonts w:ascii="宋体" w:hAnsi="宋体"/>
          <w:color w:val="auto"/>
          <w:szCs w:val="21"/>
          <w:highlight w:val="none"/>
        </w:rPr>
      </w:pPr>
      <w:bookmarkStart w:id="1390" w:name="_Toc532375693"/>
      <w:r>
        <w:rPr>
          <w:rFonts w:hint="eastAsia" w:ascii="宋体" w:hAnsi="宋体"/>
          <w:color w:val="auto"/>
          <w:szCs w:val="21"/>
          <w:highlight w:val="none"/>
        </w:rPr>
        <w:t>二、保证的方式及保证期间</w:t>
      </w:r>
      <w:bookmarkEnd w:id="1390"/>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 我方保证的方式为：连带责任保证。</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 我方保证的期间为：自合同生效之日起至主合同约定的工程款支付完毕之日后</w:t>
      </w:r>
      <w:r>
        <w:rPr>
          <w:rFonts w:hint="eastAsia" w:ascii="宋体" w:hAnsi="宋体"/>
          <w:color w:val="auto"/>
          <w:szCs w:val="21"/>
          <w:highlight w:val="none"/>
          <w:u w:val="single"/>
        </w:rPr>
        <w:t xml:space="preserve">    </w:t>
      </w:r>
      <w:r>
        <w:rPr>
          <w:rFonts w:hint="eastAsia" w:ascii="宋体" w:hAnsi="宋体"/>
          <w:color w:val="auto"/>
          <w:szCs w:val="21"/>
          <w:highlight w:val="none"/>
        </w:rPr>
        <w:t>日内。</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3. 你方与发包人协议变更工程款支付日期的，经我方书面同意后，保证期间按照变更后的支付日期做相应调整。</w:t>
      </w:r>
    </w:p>
    <w:p>
      <w:pPr>
        <w:spacing w:line="360" w:lineRule="auto"/>
        <w:ind w:firstLine="420" w:firstLineChars="200"/>
        <w:rPr>
          <w:rFonts w:ascii="宋体" w:hAnsi="宋体"/>
          <w:color w:val="auto"/>
          <w:szCs w:val="21"/>
          <w:highlight w:val="none"/>
        </w:rPr>
      </w:pPr>
      <w:bookmarkStart w:id="1391" w:name="_Toc532375694"/>
      <w:r>
        <w:rPr>
          <w:rFonts w:hint="eastAsia" w:ascii="宋体" w:hAnsi="宋体"/>
          <w:color w:val="auto"/>
          <w:szCs w:val="21"/>
          <w:highlight w:val="none"/>
        </w:rPr>
        <w:t>三、承担保证责任的形式</w:t>
      </w:r>
      <w:bookmarkEnd w:id="1391"/>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我方承担保证责任的形式是代为支付。发包人未按主合同约定向你方支付工程款的，由我方在保证金额内代为支付。</w:t>
      </w:r>
    </w:p>
    <w:p>
      <w:pPr>
        <w:spacing w:line="360" w:lineRule="auto"/>
        <w:ind w:firstLine="420" w:firstLineChars="200"/>
        <w:rPr>
          <w:rFonts w:ascii="宋体" w:hAnsi="宋体"/>
          <w:color w:val="auto"/>
          <w:szCs w:val="21"/>
          <w:highlight w:val="none"/>
        </w:rPr>
      </w:pPr>
      <w:bookmarkStart w:id="1392" w:name="_Toc532375695"/>
      <w:r>
        <w:rPr>
          <w:rFonts w:hint="eastAsia" w:ascii="宋体" w:hAnsi="宋体"/>
          <w:color w:val="auto"/>
          <w:szCs w:val="21"/>
          <w:highlight w:val="none"/>
        </w:rPr>
        <w:t>四、代偿的安排</w:t>
      </w:r>
      <w:bookmarkEnd w:id="1392"/>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 你方要求我方承担保证责任的，应向我方发出书面索赔通知及发包人未支付主合同约定工程款的证明材料。索赔通知应写明要求索赔的金额，支付款项应到达的账号。</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 在出现你方与发包人因工程质量发生争议，发包人拒绝向你方支付工程款的情形时，你方要求我方履行保证责任代为支付的，需提供符合相应条件要求的工程质量检测机构出具的质量说明材料。</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3. 我方收到你方的书面索赔通知及相应的证明材料后７天内无条件支付。</w:t>
      </w:r>
    </w:p>
    <w:p>
      <w:pPr>
        <w:spacing w:line="360" w:lineRule="auto"/>
        <w:ind w:firstLine="420" w:firstLineChars="200"/>
        <w:rPr>
          <w:rFonts w:ascii="宋体" w:hAnsi="宋体"/>
          <w:color w:val="auto"/>
          <w:szCs w:val="21"/>
          <w:highlight w:val="none"/>
        </w:rPr>
      </w:pPr>
      <w:bookmarkStart w:id="1393" w:name="_Toc532375696"/>
      <w:r>
        <w:rPr>
          <w:rFonts w:hint="eastAsia" w:ascii="宋体" w:hAnsi="宋体"/>
          <w:color w:val="auto"/>
          <w:szCs w:val="21"/>
          <w:highlight w:val="none"/>
        </w:rPr>
        <w:t>五、保证责任的解除</w:t>
      </w:r>
      <w:bookmarkEnd w:id="1393"/>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 在本保函承诺的保证期间内，你方未书面向我方主张保证责任的，自保证期间届满次日起，我方保证责任解除。</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 发包人按主合同约定履行了工程款的全部支付义务的，自本保函承诺的保证期间届满次日起，我方保证责任解除。</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3. 我方按照本保函向你方履行保证责任所支付金额达到本保函保证金额时，自我方向你方支付（支付款项从我方账户划出）之日起，保证责任即解除。</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4. 按照法律法规的规定或出现应解除我方保证责任的其他情形的，我方在本保函项下的保证责任亦解除。</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5. 我方解除保证责任后，你方应自我方保证责任解除之日起  个工作日内，将本保函原件返还我方。</w:t>
      </w:r>
    </w:p>
    <w:p>
      <w:pPr>
        <w:spacing w:line="360" w:lineRule="auto"/>
        <w:ind w:firstLine="420" w:firstLineChars="200"/>
        <w:rPr>
          <w:rFonts w:ascii="宋体" w:hAnsi="宋体"/>
          <w:color w:val="auto"/>
          <w:szCs w:val="21"/>
          <w:highlight w:val="none"/>
        </w:rPr>
      </w:pPr>
      <w:bookmarkStart w:id="1394" w:name="_Toc532375697"/>
      <w:r>
        <w:rPr>
          <w:rFonts w:hint="eastAsia" w:ascii="宋体" w:hAnsi="宋体"/>
          <w:color w:val="auto"/>
          <w:szCs w:val="21"/>
          <w:highlight w:val="none"/>
        </w:rPr>
        <w:t>六、免责条款</w:t>
      </w:r>
      <w:bookmarkEnd w:id="1394"/>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 因你方违约致使发包人不能履行义务的，我方不承担保证责任。</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 依照法律法规的规定或你方与发包人的另行约定，免除发包人部分或全部义务的，我方亦免除其相应的保证责任。</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3. 你方与发包人协议变更主合同的，如加重发包人责任致使我方保证责任加重的，需征得我方书面同意，否则我方不再承担因此而加重部分的保证责任，但主合同第10条〔变更〕约定的变更不受本款限制。</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4. 因不可抗力造成发包人不能履行义务的，我方不承担保证责任。</w:t>
      </w:r>
    </w:p>
    <w:p>
      <w:pPr>
        <w:spacing w:line="360" w:lineRule="auto"/>
        <w:ind w:firstLine="420" w:firstLineChars="200"/>
        <w:rPr>
          <w:rFonts w:ascii="宋体" w:hAnsi="宋体"/>
          <w:color w:val="auto"/>
          <w:szCs w:val="21"/>
          <w:highlight w:val="none"/>
        </w:rPr>
      </w:pPr>
      <w:bookmarkStart w:id="1395" w:name="_Toc532375698"/>
      <w:r>
        <w:rPr>
          <w:rFonts w:hint="eastAsia" w:ascii="宋体" w:hAnsi="宋体"/>
          <w:color w:val="auto"/>
          <w:szCs w:val="21"/>
          <w:highlight w:val="none"/>
        </w:rPr>
        <w:t>七、争议解决</w:t>
      </w:r>
      <w:bookmarkEnd w:id="1395"/>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因本保函或本保函相关事项发生的纠纷，可由双方协商解决，协商不成的，按下列第</w:t>
      </w:r>
      <w:r>
        <w:rPr>
          <w:rFonts w:hint="eastAsia" w:ascii="宋体" w:hAnsi="宋体"/>
          <w:color w:val="auto"/>
          <w:szCs w:val="21"/>
          <w:highlight w:val="none"/>
          <w:u w:val="single"/>
        </w:rPr>
        <w:t xml:space="preserve">    </w:t>
      </w:r>
      <w:r>
        <w:rPr>
          <w:rFonts w:hint="eastAsia" w:ascii="宋体" w:hAnsi="宋体"/>
          <w:color w:val="auto"/>
          <w:szCs w:val="21"/>
          <w:highlight w:val="none"/>
        </w:rPr>
        <w:t>种方式解决：</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（1）向</w:t>
      </w:r>
      <w:r>
        <w:rPr>
          <w:rFonts w:hint="eastAsia" w:ascii="宋体" w:hAnsi="宋体"/>
          <w:color w:val="auto"/>
          <w:szCs w:val="21"/>
          <w:highlight w:val="none"/>
          <w:u w:val="single"/>
        </w:rPr>
        <w:t xml:space="preserve">                     </w:t>
      </w:r>
      <w:r>
        <w:rPr>
          <w:rFonts w:hint="eastAsia" w:ascii="宋体" w:hAnsi="宋体"/>
          <w:color w:val="auto"/>
          <w:szCs w:val="21"/>
          <w:highlight w:val="none"/>
        </w:rPr>
        <w:t>仲裁委员会申请仲裁；</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（2）向</w:t>
      </w:r>
      <w:r>
        <w:rPr>
          <w:rFonts w:hint="eastAsia" w:ascii="宋体" w:hAnsi="宋体"/>
          <w:color w:val="auto"/>
          <w:szCs w:val="21"/>
          <w:highlight w:val="none"/>
          <w:u w:val="single"/>
        </w:rPr>
        <w:t xml:space="preserve">                     </w:t>
      </w:r>
      <w:r>
        <w:rPr>
          <w:rFonts w:hint="eastAsia" w:ascii="宋体" w:hAnsi="宋体"/>
          <w:color w:val="auto"/>
          <w:szCs w:val="21"/>
          <w:highlight w:val="none"/>
        </w:rPr>
        <w:t>人民法院起诉。</w:t>
      </w:r>
    </w:p>
    <w:p>
      <w:pPr>
        <w:spacing w:line="360" w:lineRule="auto"/>
        <w:ind w:firstLine="420" w:firstLineChars="200"/>
        <w:rPr>
          <w:rFonts w:ascii="宋体" w:hAnsi="宋体"/>
          <w:color w:val="auto"/>
          <w:szCs w:val="21"/>
          <w:highlight w:val="none"/>
        </w:rPr>
      </w:pPr>
      <w:bookmarkStart w:id="1396" w:name="_Toc532375699"/>
      <w:r>
        <w:rPr>
          <w:rFonts w:hint="eastAsia" w:ascii="宋体" w:hAnsi="宋体"/>
          <w:color w:val="auto"/>
          <w:szCs w:val="21"/>
          <w:highlight w:val="none"/>
        </w:rPr>
        <w:t>八、保函的生效</w:t>
      </w:r>
      <w:bookmarkEnd w:id="1396"/>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本保函自我方法定代表人（或其委托代理人）签字并加盖公章之日起生效。</w:t>
      </w:r>
    </w:p>
    <w:p>
      <w:pPr>
        <w:spacing w:line="360" w:lineRule="auto"/>
        <w:ind w:right="600" w:firstLine="420" w:firstLineChars="200"/>
        <w:jc w:val="left"/>
        <w:rPr>
          <w:rFonts w:hint="eastAsia" w:ascii="宋体" w:hAnsi="宋体"/>
          <w:color w:val="auto"/>
          <w:szCs w:val="21"/>
          <w:highlight w:val="none"/>
        </w:rPr>
      </w:pPr>
    </w:p>
    <w:p>
      <w:pPr>
        <w:spacing w:line="360" w:lineRule="auto"/>
        <w:ind w:right="600" w:firstLine="420" w:firstLineChars="200"/>
        <w:jc w:val="left"/>
        <w:rPr>
          <w:rFonts w:hint="eastAsia" w:ascii="宋体" w:hAnsi="宋体"/>
          <w:color w:val="auto"/>
          <w:szCs w:val="21"/>
          <w:highlight w:val="none"/>
        </w:rPr>
      </w:pPr>
    </w:p>
    <w:p>
      <w:pPr>
        <w:spacing w:line="360" w:lineRule="auto"/>
        <w:ind w:right="600" w:firstLine="420" w:firstLineChars="200"/>
        <w:jc w:val="left"/>
        <w:rPr>
          <w:rFonts w:ascii="宋体" w:hAnsi="宋体"/>
          <w:color w:val="auto"/>
          <w:szCs w:val="21"/>
          <w:highlight w:val="none"/>
        </w:rPr>
      </w:pPr>
      <w:r>
        <w:rPr>
          <w:rFonts w:hint="eastAsia" w:ascii="宋体" w:hAnsi="宋体"/>
          <w:color w:val="auto"/>
          <w:szCs w:val="21"/>
          <w:highlight w:val="none"/>
        </w:rPr>
        <w:t>担保人：</w:t>
      </w:r>
      <w:r>
        <w:rPr>
          <w:rFonts w:hint="eastAsia" w:ascii="宋体" w:hAnsi="宋体"/>
          <w:color w:val="auto"/>
          <w:szCs w:val="21"/>
          <w:highlight w:val="none"/>
          <w:u w:val="single"/>
        </w:rPr>
        <w:t xml:space="preserve">                                   </w:t>
      </w:r>
      <w:r>
        <w:rPr>
          <w:rFonts w:hint="eastAsia" w:ascii="宋体" w:hAnsi="宋体"/>
          <w:color w:val="auto"/>
          <w:szCs w:val="21"/>
          <w:highlight w:val="none"/>
        </w:rPr>
        <w:t>（盖章）</w:t>
      </w:r>
    </w:p>
    <w:p>
      <w:pPr>
        <w:spacing w:line="360" w:lineRule="auto"/>
        <w:ind w:right="1200" w:firstLine="420" w:firstLineChars="200"/>
        <w:rPr>
          <w:rFonts w:ascii="宋体" w:hAnsi="宋体"/>
          <w:color w:val="auto"/>
          <w:szCs w:val="21"/>
          <w:highlight w:val="none"/>
        </w:rPr>
      </w:pPr>
      <w:r>
        <w:rPr>
          <w:rFonts w:hint="eastAsia" w:ascii="宋体" w:hAnsi="宋体"/>
          <w:color w:val="auto"/>
          <w:szCs w:val="21"/>
          <w:highlight w:val="none"/>
        </w:rPr>
        <w:t>法定代表人或委托代理人：</w:t>
      </w:r>
      <w:r>
        <w:rPr>
          <w:rFonts w:hint="eastAsia" w:ascii="宋体" w:hAnsi="宋体"/>
          <w:color w:val="auto"/>
          <w:szCs w:val="21"/>
          <w:highlight w:val="none"/>
          <w:u w:val="single"/>
        </w:rPr>
        <w:t xml:space="preserve">                   </w:t>
      </w:r>
      <w:r>
        <w:rPr>
          <w:rFonts w:hint="eastAsia" w:ascii="宋体" w:hAnsi="宋体"/>
          <w:color w:val="auto"/>
          <w:szCs w:val="21"/>
          <w:highlight w:val="none"/>
        </w:rPr>
        <w:t>（签字）</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地    址：</w:t>
      </w:r>
      <w:r>
        <w:rPr>
          <w:rFonts w:hint="eastAsia" w:ascii="宋体" w:hAnsi="宋体"/>
          <w:color w:val="auto"/>
          <w:szCs w:val="21"/>
          <w:highlight w:val="none"/>
          <w:u w:val="single"/>
        </w:rPr>
        <w:t xml:space="preserve">                                        </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邮政编码：</w:t>
      </w:r>
      <w:r>
        <w:rPr>
          <w:rFonts w:hint="eastAsia" w:ascii="宋体" w:hAnsi="宋体"/>
          <w:color w:val="auto"/>
          <w:szCs w:val="21"/>
          <w:highlight w:val="none"/>
          <w:u w:val="single"/>
        </w:rPr>
        <w:t xml:space="preserve">                                        </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传    真：</w:t>
      </w:r>
      <w:r>
        <w:rPr>
          <w:rFonts w:hint="eastAsia" w:ascii="宋体" w:hAnsi="宋体"/>
          <w:color w:val="auto"/>
          <w:szCs w:val="21"/>
          <w:highlight w:val="none"/>
          <w:u w:val="single"/>
        </w:rPr>
        <w:t xml:space="preserve">                                        </w:t>
      </w:r>
    </w:p>
    <w:p>
      <w:pPr>
        <w:widowControl/>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 xml:space="preserve">           </w:t>
      </w:r>
    </w:p>
    <w:p>
      <w:pPr>
        <w:widowControl/>
        <w:spacing w:line="360" w:lineRule="auto"/>
        <w:ind w:firstLine="420" w:firstLineChars="200"/>
        <w:jc w:val="right"/>
        <w:rPr>
          <w:rFonts w:ascii="宋体" w:hAnsi="宋体"/>
          <w:color w:val="auto"/>
          <w:szCs w:val="21"/>
          <w:highlight w:val="none"/>
        </w:rPr>
      </w:pPr>
      <w:r>
        <w:rPr>
          <w:rFonts w:hint="eastAsia" w:ascii="宋体" w:hAnsi="宋体"/>
          <w:color w:val="auto"/>
          <w:szCs w:val="21"/>
          <w:highlight w:val="none"/>
        </w:rPr>
        <w:t xml:space="preserve">  </w:t>
      </w:r>
      <w:r>
        <w:rPr>
          <w:rFonts w:hint="eastAsia" w:ascii="宋体" w:hAnsi="宋体"/>
          <w:color w:val="auto"/>
          <w:szCs w:val="21"/>
          <w:highlight w:val="none"/>
          <w:u w:val="single"/>
        </w:rPr>
        <w:t xml:space="preserve">          </w:t>
      </w:r>
      <w:r>
        <w:rPr>
          <w:rFonts w:hint="eastAsia" w:ascii="宋体" w:hAnsi="宋体"/>
          <w:color w:val="auto"/>
          <w:szCs w:val="21"/>
          <w:highlight w:val="none"/>
        </w:rPr>
        <w:t>年</w:t>
      </w:r>
      <w:r>
        <w:rPr>
          <w:rFonts w:hint="eastAsia" w:ascii="宋体" w:hAnsi="宋体"/>
          <w:color w:val="auto"/>
          <w:szCs w:val="21"/>
          <w:highlight w:val="none"/>
          <w:u w:val="single"/>
        </w:rPr>
        <w:t xml:space="preserve">      </w:t>
      </w:r>
      <w:r>
        <w:rPr>
          <w:rFonts w:hint="eastAsia" w:ascii="宋体" w:hAnsi="宋体"/>
          <w:color w:val="auto"/>
          <w:szCs w:val="21"/>
          <w:highlight w:val="none"/>
        </w:rPr>
        <w:t>月</w:t>
      </w:r>
      <w:r>
        <w:rPr>
          <w:rFonts w:hint="eastAsia" w:ascii="宋体" w:hAnsi="宋体"/>
          <w:color w:val="auto"/>
          <w:szCs w:val="21"/>
          <w:highlight w:val="none"/>
          <w:u w:val="single"/>
        </w:rPr>
        <w:t xml:space="preserve">      </w:t>
      </w:r>
      <w:r>
        <w:rPr>
          <w:rFonts w:hint="eastAsia" w:ascii="宋体" w:hAnsi="宋体"/>
          <w:color w:val="auto"/>
          <w:szCs w:val="21"/>
          <w:highlight w:val="none"/>
        </w:rPr>
        <w:t>日</w:t>
      </w:r>
      <w:r>
        <w:rPr>
          <w:rFonts w:hint="eastAsia" w:ascii="宋体" w:hAnsi="宋体"/>
          <w:color w:val="auto"/>
          <w:szCs w:val="21"/>
          <w:highlight w:val="none"/>
        </w:rPr>
        <w:br w:type="page"/>
      </w:r>
    </w:p>
    <w:p>
      <w:pPr>
        <w:spacing w:line="480" w:lineRule="auto"/>
        <w:rPr>
          <w:rFonts w:ascii="宋体" w:hAnsi="宋体"/>
          <w:color w:val="auto"/>
          <w:szCs w:val="21"/>
          <w:highlight w:val="none"/>
        </w:rPr>
      </w:pPr>
      <w:r>
        <w:rPr>
          <w:rFonts w:hint="eastAsia" w:ascii="宋体" w:hAnsi="宋体"/>
          <w:color w:val="auto"/>
          <w:szCs w:val="21"/>
          <w:highlight w:val="none"/>
        </w:rPr>
        <w:t>附件7：</w:t>
      </w:r>
    </w:p>
    <w:p>
      <w:pPr>
        <w:spacing w:before="156" w:beforeLines="50" w:after="156" w:afterLines="50" w:line="480" w:lineRule="auto"/>
        <w:jc w:val="center"/>
        <w:rPr>
          <w:rFonts w:ascii="宋体" w:hAnsi="宋体"/>
          <w:color w:val="auto"/>
          <w:szCs w:val="21"/>
          <w:highlight w:val="none"/>
        </w:rPr>
      </w:pPr>
      <w:r>
        <w:rPr>
          <w:rFonts w:hint="eastAsia" w:ascii="宋体" w:hAnsi="宋体"/>
          <w:color w:val="auto"/>
          <w:szCs w:val="21"/>
          <w:highlight w:val="none"/>
        </w:rPr>
        <w:t>专业工程暂估价表</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879"/>
        <w:gridCol w:w="1984"/>
        <w:gridCol w:w="5103"/>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879" w:type="dxa"/>
            <w:noWrap w:val="0"/>
            <w:vAlign w:val="top"/>
          </w:tcPr>
          <w:p>
            <w:pPr>
              <w:spacing w:line="400" w:lineRule="exact"/>
              <w:jc w:val="center"/>
              <w:rPr>
                <w:rFonts w:ascii="宋体" w:hAnsi="宋体"/>
                <w:color w:val="auto"/>
                <w:szCs w:val="21"/>
                <w:highlight w:val="none"/>
              </w:rPr>
            </w:pPr>
            <w:r>
              <w:rPr>
                <w:rFonts w:hint="eastAsia" w:ascii="宋体" w:hAnsi="宋体"/>
                <w:color w:val="auto"/>
                <w:szCs w:val="21"/>
                <w:highlight w:val="none"/>
              </w:rPr>
              <w:t>序号</w:t>
            </w:r>
          </w:p>
        </w:tc>
        <w:tc>
          <w:tcPr>
            <w:tcW w:w="1984" w:type="dxa"/>
            <w:noWrap w:val="0"/>
            <w:vAlign w:val="top"/>
          </w:tcPr>
          <w:p>
            <w:pPr>
              <w:spacing w:line="400" w:lineRule="exact"/>
              <w:jc w:val="center"/>
              <w:rPr>
                <w:rFonts w:ascii="宋体" w:hAnsi="宋体"/>
                <w:color w:val="auto"/>
                <w:szCs w:val="21"/>
                <w:highlight w:val="none"/>
              </w:rPr>
            </w:pPr>
            <w:r>
              <w:rPr>
                <w:rFonts w:hint="eastAsia" w:ascii="宋体" w:hAnsi="宋体"/>
                <w:color w:val="auto"/>
                <w:szCs w:val="21"/>
                <w:highlight w:val="none"/>
              </w:rPr>
              <w:t>专业工程名称</w:t>
            </w:r>
          </w:p>
        </w:tc>
        <w:tc>
          <w:tcPr>
            <w:tcW w:w="5103" w:type="dxa"/>
            <w:noWrap w:val="0"/>
            <w:vAlign w:val="top"/>
          </w:tcPr>
          <w:p>
            <w:pPr>
              <w:spacing w:line="400" w:lineRule="exact"/>
              <w:jc w:val="center"/>
              <w:rPr>
                <w:rFonts w:ascii="宋体" w:hAnsi="宋体"/>
                <w:color w:val="auto"/>
                <w:szCs w:val="21"/>
                <w:highlight w:val="none"/>
              </w:rPr>
            </w:pPr>
            <w:r>
              <w:rPr>
                <w:rFonts w:hint="eastAsia" w:ascii="宋体" w:hAnsi="宋体"/>
                <w:color w:val="auto"/>
                <w:szCs w:val="21"/>
                <w:highlight w:val="none"/>
              </w:rPr>
              <w:t>工程内容</w:t>
            </w:r>
          </w:p>
        </w:tc>
        <w:tc>
          <w:tcPr>
            <w:tcW w:w="1560" w:type="dxa"/>
            <w:noWrap w:val="0"/>
            <w:vAlign w:val="top"/>
          </w:tcPr>
          <w:p>
            <w:pPr>
              <w:spacing w:line="400" w:lineRule="exact"/>
              <w:jc w:val="center"/>
              <w:rPr>
                <w:rFonts w:ascii="宋体" w:hAnsi="宋体"/>
                <w:color w:val="auto"/>
                <w:szCs w:val="21"/>
                <w:highlight w:val="none"/>
              </w:rPr>
            </w:pPr>
            <w:r>
              <w:rPr>
                <w:rFonts w:hint="eastAsia" w:ascii="宋体" w:hAnsi="宋体"/>
                <w:color w:val="auto"/>
                <w:szCs w:val="21"/>
                <w:highlight w:val="none"/>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879" w:type="dxa"/>
            <w:noWrap w:val="0"/>
            <w:vAlign w:val="top"/>
          </w:tcPr>
          <w:p>
            <w:pPr>
              <w:spacing w:line="400" w:lineRule="exact"/>
              <w:ind w:firstLine="420" w:firstLineChars="200"/>
              <w:rPr>
                <w:rFonts w:ascii="宋体" w:hAnsi="宋体"/>
                <w:color w:val="auto"/>
                <w:szCs w:val="21"/>
                <w:highlight w:val="none"/>
              </w:rPr>
            </w:pPr>
          </w:p>
        </w:tc>
        <w:tc>
          <w:tcPr>
            <w:tcW w:w="1984" w:type="dxa"/>
            <w:noWrap w:val="0"/>
            <w:vAlign w:val="top"/>
          </w:tcPr>
          <w:p>
            <w:pPr>
              <w:spacing w:line="400" w:lineRule="exact"/>
              <w:ind w:firstLine="420" w:firstLineChars="200"/>
              <w:rPr>
                <w:rFonts w:ascii="宋体" w:hAnsi="宋体"/>
                <w:color w:val="auto"/>
                <w:szCs w:val="21"/>
                <w:highlight w:val="none"/>
              </w:rPr>
            </w:pPr>
          </w:p>
        </w:tc>
        <w:tc>
          <w:tcPr>
            <w:tcW w:w="5103" w:type="dxa"/>
            <w:noWrap w:val="0"/>
            <w:vAlign w:val="top"/>
          </w:tcPr>
          <w:p>
            <w:pPr>
              <w:spacing w:line="400" w:lineRule="exact"/>
              <w:ind w:firstLine="420" w:firstLineChars="200"/>
              <w:rPr>
                <w:rFonts w:ascii="宋体" w:hAnsi="宋体"/>
                <w:color w:val="auto"/>
                <w:szCs w:val="21"/>
                <w:highlight w:val="none"/>
              </w:rPr>
            </w:pPr>
          </w:p>
        </w:tc>
        <w:tc>
          <w:tcPr>
            <w:tcW w:w="1560" w:type="dxa"/>
            <w:noWrap w:val="0"/>
            <w:vAlign w:val="top"/>
          </w:tcPr>
          <w:p>
            <w:pPr>
              <w:spacing w:line="400" w:lineRule="exact"/>
              <w:ind w:firstLine="420" w:firstLineChars="20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879" w:type="dxa"/>
            <w:noWrap w:val="0"/>
            <w:vAlign w:val="top"/>
          </w:tcPr>
          <w:p>
            <w:pPr>
              <w:spacing w:line="400" w:lineRule="exact"/>
              <w:ind w:firstLine="420" w:firstLineChars="200"/>
              <w:rPr>
                <w:rFonts w:ascii="宋体" w:hAnsi="宋体"/>
                <w:color w:val="auto"/>
                <w:szCs w:val="21"/>
                <w:highlight w:val="none"/>
              </w:rPr>
            </w:pPr>
          </w:p>
        </w:tc>
        <w:tc>
          <w:tcPr>
            <w:tcW w:w="1984" w:type="dxa"/>
            <w:noWrap w:val="0"/>
            <w:vAlign w:val="top"/>
          </w:tcPr>
          <w:p>
            <w:pPr>
              <w:spacing w:line="400" w:lineRule="exact"/>
              <w:ind w:firstLine="420" w:firstLineChars="200"/>
              <w:rPr>
                <w:rFonts w:ascii="宋体" w:hAnsi="宋体"/>
                <w:color w:val="auto"/>
                <w:szCs w:val="21"/>
                <w:highlight w:val="none"/>
              </w:rPr>
            </w:pPr>
          </w:p>
        </w:tc>
        <w:tc>
          <w:tcPr>
            <w:tcW w:w="5103" w:type="dxa"/>
            <w:noWrap w:val="0"/>
            <w:vAlign w:val="top"/>
          </w:tcPr>
          <w:p>
            <w:pPr>
              <w:spacing w:line="400" w:lineRule="exact"/>
              <w:ind w:firstLine="420" w:firstLineChars="200"/>
              <w:rPr>
                <w:rFonts w:ascii="宋体" w:hAnsi="宋体"/>
                <w:color w:val="auto"/>
                <w:szCs w:val="21"/>
                <w:highlight w:val="none"/>
              </w:rPr>
            </w:pPr>
          </w:p>
        </w:tc>
        <w:tc>
          <w:tcPr>
            <w:tcW w:w="1560" w:type="dxa"/>
            <w:noWrap w:val="0"/>
            <w:vAlign w:val="top"/>
          </w:tcPr>
          <w:p>
            <w:pPr>
              <w:spacing w:line="400" w:lineRule="exact"/>
              <w:ind w:firstLine="420" w:firstLineChars="20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879" w:type="dxa"/>
            <w:noWrap w:val="0"/>
            <w:vAlign w:val="top"/>
          </w:tcPr>
          <w:p>
            <w:pPr>
              <w:spacing w:line="400" w:lineRule="exact"/>
              <w:ind w:firstLine="420" w:firstLineChars="200"/>
              <w:rPr>
                <w:rFonts w:ascii="宋体" w:hAnsi="宋体"/>
                <w:color w:val="auto"/>
                <w:szCs w:val="21"/>
                <w:highlight w:val="none"/>
              </w:rPr>
            </w:pPr>
          </w:p>
        </w:tc>
        <w:tc>
          <w:tcPr>
            <w:tcW w:w="1984" w:type="dxa"/>
            <w:noWrap w:val="0"/>
            <w:vAlign w:val="top"/>
          </w:tcPr>
          <w:p>
            <w:pPr>
              <w:spacing w:line="400" w:lineRule="exact"/>
              <w:ind w:firstLine="420" w:firstLineChars="200"/>
              <w:rPr>
                <w:rFonts w:ascii="宋体" w:hAnsi="宋体"/>
                <w:color w:val="auto"/>
                <w:szCs w:val="21"/>
                <w:highlight w:val="none"/>
              </w:rPr>
            </w:pPr>
          </w:p>
        </w:tc>
        <w:tc>
          <w:tcPr>
            <w:tcW w:w="5103" w:type="dxa"/>
            <w:noWrap w:val="0"/>
            <w:vAlign w:val="top"/>
          </w:tcPr>
          <w:p>
            <w:pPr>
              <w:spacing w:line="400" w:lineRule="exact"/>
              <w:ind w:firstLine="420" w:firstLineChars="200"/>
              <w:rPr>
                <w:rFonts w:ascii="宋体" w:hAnsi="宋体"/>
                <w:color w:val="auto"/>
                <w:szCs w:val="21"/>
                <w:highlight w:val="none"/>
              </w:rPr>
            </w:pPr>
          </w:p>
        </w:tc>
        <w:tc>
          <w:tcPr>
            <w:tcW w:w="1560" w:type="dxa"/>
            <w:noWrap w:val="0"/>
            <w:vAlign w:val="top"/>
          </w:tcPr>
          <w:p>
            <w:pPr>
              <w:spacing w:line="400" w:lineRule="exact"/>
              <w:ind w:firstLine="420" w:firstLineChars="20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879" w:type="dxa"/>
            <w:noWrap w:val="0"/>
            <w:vAlign w:val="top"/>
          </w:tcPr>
          <w:p>
            <w:pPr>
              <w:spacing w:line="400" w:lineRule="exact"/>
              <w:ind w:firstLine="420" w:firstLineChars="200"/>
              <w:rPr>
                <w:rFonts w:ascii="宋体" w:hAnsi="宋体"/>
                <w:color w:val="auto"/>
                <w:szCs w:val="21"/>
                <w:highlight w:val="none"/>
              </w:rPr>
            </w:pPr>
          </w:p>
        </w:tc>
        <w:tc>
          <w:tcPr>
            <w:tcW w:w="1984" w:type="dxa"/>
            <w:noWrap w:val="0"/>
            <w:vAlign w:val="top"/>
          </w:tcPr>
          <w:p>
            <w:pPr>
              <w:spacing w:line="400" w:lineRule="exact"/>
              <w:ind w:firstLine="420" w:firstLineChars="200"/>
              <w:rPr>
                <w:rFonts w:ascii="宋体" w:hAnsi="宋体"/>
                <w:color w:val="auto"/>
                <w:szCs w:val="21"/>
                <w:highlight w:val="none"/>
              </w:rPr>
            </w:pPr>
          </w:p>
        </w:tc>
        <w:tc>
          <w:tcPr>
            <w:tcW w:w="5103" w:type="dxa"/>
            <w:noWrap w:val="0"/>
            <w:vAlign w:val="top"/>
          </w:tcPr>
          <w:p>
            <w:pPr>
              <w:spacing w:line="400" w:lineRule="exact"/>
              <w:ind w:firstLine="420" w:firstLineChars="200"/>
              <w:rPr>
                <w:rFonts w:ascii="宋体" w:hAnsi="宋体"/>
                <w:color w:val="auto"/>
                <w:szCs w:val="21"/>
                <w:highlight w:val="none"/>
              </w:rPr>
            </w:pPr>
          </w:p>
        </w:tc>
        <w:tc>
          <w:tcPr>
            <w:tcW w:w="1560" w:type="dxa"/>
            <w:noWrap w:val="0"/>
            <w:vAlign w:val="top"/>
          </w:tcPr>
          <w:p>
            <w:pPr>
              <w:spacing w:line="400" w:lineRule="exact"/>
              <w:ind w:firstLine="420" w:firstLineChars="20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879" w:type="dxa"/>
            <w:noWrap w:val="0"/>
            <w:vAlign w:val="top"/>
          </w:tcPr>
          <w:p>
            <w:pPr>
              <w:spacing w:line="400" w:lineRule="exact"/>
              <w:ind w:firstLine="420" w:firstLineChars="200"/>
              <w:rPr>
                <w:rFonts w:ascii="宋体" w:hAnsi="宋体"/>
                <w:color w:val="auto"/>
                <w:szCs w:val="21"/>
                <w:highlight w:val="none"/>
              </w:rPr>
            </w:pPr>
          </w:p>
        </w:tc>
        <w:tc>
          <w:tcPr>
            <w:tcW w:w="1984" w:type="dxa"/>
            <w:noWrap w:val="0"/>
            <w:vAlign w:val="top"/>
          </w:tcPr>
          <w:p>
            <w:pPr>
              <w:spacing w:line="400" w:lineRule="exact"/>
              <w:ind w:firstLine="420" w:firstLineChars="200"/>
              <w:rPr>
                <w:rFonts w:ascii="宋体" w:hAnsi="宋体"/>
                <w:color w:val="auto"/>
                <w:szCs w:val="21"/>
                <w:highlight w:val="none"/>
              </w:rPr>
            </w:pPr>
          </w:p>
        </w:tc>
        <w:tc>
          <w:tcPr>
            <w:tcW w:w="5103" w:type="dxa"/>
            <w:noWrap w:val="0"/>
            <w:vAlign w:val="top"/>
          </w:tcPr>
          <w:p>
            <w:pPr>
              <w:spacing w:line="400" w:lineRule="exact"/>
              <w:ind w:firstLine="420" w:firstLineChars="200"/>
              <w:rPr>
                <w:rFonts w:ascii="宋体" w:hAnsi="宋体"/>
                <w:color w:val="auto"/>
                <w:szCs w:val="21"/>
                <w:highlight w:val="none"/>
              </w:rPr>
            </w:pPr>
          </w:p>
        </w:tc>
        <w:tc>
          <w:tcPr>
            <w:tcW w:w="1560" w:type="dxa"/>
            <w:noWrap w:val="0"/>
            <w:vAlign w:val="top"/>
          </w:tcPr>
          <w:p>
            <w:pPr>
              <w:spacing w:line="400" w:lineRule="exact"/>
              <w:ind w:firstLine="420" w:firstLineChars="20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879" w:type="dxa"/>
            <w:noWrap w:val="0"/>
            <w:vAlign w:val="top"/>
          </w:tcPr>
          <w:p>
            <w:pPr>
              <w:spacing w:line="400" w:lineRule="exact"/>
              <w:ind w:firstLine="420" w:firstLineChars="200"/>
              <w:rPr>
                <w:rFonts w:ascii="宋体" w:hAnsi="宋体"/>
                <w:color w:val="auto"/>
                <w:szCs w:val="21"/>
                <w:highlight w:val="none"/>
              </w:rPr>
            </w:pPr>
          </w:p>
        </w:tc>
        <w:tc>
          <w:tcPr>
            <w:tcW w:w="1984" w:type="dxa"/>
            <w:noWrap w:val="0"/>
            <w:vAlign w:val="top"/>
          </w:tcPr>
          <w:p>
            <w:pPr>
              <w:spacing w:line="400" w:lineRule="exact"/>
              <w:ind w:firstLine="420" w:firstLineChars="200"/>
              <w:rPr>
                <w:rFonts w:ascii="宋体" w:hAnsi="宋体"/>
                <w:color w:val="auto"/>
                <w:szCs w:val="21"/>
                <w:highlight w:val="none"/>
              </w:rPr>
            </w:pPr>
          </w:p>
        </w:tc>
        <w:tc>
          <w:tcPr>
            <w:tcW w:w="5103" w:type="dxa"/>
            <w:noWrap w:val="0"/>
            <w:vAlign w:val="top"/>
          </w:tcPr>
          <w:p>
            <w:pPr>
              <w:spacing w:line="400" w:lineRule="exact"/>
              <w:ind w:firstLine="420" w:firstLineChars="200"/>
              <w:rPr>
                <w:rFonts w:ascii="宋体" w:hAnsi="宋体"/>
                <w:color w:val="auto"/>
                <w:szCs w:val="21"/>
                <w:highlight w:val="none"/>
              </w:rPr>
            </w:pPr>
          </w:p>
        </w:tc>
        <w:tc>
          <w:tcPr>
            <w:tcW w:w="1560" w:type="dxa"/>
            <w:noWrap w:val="0"/>
            <w:vAlign w:val="top"/>
          </w:tcPr>
          <w:p>
            <w:pPr>
              <w:spacing w:line="400" w:lineRule="exact"/>
              <w:ind w:firstLine="420" w:firstLineChars="20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879" w:type="dxa"/>
            <w:noWrap w:val="0"/>
            <w:vAlign w:val="top"/>
          </w:tcPr>
          <w:p>
            <w:pPr>
              <w:spacing w:line="400" w:lineRule="exact"/>
              <w:ind w:firstLine="420" w:firstLineChars="200"/>
              <w:rPr>
                <w:rFonts w:ascii="宋体" w:hAnsi="宋体"/>
                <w:color w:val="auto"/>
                <w:szCs w:val="21"/>
                <w:highlight w:val="none"/>
              </w:rPr>
            </w:pPr>
          </w:p>
        </w:tc>
        <w:tc>
          <w:tcPr>
            <w:tcW w:w="1984" w:type="dxa"/>
            <w:noWrap w:val="0"/>
            <w:vAlign w:val="top"/>
          </w:tcPr>
          <w:p>
            <w:pPr>
              <w:spacing w:line="400" w:lineRule="exact"/>
              <w:ind w:firstLine="420" w:firstLineChars="200"/>
              <w:rPr>
                <w:rFonts w:ascii="宋体" w:hAnsi="宋体"/>
                <w:color w:val="auto"/>
                <w:szCs w:val="21"/>
                <w:highlight w:val="none"/>
              </w:rPr>
            </w:pPr>
          </w:p>
        </w:tc>
        <w:tc>
          <w:tcPr>
            <w:tcW w:w="5103" w:type="dxa"/>
            <w:noWrap w:val="0"/>
            <w:vAlign w:val="top"/>
          </w:tcPr>
          <w:p>
            <w:pPr>
              <w:spacing w:line="400" w:lineRule="exact"/>
              <w:ind w:firstLine="420" w:firstLineChars="200"/>
              <w:rPr>
                <w:rFonts w:ascii="宋体" w:hAnsi="宋体"/>
                <w:color w:val="auto"/>
                <w:szCs w:val="21"/>
                <w:highlight w:val="none"/>
              </w:rPr>
            </w:pPr>
          </w:p>
        </w:tc>
        <w:tc>
          <w:tcPr>
            <w:tcW w:w="1560" w:type="dxa"/>
            <w:noWrap w:val="0"/>
            <w:vAlign w:val="top"/>
          </w:tcPr>
          <w:p>
            <w:pPr>
              <w:spacing w:line="400" w:lineRule="exact"/>
              <w:ind w:firstLine="420" w:firstLineChars="20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879" w:type="dxa"/>
            <w:noWrap w:val="0"/>
            <w:vAlign w:val="top"/>
          </w:tcPr>
          <w:p>
            <w:pPr>
              <w:spacing w:line="400" w:lineRule="exact"/>
              <w:ind w:firstLine="420" w:firstLineChars="200"/>
              <w:rPr>
                <w:rFonts w:ascii="宋体" w:hAnsi="宋体"/>
                <w:color w:val="auto"/>
                <w:szCs w:val="21"/>
                <w:highlight w:val="none"/>
              </w:rPr>
            </w:pPr>
          </w:p>
        </w:tc>
        <w:tc>
          <w:tcPr>
            <w:tcW w:w="1984" w:type="dxa"/>
            <w:noWrap w:val="0"/>
            <w:vAlign w:val="top"/>
          </w:tcPr>
          <w:p>
            <w:pPr>
              <w:spacing w:line="400" w:lineRule="exact"/>
              <w:ind w:firstLine="420" w:firstLineChars="200"/>
              <w:rPr>
                <w:rFonts w:ascii="宋体" w:hAnsi="宋体"/>
                <w:color w:val="auto"/>
                <w:szCs w:val="21"/>
                <w:highlight w:val="none"/>
              </w:rPr>
            </w:pPr>
          </w:p>
        </w:tc>
        <w:tc>
          <w:tcPr>
            <w:tcW w:w="5103" w:type="dxa"/>
            <w:noWrap w:val="0"/>
            <w:vAlign w:val="top"/>
          </w:tcPr>
          <w:p>
            <w:pPr>
              <w:spacing w:line="400" w:lineRule="exact"/>
              <w:ind w:firstLine="420" w:firstLineChars="200"/>
              <w:rPr>
                <w:rFonts w:ascii="宋体" w:hAnsi="宋体"/>
                <w:color w:val="auto"/>
                <w:szCs w:val="21"/>
                <w:highlight w:val="none"/>
              </w:rPr>
            </w:pPr>
          </w:p>
        </w:tc>
        <w:tc>
          <w:tcPr>
            <w:tcW w:w="1560" w:type="dxa"/>
            <w:noWrap w:val="0"/>
            <w:vAlign w:val="top"/>
          </w:tcPr>
          <w:p>
            <w:pPr>
              <w:spacing w:line="400" w:lineRule="exact"/>
              <w:ind w:firstLine="420" w:firstLineChars="20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879" w:type="dxa"/>
            <w:noWrap w:val="0"/>
            <w:vAlign w:val="top"/>
          </w:tcPr>
          <w:p>
            <w:pPr>
              <w:spacing w:line="400" w:lineRule="exact"/>
              <w:ind w:firstLine="420" w:firstLineChars="200"/>
              <w:rPr>
                <w:rFonts w:ascii="宋体" w:hAnsi="宋体"/>
                <w:color w:val="auto"/>
                <w:szCs w:val="21"/>
                <w:highlight w:val="none"/>
              </w:rPr>
            </w:pPr>
          </w:p>
        </w:tc>
        <w:tc>
          <w:tcPr>
            <w:tcW w:w="1984" w:type="dxa"/>
            <w:noWrap w:val="0"/>
            <w:vAlign w:val="top"/>
          </w:tcPr>
          <w:p>
            <w:pPr>
              <w:spacing w:line="400" w:lineRule="exact"/>
              <w:ind w:firstLine="420" w:firstLineChars="200"/>
              <w:rPr>
                <w:rFonts w:ascii="宋体" w:hAnsi="宋体"/>
                <w:color w:val="auto"/>
                <w:szCs w:val="21"/>
                <w:highlight w:val="none"/>
              </w:rPr>
            </w:pPr>
          </w:p>
        </w:tc>
        <w:tc>
          <w:tcPr>
            <w:tcW w:w="5103" w:type="dxa"/>
            <w:noWrap w:val="0"/>
            <w:vAlign w:val="top"/>
          </w:tcPr>
          <w:p>
            <w:pPr>
              <w:spacing w:line="400" w:lineRule="exact"/>
              <w:ind w:firstLine="420" w:firstLineChars="200"/>
              <w:rPr>
                <w:rFonts w:ascii="宋体" w:hAnsi="宋体"/>
                <w:color w:val="auto"/>
                <w:szCs w:val="21"/>
                <w:highlight w:val="none"/>
              </w:rPr>
            </w:pPr>
          </w:p>
        </w:tc>
        <w:tc>
          <w:tcPr>
            <w:tcW w:w="1560" w:type="dxa"/>
            <w:noWrap w:val="0"/>
            <w:vAlign w:val="top"/>
          </w:tcPr>
          <w:p>
            <w:pPr>
              <w:spacing w:line="400" w:lineRule="exact"/>
              <w:ind w:firstLine="420" w:firstLineChars="20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879" w:type="dxa"/>
            <w:noWrap w:val="0"/>
            <w:vAlign w:val="top"/>
          </w:tcPr>
          <w:p>
            <w:pPr>
              <w:spacing w:line="400" w:lineRule="exact"/>
              <w:ind w:firstLine="420" w:firstLineChars="200"/>
              <w:rPr>
                <w:rFonts w:ascii="宋体" w:hAnsi="宋体"/>
                <w:color w:val="auto"/>
                <w:szCs w:val="21"/>
                <w:highlight w:val="none"/>
              </w:rPr>
            </w:pPr>
          </w:p>
        </w:tc>
        <w:tc>
          <w:tcPr>
            <w:tcW w:w="1984" w:type="dxa"/>
            <w:noWrap w:val="0"/>
            <w:vAlign w:val="top"/>
          </w:tcPr>
          <w:p>
            <w:pPr>
              <w:spacing w:line="400" w:lineRule="exact"/>
              <w:ind w:firstLine="420" w:firstLineChars="200"/>
              <w:rPr>
                <w:rFonts w:ascii="宋体" w:hAnsi="宋体"/>
                <w:color w:val="auto"/>
                <w:szCs w:val="21"/>
                <w:highlight w:val="none"/>
              </w:rPr>
            </w:pPr>
          </w:p>
        </w:tc>
        <w:tc>
          <w:tcPr>
            <w:tcW w:w="5103" w:type="dxa"/>
            <w:noWrap w:val="0"/>
            <w:vAlign w:val="top"/>
          </w:tcPr>
          <w:p>
            <w:pPr>
              <w:spacing w:line="400" w:lineRule="exact"/>
              <w:ind w:firstLine="420" w:firstLineChars="200"/>
              <w:rPr>
                <w:rFonts w:ascii="宋体" w:hAnsi="宋体"/>
                <w:color w:val="auto"/>
                <w:szCs w:val="21"/>
                <w:highlight w:val="none"/>
              </w:rPr>
            </w:pPr>
          </w:p>
        </w:tc>
        <w:tc>
          <w:tcPr>
            <w:tcW w:w="1560" w:type="dxa"/>
            <w:noWrap w:val="0"/>
            <w:vAlign w:val="top"/>
          </w:tcPr>
          <w:p>
            <w:pPr>
              <w:spacing w:line="400" w:lineRule="exact"/>
              <w:ind w:firstLine="420" w:firstLineChars="20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879" w:type="dxa"/>
            <w:noWrap w:val="0"/>
            <w:vAlign w:val="top"/>
          </w:tcPr>
          <w:p>
            <w:pPr>
              <w:spacing w:line="400" w:lineRule="exact"/>
              <w:ind w:firstLine="420" w:firstLineChars="200"/>
              <w:rPr>
                <w:rFonts w:ascii="宋体" w:hAnsi="宋体"/>
                <w:color w:val="auto"/>
                <w:szCs w:val="21"/>
                <w:highlight w:val="none"/>
              </w:rPr>
            </w:pPr>
          </w:p>
        </w:tc>
        <w:tc>
          <w:tcPr>
            <w:tcW w:w="1984" w:type="dxa"/>
            <w:noWrap w:val="0"/>
            <w:vAlign w:val="top"/>
          </w:tcPr>
          <w:p>
            <w:pPr>
              <w:spacing w:line="400" w:lineRule="exact"/>
              <w:ind w:firstLine="420" w:firstLineChars="200"/>
              <w:rPr>
                <w:rFonts w:ascii="宋体" w:hAnsi="宋体"/>
                <w:color w:val="auto"/>
                <w:szCs w:val="21"/>
                <w:highlight w:val="none"/>
              </w:rPr>
            </w:pPr>
          </w:p>
        </w:tc>
        <w:tc>
          <w:tcPr>
            <w:tcW w:w="5103" w:type="dxa"/>
            <w:noWrap w:val="0"/>
            <w:vAlign w:val="top"/>
          </w:tcPr>
          <w:p>
            <w:pPr>
              <w:spacing w:line="400" w:lineRule="exact"/>
              <w:ind w:firstLine="420" w:firstLineChars="200"/>
              <w:rPr>
                <w:rFonts w:ascii="宋体" w:hAnsi="宋体"/>
                <w:color w:val="auto"/>
                <w:szCs w:val="21"/>
                <w:highlight w:val="none"/>
              </w:rPr>
            </w:pPr>
          </w:p>
        </w:tc>
        <w:tc>
          <w:tcPr>
            <w:tcW w:w="1560" w:type="dxa"/>
            <w:noWrap w:val="0"/>
            <w:vAlign w:val="top"/>
          </w:tcPr>
          <w:p>
            <w:pPr>
              <w:spacing w:line="400" w:lineRule="exact"/>
              <w:ind w:firstLine="420" w:firstLineChars="20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879" w:type="dxa"/>
            <w:noWrap w:val="0"/>
            <w:vAlign w:val="top"/>
          </w:tcPr>
          <w:p>
            <w:pPr>
              <w:spacing w:line="400" w:lineRule="exact"/>
              <w:ind w:firstLine="420" w:firstLineChars="200"/>
              <w:rPr>
                <w:rFonts w:ascii="宋体" w:hAnsi="宋体"/>
                <w:color w:val="auto"/>
                <w:szCs w:val="21"/>
                <w:highlight w:val="none"/>
              </w:rPr>
            </w:pPr>
          </w:p>
        </w:tc>
        <w:tc>
          <w:tcPr>
            <w:tcW w:w="1984" w:type="dxa"/>
            <w:noWrap w:val="0"/>
            <w:vAlign w:val="top"/>
          </w:tcPr>
          <w:p>
            <w:pPr>
              <w:spacing w:line="400" w:lineRule="exact"/>
              <w:ind w:firstLine="420" w:firstLineChars="200"/>
              <w:rPr>
                <w:rFonts w:ascii="宋体" w:hAnsi="宋体"/>
                <w:color w:val="auto"/>
                <w:szCs w:val="21"/>
                <w:highlight w:val="none"/>
              </w:rPr>
            </w:pPr>
          </w:p>
        </w:tc>
        <w:tc>
          <w:tcPr>
            <w:tcW w:w="5103" w:type="dxa"/>
            <w:noWrap w:val="0"/>
            <w:vAlign w:val="top"/>
          </w:tcPr>
          <w:p>
            <w:pPr>
              <w:spacing w:line="400" w:lineRule="exact"/>
              <w:ind w:firstLine="420" w:firstLineChars="200"/>
              <w:rPr>
                <w:rFonts w:ascii="宋体" w:hAnsi="宋体"/>
                <w:color w:val="auto"/>
                <w:szCs w:val="21"/>
                <w:highlight w:val="none"/>
              </w:rPr>
            </w:pPr>
          </w:p>
        </w:tc>
        <w:tc>
          <w:tcPr>
            <w:tcW w:w="1560" w:type="dxa"/>
            <w:noWrap w:val="0"/>
            <w:vAlign w:val="top"/>
          </w:tcPr>
          <w:p>
            <w:pPr>
              <w:spacing w:line="400" w:lineRule="exact"/>
              <w:ind w:firstLine="420" w:firstLineChars="20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879" w:type="dxa"/>
            <w:noWrap w:val="0"/>
            <w:vAlign w:val="top"/>
          </w:tcPr>
          <w:p>
            <w:pPr>
              <w:spacing w:line="400" w:lineRule="exact"/>
              <w:ind w:firstLine="420" w:firstLineChars="200"/>
              <w:rPr>
                <w:rFonts w:ascii="宋体" w:hAnsi="宋体"/>
                <w:color w:val="auto"/>
                <w:szCs w:val="21"/>
                <w:highlight w:val="none"/>
              </w:rPr>
            </w:pPr>
          </w:p>
        </w:tc>
        <w:tc>
          <w:tcPr>
            <w:tcW w:w="1984" w:type="dxa"/>
            <w:noWrap w:val="0"/>
            <w:vAlign w:val="top"/>
          </w:tcPr>
          <w:p>
            <w:pPr>
              <w:spacing w:line="400" w:lineRule="exact"/>
              <w:ind w:firstLine="420" w:firstLineChars="200"/>
              <w:rPr>
                <w:rFonts w:ascii="宋体" w:hAnsi="宋体"/>
                <w:color w:val="auto"/>
                <w:szCs w:val="21"/>
                <w:highlight w:val="none"/>
              </w:rPr>
            </w:pPr>
          </w:p>
        </w:tc>
        <w:tc>
          <w:tcPr>
            <w:tcW w:w="5103" w:type="dxa"/>
            <w:noWrap w:val="0"/>
            <w:vAlign w:val="top"/>
          </w:tcPr>
          <w:p>
            <w:pPr>
              <w:spacing w:line="400" w:lineRule="exact"/>
              <w:ind w:firstLine="420" w:firstLineChars="200"/>
              <w:rPr>
                <w:rFonts w:ascii="宋体" w:hAnsi="宋体"/>
                <w:color w:val="auto"/>
                <w:szCs w:val="21"/>
                <w:highlight w:val="none"/>
              </w:rPr>
            </w:pPr>
          </w:p>
        </w:tc>
        <w:tc>
          <w:tcPr>
            <w:tcW w:w="1560" w:type="dxa"/>
            <w:noWrap w:val="0"/>
            <w:vAlign w:val="top"/>
          </w:tcPr>
          <w:p>
            <w:pPr>
              <w:spacing w:line="400" w:lineRule="exact"/>
              <w:ind w:firstLine="420" w:firstLineChars="20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879" w:type="dxa"/>
            <w:noWrap w:val="0"/>
            <w:vAlign w:val="top"/>
          </w:tcPr>
          <w:p>
            <w:pPr>
              <w:spacing w:line="400" w:lineRule="exact"/>
              <w:ind w:firstLine="420" w:firstLineChars="200"/>
              <w:rPr>
                <w:rFonts w:ascii="宋体" w:hAnsi="宋体"/>
                <w:color w:val="auto"/>
                <w:szCs w:val="21"/>
                <w:highlight w:val="none"/>
              </w:rPr>
            </w:pPr>
          </w:p>
        </w:tc>
        <w:tc>
          <w:tcPr>
            <w:tcW w:w="1984" w:type="dxa"/>
            <w:noWrap w:val="0"/>
            <w:vAlign w:val="top"/>
          </w:tcPr>
          <w:p>
            <w:pPr>
              <w:spacing w:line="400" w:lineRule="exact"/>
              <w:ind w:firstLine="420" w:firstLineChars="200"/>
              <w:rPr>
                <w:rFonts w:ascii="宋体" w:hAnsi="宋体"/>
                <w:color w:val="auto"/>
                <w:szCs w:val="21"/>
                <w:highlight w:val="none"/>
              </w:rPr>
            </w:pPr>
          </w:p>
        </w:tc>
        <w:tc>
          <w:tcPr>
            <w:tcW w:w="5103" w:type="dxa"/>
            <w:noWrap w:val="0"/>
            <w:vAlign w:val="top"/>
          </w:tcPr>
          <w:p>
            <w:pPr>
              <w:spacing w:line="400" w:lineRule="exact"/>
              <w:ind w:firstLine="420" w:firstLineChars="200"/>
              <w:rPr>
                <w:rFonts w:ascii="宋体" w:hAnsi="宋体"/>
                <w:color w:val="auto"/>
                <w:szCs w:val="21"/>
                <w:highlight w:val="none"/>
              </w:rPr>
            </w:pPr>
          </w:p>
        </w:tc>
        <w:tc>
          <w:tcPr>
            <w:tcW w:w="1560" w:type="dxa"/>
            <w:noWrap w:val="0"/>
            <w:vAlign w:val="top"/>
          </w:tcPr>
          <w:p>
            <w:pPr>
              <w:spacing w:line="400" w:lineRule="exact"/>
              <w:ind w:firstLine="420" w:firstLineChars="20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879" w:type="dxa"/>
            <w:noWrap w:val="0"/>
            <w:vAlign w:val="top"/>
          </w:tcPr>
          <w:p>
            <w:pPr>
              <w:spacing w:line="400" w:lineRule="exact"/>
              <w:ind w:firstLine="420" w:firstLineChars="200"/>
              <w:rPr>
                <w:rFonts w:ascii="宋体" w:hAnsi="宋体"/>
                <w:color w:val="auto"/>
                <w:szCs w:val="21"/>
                <w:highlight w:val="none"/>
              </w:rPr>
            </w:pPr>
          </w:p>
        </w:tc>
        <w:tc>
          <w:tcPr>
            <w:tcW w:w="1984" w:type="dxa"/>
            <w:noWrap w:val="0"/>
            <w:vAlign w:val="top"/>
          </w:tcPr>
          <w:p>
            <w:pPr>
              <w:spacing w:line="400" w:lineRule="exact"/>
              <w:ind w:firstLine="420" w:firstLineChars="200"/>
              <w:rPr>
                <w:rFonts w:ascii="宋体" w:hAnsi="宋体"/>
                <w:color w:val="auto"/>
                <w:szCs w:val="21"/>
                <w:highlight w:val="none"/>
              </w:rPr>
            </w:pPr>
          </w:p>
        </w:tc>
        <w:tc>
          <w:tcPr>
            <w:tcW w:w="5103" w:type="dxa"/>
            <w:noWrap w:val="0"/>
            <w:vAlign w:val="top"/>
          </w:tcPr>
          <w:p>
            <w:pPr>
              <w:spacing w:line="400" w:lineRule="exact"/>
              <w:ind w:firstLine="420" w:firstLineChars="200"/>
              <w:rPr>
                <w:rFonts w:ascii="宋体" w:hAnsi="宋体"/>
                <w:color w:val="auto"/>
                <w:szCs w:val="21"/>
                <w:highlight w:val="none"/>
              </w:rPr>
            </w:pPr>
          </w:p>
        </w:tc>
        <w:tc>
          <w:tcPr>
            <w:tcW w:w="1560" w:type="dxa"/>
            <w:noWrap w:val="0"/>
            <w:vAlign w:val="top"/>
          </w:tcPr>
          <w:p>
            <w:pPr>
              <w:spacing w:line="400" w:lineRule="exact"/>
              <w:ind w:firstLine="420" w:firstLineChars="20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879" w:type="dxa"/>
            <w:noWrap w:val="0"/>
            <w:vAlign w:val="top"/>
          </w:tcPr>
          <w:p>
            <w:pPr>
              <w:spacing w:line="400" w:lineRule="exact"/>
              <w:ind w:firstLine="420" w:firstLineChars="200"/>
              <w:rPr>
                <w:rFonts w:ascii="宋体" w:hAnsi="宋体"/>
                <w:color w:val="auto"/>
                <w:szCs w:val="21"/>
                <w:highlight w:val="none"/>
              </w:rPr>
            </w:pPr>
          </w:p>
        </w:tc>
        <w:tc>
          <w:tcPr>
            <w:tcW w:w="1984" w:type="dxa"/>
            <w:noWrap w:val="0"/>
            <w:vAlign w:val="top"/>
          </w:tcPr>
          <w:p>
            <w:pPr>
              <w:spacing w:line="400" w:lineRule="exact"/>
              <w:ind w:firstLine="420" w:firstLineChars="200"/>
              <w:rPr>
                <w:rFonts w:ascii="宋体" w:hAnsi="宋体"/>
                <w:color w:val="auto"/>
                <w:szCs w:val="21"/>
                <w:highlight w:val="none"/>
              </w:rPr>
            </w:pPr>
          </w:p>
        </w:tc>
        <w:tc>
          <w:tcPr>
            <w:tcW w:w="5103" w:type="dxa"/>
            <w:noWrap w:val="0"/>
            <w:vAlign w:val="top"/>
          </w:tcPr>
          <w:p>
            <w:pPr>
              <w:spacing w:line="400" w:lineRule="exact"/>
              <w:ind w:firstLine="420" w:firstLineChars="200"/>
              <w:rPr>
                <w:rFonts w:ascii="宋体" w:hAnsi="宋体"/>
                <w:color w:val="auto"/>
                <w:szCs w:val="21"/>
                <w:highlight w:val="none"/>
              </w:rPr>
            </w:pPr>
          </w:p>
        </w:tc>
        <w:tc>
          <w:tcPr>
            <w:tcW w:w="1560" w:type="dxa"/>
            <w:noWrap w:val="0"/>
            <w:vAlign w:val="top"/>
          </w:tcPr>
          <w:p>
            <w:pPr>
              <w:spacing w:line="400" w:lineRule="exact"/>
              <w:ind w:firstLine="420" w:firstLineChars="20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879" w:type="dxa"/>
            <w:noWrap w:val="0"/>
            <w:vAlign w:val="top"/>
          </w:tcPr>
          <w:p>
            <w:pPr>
              <w:spacing w:line="400" w:lineRule="exact"/>
              <w:ind w:firstLine="420" w:firstLineChars="200"/>
              <w:rPr>
                <w:rFonts w:ascii="宋体" w:hAnsi="宋体"/>
                <w:color w:val="auto"/>
                <w:szCs w:val="21"/>
                <w:highlight w:val="none"/>
              </w:rPr>
            </w:pPr>
          </w:p>
        </w:tc>
        <w:tc>
          <w:tcPr>
            <w:tcW w:w="1984" w:type="dxa"/>
            <w:noWrap w:val="0"/>
            <w:vAlign w:val="top"/>
          </w:tcPr>
          <w:p>
            <w:pPr>
              <w:spacing w:line="400" w:lineRule="exact"/>
              <w:ind w:firstLine="420" w:firstLineChars="200"/>
              <w:rPr>
                <w:rFonts w:ascii="宋体" w:hAnsi="宋体"/>
                <w:color w:val="auto"/>
                <w:szCs w:val="21"/>
                <w:highlight w:val="none"/>
              </w:rPr>
            </w:pPr>
          </w:p>
        </w:tc>
        <w:tc>
          <w:tcPr>
            <w:tcW w:w="5103" w:type="dxa"/>
            <w:noWrap w:val="0"/>
            <w:vAlign w:val="top"/>
          </w:tcPr>
          <w:p>
            <w:pPr>
              <w:spacing w:line="400" w:lineRule="exact"/>
              <w:ind w:firstLine="420" w:firstLineChars="200"/>
              <w:rPr>
                <w:rFonts w:ascii="宋体" w:hAnsi="宋体"/>
                <w:color w:val="auto"/>
                <w:szCs w:val="21"/>
                <w:highlight w:val="none"/>
              </w:rPr>
            </w:pPr>
          </w:p>
        </w:tc>
        <w:tc>
          <w:tcPr>
            <w:tcW w:w="1560" w:type="dxa"/>
            <w:noWrap w:val="0"/>
            <w:vAlign w:val="top"/>
          </w:tcPr>
          <w:p>
            <w:pPr>
              <w:spacing w:line="400" w:lineRule="exact"/>
              <w:ind w:firstLine="420" w:firstLineChars="20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879" w:type="dxa"/>
            <w:noWrap w:val="0"/>
            <w:vAlign w:val="top"/>
          </w:tcPr>
          <w:p>
            <w:pPr>
              <w:spacing w:line="400" w:lineRule="exact"/>
              <w:ind w:firstLine="420" w:firstLineChars="200"/>
              <w:rPr>
                <w:rFonts w:ascii="宋体" w:hAnsi="宋体"/>
                <w:color w:val="auto"/>
                <w:szCs w:val="21"/>
                <w:highlight w:val="none"/>
              </w:rPr>
            </w:pPr>
          </w:p>
        </w:tc>
        <w:tc>
          <w:tcPr>
            <w:tcW w:w="1984" w:type="dxa"/>
            <w:noWrap w:val="0"/>
            <w:vAlign w:val="top"/>
          </w:tcPr>
          <w:p>
            <w:pPr>
              <w:spacing w:line="400" w:lineRule="exact"/>
              <w:ind w:firstLine="420" w:firstLineChars="200"/>
              <w:rPr>
                <w:rFonts w:ascii="宋体" w:hAnsi="宋体"/>
                <w:color w:val="auto"/>
                <w:szCs w:val="21"/>
                <w:highlight w:val="none"/>
              </w:rPr>
            </w:pPr>
          </w:p>
        </w:tc>
        <w:tc>
          <w:tcPr>
            <w:tcW w:w="5103" w:type="dxa"/>
            <w:noWrap w:val="0"/>
            <w:vAlign w:val="top"/>
          </w:tcPr>
          <w:p>
            <w:pPr>
              <w:spacing w:line="400" w:lineRule="exact"/>
              <w:ind w:firstLine="420" w:firstLineChars="200"/>
              <w:rPr>
                <w:rFonts w:ascii="宋体" w:hAnsi="宋体"/>
                <w:color w:val="auto"/>
                <w:szCs w:val="21"/>
                <w:highlight w:val="none"/>
              </w:rPr>
            </w:pPr>
          </w:p>
        </w:tc>
        <w:tc>
          <w:tcPr>
            <w:tcW w:w="1560" w:type="dxa"/>
            <w:noWrap w:val="0"/>
            <w:vAlign w:val="top"/>
          </w:tcPr>
          <w:p>
            <w:pPr>
              <w:spacing w:line="400" w:lineRule="exact"/>
              <w:ind w:firstLine="420" w:firstLineChars="20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879" w:type="dxa"/>
            <w:noWrap w:val="0"/>
            <w:vAlign w:val="top"/>
          </w:tcPr>
          <w:p>
            <w:pPr>
              <w:spacing w:line="400" w:lineRule="exact"/>
              <w:ind w:firstLine="420" w:firstLineChars="200"/>
              <w:rPr>
                <w:rFonts w:ascii="宋体" w:hAnsi="宋体"/>
                <w:color w:val="auto"/>
                <w:szCs w:val="21"/>
                <w:highlight w:val="none"/>
              </w:rPr>
            </w:pPr>
          </w:p>
        </w:tc>
        <w:tc>
          <w:tcPr>
            <w:tcW w:w="1984" w:type="dxa"/>
            <w:noWrap w:val="0"/>
            <w:vAlign w:val="top"/>
          </w:tcPr>
          <w:p>
            <w:pPr>
              <w:spacing w:line="400" w:lineRule="exact"/>
              <w:ind w:firstLine="420" w:firstLineChars="200"/>
              <w:rPr>
                <w:rFonts w:ascii="宋体" w:hAnsi="宋体"/>
                <w:color w:val="auto"/>
                <w:szCs w:val="21"/>
                <w:highlight w:val="none"/>
              </w:rPr>
            </w:pPr>
          </w:p>
        </w:tc>
        <w:tc>
          <w:tcPr>
            <w:tcW w:w="5103" w:type="dxa"/>
            <w:noWrap w:val="0"/>
            <w:vAlign w:val="top"/>
          </w:tcPr>
          <w:p>
            <w:pPr>
              <w:spacing w:line="400" w:lineRule="exact"/>
              <w:ind w:firstLine="420" w:firstLineChars="200"/>
              <w:rPr>
                <w:rFonts w:ascii="宋体" w:hAnsi="宋体"/>
                <w:color w:val="auto"/>
                <w:szCs w:val="21"/>
                <w:highlight w:val="none"/>
              </w:rPr>
            </w:pPr>
          </w:p>
        </w:tc>
        <w:tc>
          <w:tcPr>
            <w:tcW w:w="1560" w:type="dxa"/>
            <w:noWrap w:val="0"/>
            <w:vAlign w:val="top"/>
          </w:tcPr>
          <w:p>
            <w:pPr>
              <w:spacing w:line="400" w:lineRule="exact"/>
              <w:ind w:firstLine="420" w:firstLineChars="20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879" w:type="dxa"/>
            <w:noWrap w:val="0"/>
            <w:vAlign w:val="top"/>
          </w:tcPr>
          <w:p>
            <w:pPr>
              <w:spacing w:line="400" w:lineRule="exact"/>
              <w:ind w:firstLine="420" w:firstLineChars="200"/>
              <w:rPr>
                <w:rFonts w:ascii="宋体" w:hAnsi="宋体"/>
                <w:color w:val="auto"/>
                <w:szCs w:val="21"/>
                <w:highlight w:val="none"/>
              </w:rPr>
            </w:pPr>
          </w:p>
        </w:tc>
        <w:tc>
          <w:tcPr>
            <w:tcW w:w="1984" w:type="dxa"/>
            <w:noWrap w:val="0"/>
            <w:vAlign w:val="top"/>
          </w:tcPr>
          <w:p>
            <w:pPr>
              <w:spacing w:line="400" w:lineRule="exact"/>
              <w:ind w:firstLine="420" w:firstLineChars="200"/>
              <w:rPr>
                <w:rFonts w:ascii="宋体" w:hAnsi="宋体"/>
                <w:color w:val="auto"/>
                <w:szCs w:val="21"/>
                <w:highlight w:val="none"/>
              </w:rPr>
            </w:pPr>
          </w:p>
        </w:tc>
        <w:tc>
          <w:tcPr>
            <w:tcW w:w="5103" w:type="dxa"/>
            <w:noWrap w:val="0"/>
            <w:vAlign w:val="top"/>
          </w:tcPr>
          <w:p>
            <w:pPr>
              <w:spacing w:line="400" w:lineRule="exact"/>
              <w:ind w:firstLine="420" w:firstLineChars="200"/>
              <w:rPr>
                <w:rFonts w:ascii="宋体" w:hAnsi="宋体"/>
                <w:color w:val="auto"/>
                <w:szCs w:val="21"/>
                <w:highlight w:val="none"/>
              </w:rPr>
            </w:pPr>
          </w:p>
        </w:tc>
        <w:tc>
          <w:tcPr>
            <w:tcW w:w="1560" w:type="dxa"/>
            <w:noWrap w:val="0"/>
            <w:vAlign w:val="top"/>
          </w:tcPr>
          <w:p>
            <w:pPr>
              <w:spacing w:line="400" w:lineRule="exact"/>
              <w:ind w:firstLine="420" w:firstLineChars="20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879" w:type="dxa"/>
            <w:noWrap w:val="0"/>
            <w:vAlign w:val="top"/>
          </w:tcPr>
          <w:p>
            <w:pPr>
              <w:spacing w:line="400" w:lineRule="exact"/>
              <w:ind w:firstLine="420" w:firstLineChars="200"/>
              <w:rPr>
                <w:rFonts w:ascii="宋体" w:hAnsi="宋体"/>
                <w:color w:val="auto"/>
                <w:szCs w:val="21"/>
                <w:highlight w:val="none"/>
              </w:rPr>
            </w:pPr>
          </w:p>
        </w:tc>
        <w:tc>
          <w:tcPr>
            <w:tcW w:w="1984" w:type="dxa"/>
            <w:noWrap w:val="0"/>
            <w:vAlign w:val="top"/>
          </w:tcPr>
          <w:p>
            <w:pPr>
              <w:spacing w:line="400" w:lineRule="exact"/>
              <w:ind w:firstLine="420" w:firstLineChars="200"/>
              <w:rPr>
                <w:rFonts w:ascii="宋体" w:hAnsi="宋体"/>
                <w:color w:val="auto"/>
                <w:szCs w:val="21"/>
                <w:highlight w:val="none"/>
              </w:rPr>
            </w:pPr>
          </w:p>
        </w:tc>
        <w:tc>
          <w:tcPr>
            <w:tcW w:w="5103" w:type="dxa"/>
            <w:noWrap w:val="0"/>
            <w:vAlign w:val="top"/>
          </w:tcPr>
          <w:p>
            <w:pPr>
              <w:spacing w:line="400" w:lineRule="exact"/>
              <w:ind w:firstLine="420" w:firstLineChars="200"/>
              <w:rPr>
                <w:rFonts w:ascii="宋体" w:hAnsi="宋体"/>
                <w:color w:val="auto"/>
                <w:szCs w:val="21"/>
                <w:highlight w:val="none"/>
              </w:rPr>
            </w:pPr>
          </w:p>
        </w:tc>
        <w:tc>
          <w:tcPr>
            <w:tcW w:w="1560" w:type="dxa"/>
            <w:noWrap w:val="0"/>
            <w:vAlign w:val="top"/>
          </w:tcPr>
          <w:p>
            <w:pPr>
              <w:spacing w:line="400" w:lineRule="exact"/>
              <w:ind w:firstLine="420" w:firstLineChars="20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879" w:type="dxa"/>
            <w:noWrap w:val="0"/>
            <w:vAlign w:val="top"/>
          </w:tcPr>
          <w:p>
            <w:pPr>
              <w:spacing w:line="400" w:lineRule="exact"/>
              <w:ind w:firstLine="420" w:firstLineChars="200"/>
              <w:rPr>
                <w:rFonts w:ascii="宋体" w:hAnsi="宋体"/>
                <w:color w:val="auto"/>
                <w:szCs w:val="21"/>
                <w:highlight w:val="none"/>
              </w:rPr>
            </w:pPr>
          </w:p>
        </w:tc>
        <w:tc>
          <w:tcPr>
            <w:tcW w:w="1984" w:type="dxa"/>
            <w:noWrap w:val="0"/>
            <w:vAlign w:val="top"/>
          </w:tcPr>
          <w:p>
            <w:pPr>
              <w:spacing w:line="400" w:lineRule="exact"/>
              <w:ind w:firstLine="420" w:firstLineChars="200"/>
              <w:rPr>
                <w:rFonts w:ascii="宋体" w:hAnsi="宋体"/>
                <w:color w:val="auto"/>
                <w:szCs w:val="21"/>
                <w:highlight w:val="none"/>
              </w:rPr>
            </w:pPr>
          </w:p>
        </w:tc>
        <w:tc>
          <w:tcPr>
            <w:tcW w:w="5103" w:type="dxa"/>
            <w:noWrap w:val="0"/>
            <w:vAlign w:val="top"/>
          </w:tcPr>
          <w:p>
            <w:pPr>
              <w:spacing w:line="400" w:lineRule="exact"/>
              <w:ind w:firstLine="420" w:firstLineChars="200"/>
              <w:rPr>
                <w:rFonts w:ascii="宋体" w:hAnsi="宋体"/>
                <w:color w:val="auto"/>
                <w:szCs w:val="21"/>
                <w:highlight w:val="none"/>
              </w:rPr>
            </w:pPr>
          </w:p>
        </w:tc>
        <w:tc>
          <w:tcPr>
            <w:tcW w:w="1560" w:type="dxa"/>
            <w:noWrap w:val="0"/>
            <w:vAlign w:val="top"/>
          </w:tcPr>
          <w:p>
            <w:pPr>
              <w:spacing w:line="400" w:lineRule="exact"/>
              <w:ind w:firstLine="420" w:firstLineChars="20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9526" w:type="dxa"/>
            <w:gridSpan w:val="4"/>
            <w:noWrap w:val="0"/>
            <w:vAlign w:val="top"/>
          </w:tcPr>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小计：</w:t>
            </w:r>
          </w:p>
        </w:tc>
      </w:tr>
    </w:tbl>
    <w:p>
      <w:pPr>
        <w:spacing w:line="360" w:lineRule="auto"/>
        <w:ind w:firstLine="420" w:firstLineChars="200"/>
        <w:rPr>
          <w:rFonts w:ascii="宋体" w:hAnsi="宋体"/>
          <w:color w:val="auto"/>
          <w:szCs w:val="21"/>
          <w:highlight w:val="none"/>
        </w:rPr>
      </w:pPr>
    </w:p>
    <w:p>
      <w:pPr>
        <w:pStyle w:val="2"/>
        <w:spacing w:line="360" w:lineRule="auto"/>
        <w:rPr>
          <w:rFonts w:ascii="宋体" w:hAnsi="宋体"/>
          <w:color w:val="auto"/>
          <w:szCs w:val="21"/>
          <w:highlight w:val="none"/>
        </w:rPr>
      </w:pPr>
    </w:p>
    <w:p>
      <w:pPr>
        <w:spacing w:line="480" w:lineRule="auto"/>
        <w:ind w:firstLine="420" w:firstLineChars="200"/>
        <w:rPr>
          <w:rFonts w:ascii="宋体" w:hAnsi="宋体"/>
          <w:color w:val="auto"/>
          <w:szCs w:val="21"/>
          <w:highlight w:val="none"/>
        </w:rPr>
      </w:pPr>
      <w:r>
        <w:rPr>
          <w:rFonts w:ascii="宋体" w:hAnsi="宋体"/>
          <w:color w:val="auto"/>
          <w:szCs w:val="21"/>
          <w:highlight w:val="none"/>
        </w:rPr>
        <w:br w:type="page"/>
      </w:r>
    </w:p>
    <w:p>
      <w:pPr>
        <w:spacing w:line="480" w:lineRule="auto"/>
        <w:rPr>
          <w:rFonts w:ascii="宋体" w:hAnsi="宋体"/>
          <w:color w:val="auto"/>
          <w:szCs w:val="21"/>
          <w:highlight w:val="none"/>
        </w:rPr>
      </w:pPr>
      <w:r>
        <w:rPr>
          <w:rFonts w:hint="eastAsia" w:ascii="宋体" w:hAnsi="宋体"/>
          <w:color w:val="auto"/>
          <w:szCs w:val="21"/>
          <w:highlight w:val="none"/>
        </w:rPr>
        <w:t>附件8：廉洁从业协议</w:t>
      </w:r>
    </w:p>
    <w:p>
      <w:pPr>
        <w:spacing w:before="156" w:beforeLines="50" w:after="156" w:afterLines="50" w:line="480" w:lineRule="auto"/>
        <w:jc w:val="center"/>
        <w:rPr>
          <w:rFonts w:ascii="宋体" w:hAnsi="宋体"/>
          <w:color w:val="auto"/>
          <w:szCs w:val="21"/>
          <w:highlight w:val="none"/>
        </w:rPr>
      </w:pPr>
      <w:r>
        <w:rPr>
          <w:rFonts w:hint="eastAsia" w:ascii="宋体" w:hAnsi="宋体"/>
          <w:color w:val="auto"/>
          <w:szCs w:val="21"/>
          <w:highlight w:val="none"/>
        </w:rPr>
        <w:t>廉洁从业协议</w:t>
      </w:r>
    </w:p>
    <w:p>
      <w:pPr>
        <w:snapToGrid w:val="0"/>
        <w:spacing w:line="360" w:lineRule="auto"/>
        <w:ind w:firstLine="422" w:firstLineChars="200"/>
        <w:rPr>
          <w:rFonts w:ascii="宋体" w:hAnsi="宋体"/>
          <w:b/>
          <w:color w:val="auto"/>
          <w:szCs w:val="21"/>
          <w:highlight w:val="none"/>
          <w:u w:val="single"/>
        </w:rPr>
      </w:pPr>
      <w:r>
        <w:rPr>
          <w:rFonts w:hint="eastAsia" w:ascii="宋体" w:hAnsi="宋体"/>
          <w:b/>
          <w:color w:val="auto"/>
          <w:szCs w:val="21"/>
          <w:highlight w:val="none"/>
        </w:rPr>
        <w:t>发包人（全称）：</w:t>
      </w:r>
      <w:r>
        <w:rPr>
          <w:rFonts w:hint="eastAsia" w:ascii="宋体" w:hAnsi="宋体"/>
          <w:color w:val="auto"/>
          <w:szCs w:val="21"/>
          <w:highlight w:val="none"/>
          <w:u w:val="single"/>
        </w:rPr>
        <w:t xml:space="preserve">                             </w:t>
      </w:r>
    </w:p>
    <w:p>
      <w:pPr>
        <w:snapToGrid w:val="0"/>
        <w:spacing w:line="360" w:lineRule="auto"/>
        <w:ind w:firstLine="422" w:firstLineChars="200"/>
        <w:rPr>
          <w:rFonts w:ascii="宋体" w:hAnsi="宋体"/>
          <w:b/>
          <w:color w:val="auto"/>
          <w:szCs w:val="21"/>
          <w:highlight w:val="none"/>
          <w:u w:val="single"/>
        </w:rPr>
      </w:pPr>
      <w:r>
        <w:rPr>
          <w:rFonts w:hint="eastAsia" w:ascii="宋体" w:hAnsi="宋体"/>
          <w:b/>
          <w:color w:val="auto"/>
          <w:szCs w:val="21"/>
          <w:highlight w:val="none"/>
        </w:rPr>
        <w:t>承包人（全称）：</w:t>
      </w:r>
      <w:r>
        <w:rPr>
          <w:rFonts w:hint="eastAsia" w:ascii="宋体" w:hAnsi="宋体"/>
          <w:color w:val="auto"/>
          <w:szCs w:val="21"/>
          <w:highlight w:val="none"/>
          <w:u w:val="single"/>
        </w:rPr>
        <w:t xml:space="preserve">                             </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根据国家有关部门以及有关工程建设、廉政建设的规定，为做好工程建设中的党风廉政建设，保证工程建设高效优质，保证建设资金的安全和有效使用以及投资效益，建设工程的项目法人（以下简称“发包人”）与承包人（以下简称“承包人”），特订立如下协议。</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 xml:space="preserve"> 1. 发包人承包人的权利和义务</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（1）严格遵守党的政策规定和国家有关法律法规及相关部门的有关规定。</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（2）严格执行 工程的合同文件，自觉按合同办事。</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（3）双方的业务活动坚持公开、公正、诚信、透明的原则（法律认定的商业秘密和合同文件另有规定除外），不得损害国家和集体利益，违反工程建设管理规章制度。</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（4）建立健全廉政制度，开展廉政教育，设立廉政告示牌，公布举报电话，监督并认真查处违法违纪行为。</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（5）发现对方在业务活动中有违反廉政规定的行为，有及时提醒对方纠正的权利和义务。</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（6）发现对方严重违反协议义务条款的行为，有向其上级有关部门举报、建议给予处理并要求告知处理结果的权利。</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 发包人的义务</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（1）发包人及其工作人员不得索要或接受承包人的礼金、有价证券和贵重物品，不得在承包人报销任何应由发包人或发包人工作人员个人支付的费用等。</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（2）发包人工作人员不得参加承包人安排的超标准宴请和娱乐活动；不得接受承包人提供的通讯工具、交通工具和高档办公用品等。</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（3）发包人及其工作人员不得要求或者接受承包人为其住房装修、婚丧嫁娶活动、配偶子女的工作安排以及出国出境、旅游等提供方便等。</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（4）发包人工作人员及其配偶、子女不得从事与发包人工程有关的材料设备供应、工程分包、劳务等经济活动等。</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（5）发包人及其工作人员不得以任何理由向承包人推荐分包单位或推销材料，不得要求承包人购买合同规定外的材料和设备。</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（6）发包人工作人员要秉公办事，不准营私舞弊，不准利用职权从事各种个人有偿中介活动和安排个人施工队伍。</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3. 承包人义务</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（1）承包人不得以任何理由向发包人及其工作人员行贿或馈赠礼金、有价证券、贵重礼品。</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（2）承包人不得以任何名义为发包人及其工作人员报销应由发包人单位或个人支付的任何费用。</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（3）承包人不得以任何理由安排发包人工作人员参加超标准宴请及娱乐活动。</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（4）承包人不得为发包人单位和个人购置或提供通讯工具、交通工具和高档办公用品等。</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4. 违约责任</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（1）发包人及其工作人员违反合同第1、2条，按管理权限，依据有关规定给予党纪、政纪或组织处理；涉嫌犯罪的，移交司法机关追究刑事责任；给承包人单位造成经济损失的，应予以赔偿。</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（2）承包人及其工作人员违反合同第1、3条，按管理权限，依据有关规定给予党纪、政纪或组织处理；给发包人单位造成经济损失的，应予以赔偿。</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5. 双方约定：协议由双方或双方上级单位的纪检监察机关负责监督执行。由发包人或发包人上级单位的纪检监察机关约请承包人或承包人上级单位纪检监察机关对合同执行情况进行检查，提出在协议规定范围内的裁定意见。</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6. 协议有效期为甲乙双方签署之日起至该工程项目竣工验收后止。</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7.协议作为 工程施工合同的附件，与工程施工合同具有同等的法律效力，经合同双方签署立即生效。</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（以下无正文）</w:t>
      </w:r>
    </w:p>
    <w:p>
      <w:pPr>
        <w:spacing w:line="360" w:lineRule="auto"/>
        <w:rPr>
          <w:rFonts w:ascii="宋体" w:hAnsi="宋体"/>
          <w:color w:val="auto"/>
          <w:szCs w:val="21"/>
          <w:highlight w:val="none"/>
        </w:rPr>
      </w:pPr>
    </w:p>
    <w:p>
      <w:pPr>
        <w:pStyle w:val="2"/>
        <w:spacing w:line="360" w:lineRule="auto"/>
        <w:rPr>
          <w:rFonts w:ascii="宋体" w:hAnsi="宋体"/>
          <w:color w:val="auto"/>
          <w:szCs w:val="21"/>
          <w:highlight w:val="none"/>
        </w:rPr>
      </w:pPr>
    </w:p>
    <w:p>
      <w:pPr>
        <w:pStyle w:val="2"/>
        <w:spacing w:line="360" w:lineRule="auto"/>
        <w:rPr>
          <w:rFonts w:ascii="宋体" w:hAnsi="宋体"/>
          <w:color w:val="auto"/>
          <w:szCs w:val="21"/>
          <w:highlight w:val="none"/>
        </w:rPr>
      </w:pPr>
    </w:p>
    <w:p>
      <w:pPr>
        <w:spacing w:line="360" w:lineRule="auto"/>
        <w:rPr>
          <w:rFonts w:ascii="宋体" w:hAnsi="宋体"/>
          <w:color w:val="auto"/>
          <w:szCs w:val="21"/>
          <w:highlight w:val="none"/>
        </w:rPr>
      </w:pPr>
      <w:r>
        <w:rPr>
          <w:rFonts w:hint="eastAsia" w:ascii="宋体" w:hAnsi="宋体"/>
          <w:color w:val="auto"/>
          <w:szCs w:val="21"/>
          <w:highlight w:val="none"/>
        </w:rPr>
        <w:t>甲     方：                         乙     方：</w:t>
      </w:r>
    </w:p>
    <w:p>
      <w:pPr>
        <w:spacing w:line="360" w:lineRule="auto"/>
        <w:rPr>
          <w:rFonts w:ascii="宋体" w:hAnsi="宋体"/>
          <w:color w:val="auto"/>
          <w:szCs w:val="21"/>
          <w:highlight w:val="none"/>
        </w:rPr>
      </w:pPr>
    </w:p>
    <w:p>
      <w:pPr>
        <w:spacing w:line="360" w:lineRule="auto"/>
        <w:rPr>
          <w:rFonts w:ascii="宋体" w:hAnsi="宋体"/>
          <w:color w:val="auto"/>
          <w:szCs w:val="21"/>
          <w:highlight w:val="none"/>
        </w:rPr>
      </w:pPr>
    </w:p>
    <w:p>
      <w:pPr>
        <w:spacing w:line="360" w:lineRule="auto"/>
        <w:rPr>
          <w:rFonts w:ascii="宋体" w:hAnsi="宋体"/>
          <w:color w:val="auto"/>
          <w:szCs w:val="21"/>
          <w:highlight w:val="none"/>
        </w:rPr>
      </w:pPr>
      <w:r>
        <w:rPr>
          <w:rFonts w:hint="eastAsia" w:ascii="宋体" w:hAnsi="宋体"/>
          <w:color w:val="auto"/>
          <w:szCs w:val="21"/>
          <w:highlight w:val="none"/>
        </w:rPr>
        <w:t xml:space="preserve">法定代表人                          法定代表人                      </w:t>
      </w:r>
    </w:p>
    <w:p>
      <w:pPr>
        <w:spacing w:line="360" w:lineRule="auto"/>
        <w:rPr>
          <w:rFonts w:ascii="宋体" w:hAnsi="宋体"/>
          <w:color w:val="auto"/>
          <w:szCs w:val="21"/>
          <w:highlight w:val="none"/>
        </w:rPr>
      </w:pPr>
    </w:p>
    <w:p>
      <w:pPr>
        <w:spacing w:line="360" w:lineRule="auto"/>
        <w:rPr>
          <w:rFonts w:ascii="宋体" w:hAnsi="宋体"/>
          <w:color w:val="auto"/>
          <w:szCs w:val="21"/>
          <w:highlight w:val="none"/>
        </w:rPr>
      </w:pPr>
    </w:p>
    <w:p>
      <w:pPr>
        <w:spacing w:line="360" w:lineRule="auto"/>
        <w:rPr>
          <w:rFonts w:ascii="宋体" w:hAnsi="宋体"/>
          <w:color w:val="auto"/>
          <w:szCs w:val="21"/>
          <w:highlight w:val="none"/>
        </w:rPr>
      </w:pPr>
      <w:r>
        <w:rPr>
          <w:rFonts w:hint="eastAsia" w:ascii="宋体" w:hAnsi="宋体"/>
          <w:color w:val="auto"/>
          <w:szCs w:val="21"/>
          <w:highlight w:val="none"/>
        </w:rPr>
        <w:t>或其授权的代理人：                  或授权的代理人：</w:t>
      </w:r>
    </w:p>
    <w:p>
      <w:pPr>
        <w:spacing w:line="480" w:lineRule="auto"/>
        <w:rPr>
          <w:rFonts w:ascii="宋体" w:hAnsi="宋体"/>
          <w:color w:val="auto"/>
          <w:szCs w:val="21"/>
          <w:highlight w:val="none"/>
        </w:rPr>
      </w:pPr>
      <w:r>
        <w:rPr>
          <w:rFonts w:hint="eastAsia" w:ascii="宋体" w:hAnsi="宋体"/>
          <w:color w:val="auto"/>
          <w:szCs w:val="21"/>
          <w:highlight w:val="none"/>
        </w:rPr>
        <w:br w:type="page"/>
      </w:r>
      <w:r>
        <w:rPr>
          <w:rFonts w:hint="eastAsia" w:ascii="宋体" w:hAnsi="宋体"/>
          <w:color w:val="auto"/>
          <w:szCs w:val="21"/>
          <w:highlight w:val="none"/>
        </w:rPr>
        <w:t>附件9：安全管理协议</w:t>
      </w:r>
    </w:p>
    <w:p>
      <w:pPr>
        <w:spacing w:before="156" w:beforeLines="50" w:after="156" w:afterLines="50" w:line="480" w:lineRule="auto"/>
        <w:jc w:val="center"/>
        <w:rPr>
          <w:rFonts w:ascii="宋体" w:hAnsi="宋体"/>
          <w:color w:val="auto"/>
          <w:szCs w:val="21"/>
          <w:highlight w:val="none"/>
        </w:rPr>
      </w:pPr>
      <w:bookmarkStart w:id="1397" w:name="_Toc247431422"/>
      <w:bookmarkStart w:id="1398" w:name="_Toc435690184"/>
      <w:bookmarkStart w:id="1399" w:name="_Toc336680145"/>
      <w:bookmarkStart w:id="1400" w:name="_Toc435689499"/>
      <w:bookmarkStart w:id="1401" w:name="_Toc239510288"/>
      <w:bookmarkStart w:id="1402" w:name="_Toc448406299"/>
      <w:r>
        <w:rPr>
          <w:rFonts w:hint="eastAsia" w:ascii="宋体" w:hAnsi="宋体"/>
          <w:color w:val="auto"/>
          <w:szCs w:val="21"/>
          <w:highlight w:val="none"/>
        </w:rPr>
        <w:t>安全管理协议</w:t>
      </w:r>
      <w:bookmarkEnd w:id="1397"/>
      <w:bookmarkEnd w:id="1398"/>
      <w:bookmarkEnd w:id="1399"/>
      <w:bookmarkEnd w:id="1400"/>
      <w:bookmarkEnd w:id="1401"/>
      <w:bookmarkEnd w:id="1402"/>
    </w:p>
    <w:p>
      <w:pPr>
        <w:snapToGrid w:val="0"/>
        <w:spacing w:line="360" w:lineRule="auto"/>
        <w:ind w:firstLine="422" w:firstLineChars="200"/>
        <w:rPr>
          <w:rFonts w:ascii="宋体" w:hAnsi="宋体"/>
          <w:b/>
          <w:color w:val="auto"/>
          <w:szCs w:val="21"/>
          <w:highlight w:val="none"/>
          <w:u w:val="single"/>
        </w:rPr>
      </w:pPr>
      <w:r>
        <w:rPr>
          <w:rFonts w:hint="eastAsia" w:ascii="宋体" w:hAnsi="宋体"/>
          <w:b/>
          <w:color w:val="auto"/>
          <w:szCs w:val="21"/>
          <w:highlight w:val="none"/>
        </w:rPr>
        <w:t>发包人（全称）：</w:t>
      </w:r>
      <w:r>
        <w:rPr>
          <w:rFonts w:hint="eastAsia" w:ascii="宋体" w:hAnsi="宋体"/>
          <w:color w:val="auto"/>
          <w:szCs w:val="21"/>
          <w:highlight w:val="none"/>
          <w:u w:val="single"/>
        </w:rPr>
        <w:t xml:space="preserve">                             </w:t>
      </w:r>
    </w:p>
    <w:p>
      <w:pPr>
        <w:snapToGrid w:val="0"/>
        <w:spacing w:line="360" w:lineRule="auto"/>
        <w:ind w:firstLine="422" w:firstLineChars="200"/>
        <w:rPr>
          <w:rFonts w:ascii="宋体" w:hAnsi="宋体"/>
          <w:b/>
          <w:color w:val="auto"/>
          <w:szCs w:val="21"/>
          <w:highlight w:val="none"/>
          <w:u w:val="single"/>
        </w:rPr>
      </w:pPr>
      <w:r>
        <w:rPr>
          <w:rFonts w:hint="eastAsia" w:ascii="宋体" w:hAnsi="宋体"/>
          <w:b/>
          <w:color w:val="auto"/>
          <w:szCs w:val="21"/>
          <w:highlight w:val="none"/>
        </w:rPr>
        <w:t>承包人（全称）：</w:t>
      </w:r>
      <w:r>
        <w:rPr>
          <w:rFonts w:hint="eastAsia" w:ascii="宋体" w:hAnsi="宋体"/>
          <w:color w:val="auto"/>
          <w:szCs w:val="21"/>
          <w:highlight w:val="none"/>
          <w:u w:val="single"/>
        </w:rPr>
        <w:t xml:space="preserve">                             </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为了确保实现</w:t>
      </w:r>
      <w:r>
        <w:rPr>
          <w:rFonts w:hint="eastAsia" w:ascii="宋体" w:hAnsi="宋体"/>
          <w:color w:val="auto"/>
          <w:szCs w:val="21"/>
          <w:highlight w:val="none"/>
          <w:u w:val="single"/>
        </w:rPr>
        <w:t xml:space="preserve">        </w:t>
      </w:r>
      <w:r>
        <w:rPr>
          <w:rFonts w:hint="eastAsia" w:ascii="宋体" w:hAnsi="宋体"/>
          <w:color w:val="auto"/>
          <w:szCs w:val="21"/>
          <w:highlight w:val="none"/>
        </w:rPr>
        <w:t>安全生产目标，进一步明确双方的安全管理责任，加强安全生产管理工作的协调、管理力度，</w:t>
      </w:r>
      <w:r>
        <w:rPr>
          <w:rFonts w:hint="eastAsia" w:ascii="宋体" w:hAnsi="宋体"/>
          <w:color w:val="auto"/>
          <w:szCs w:val="21"/>
          <w:highlight w:val="none"/>
          <w:u w:val="single"/>
        </w:rPr>
        <w:t xml:space="preserve">        </w:t>
      </w:r>
      <w:r>
        <w:rPr>
          <w:rFonts w:hint="eastAsia" w:ascii="宋体" w:hAnsi="宋体"/>
          <w:color w:val="auto"/>
          <w:szCs w:val="21"/>
          <w:highlight w:val="none"/>
        </w:rPr>
        <w:t>（以下简称“发包人”）与</w:t>
      </w:r>
      <w:r>
        <w:rPr>
          <w:rFonts w:hint="eastAsia" w:ascii="宋体" w:hAnsi="宋体"/>
          <w:color w:val="auto"/>
          <w:szCs w:val="21"/>
          <w:highlight w:val="none"/>
          <w:u w:val="single"/>
        </w:rPr>
        <w:t xml:space="preserve">        </w:t>
      </w:r>
      <w:r>
        <w:rPr>
          <w:rFonts w:hint="eastAsia" w:ascii="宋体" w:hAnsi="宋体"/>
          <w:color w:val="auto"/>
          <w:szCs w:val="21"/>
          <w:highlight w:val="none"/>
        </w:rPr>
        <w:t>（以下简称“承包人”）依据国家安全生产相关的法律、法规和安全方面的强制性国家标准或行业标准，双方同意签订该协议作为正式合同安全管理方面的补充规定，并承诺本协议具有与合同相同的法律效力。具体条款如下：</w:t>
      </w:r>
    </w:p>
    <w:p>
      <w:pPr>
        <w:spacing w:line="360" w:lineRule="auto"/>
        <w:ind w:firstLine="420" w:firstLineChars="200"/>
        <w:rPr>
          <w:rFonts w:ascii="宋体" w:hAnsi="宋体"/>
          <w:color w:val="auto"/>
          <w:szCs w:val="21"/>
          <w:highlight w:val="none"/>
        </w:rPr>
      </w:pPr>
      <w:bookmarkStart w:id="1403" w:name="_Toc532375700"/>
      <w:bookmarkStart w:id="1404" w:name="_Toc239510289"/>
      <w:bookmarkStart w:id="1405" w:name="_Toc247418263"/>
      <w:bookmarkStart w:id="1406" w:name="_Toc247431423"/>
      <w:r>
        <w:rPr>
          <w:rFonts w:hint="eastAsia" w:ascii="宋体" w:hAnsi="宋体"/>
          <w:color w:val="auto"/>
          <w:szCs w:val="21"/>
          <w:highlight w:val="none"/>
        </w:rPr>
        <w:t>一、协议有效期限</w:t>
      </w:r>
      <w:bookmarkEnd w:id="1403"/>
      <w:bookmarkEnd w:id="1404"/>
      <w:bookmarkEnd w:id="1405"/>
      <w:bookmarkEnd w:id="1406"/>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本协议中所涉及的安全管理责任自合同签订之日起开始生效，至合同工程全部完工验收且经发包人与承包人签订移交协议生效后之日终止。</w:t>
      </w:r>
    </w:p>
    <w:p>
      <w:pPr>
        <w:spacing w:line="360" w:lineRule="auto"/>
        <w:ind w:firstLine="420" w:firstLineChars="200"/>
        <w:rPr>
          <w:rFonts w:ascii="宋体" w:hAnsi="宋体"/>
          <w:color w:val="auto"/>
          <w:szCs w:val="21"/>
          <w:highlight w:val="none"/>
        </w:rPr>
      </w:pPr>
      <w:bookmarkStart w:id="1407" w:name="_Toc239510290"/>
      <w:bookmarkStart w:id="1408" w:name="_Toc532375701"/>
      <w:bookmarkStart w:id="1409" w:name="_Toc247431424"/>
      <w:bookmarkStart w:id="1410" w:name="_Toc247418264"/>
      <w:r>
        <w:rPr>
          <w:rFonts w:hint="eastAsia" w:ascii="宋体" w:hAnsi="宋体"/>
          <w:color w:val="auto"/>
          <w:szCs w:val="21"/>
          <w:highlight w:val="none"/>
        </w:rPr>
        <w:t>二、责任目标</w:t>
      </w:r>
      <w:bookmarkEnd w:id="1407"/>
      <w:bookmarkEnd w:id="1408"/>
      <w:bookmarkEnd w:id="1409"/>
      <w:bookmarkEnd w:id="1410"/>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（一）承包人承诺承担和履行合同和发包人所规定的安全责任，且满足要求。</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（二）承包人的安全控制目标是确保本工程在实施过程中：</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1．不发生人身重伤事故；</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2．不发生火灾事故；</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3．不发生负有同等及以上事故责任的造成人身重伤的一般交通事故；</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4．不发生集体食物中毒事件（同时5人及以上的食物中毒）；</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5．不发生流行性传染病 （无甲型传染病、其他常见传染病未形成多人同时患病）；</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6．不发生重大环境污染事件（生活、工业垃圾及其他污染物造成环境污染和大面积水土流失）；</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7．不发生对施工区附近生产、生活造成重大影响的事件（如造成重大设备损坏、重大财产损失、人员伤害等）；</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8．不发生治安保卫事件（构成刑事拘留及以上的事件、盗窃直接损失超过1万元人民币的事件）。</w:t>
      </w:r>
    </w:p>
    <w:p>
      <w:pPr>
        <w:spacing w:line="360" w:lineRule="auto"/>
        <w:ind w:firstLine="420" w:firstLineChars="200"/>
        <w:jc w:val="left"/>
        <w:rPr>
          <w:rFonts w:ascii="宋体" w:hAnsi="宋体"/>
          <w:color w:val="auto"/>
          <w:szCs w:val="21"/>
          <w:highlight w:val="none"/>
        </w:rPr>
      </w:pPr>
      <w:bookmarkStart w:id="1411" w:name="_Toc247431425"/>
      <w:bookmarkStart w:id="1412" w:name="_Toc239510291"/>
      <w:bookmarkStart w:id="1413" w:name="_Toc247418265"/>
      <w:r>
        <w:rPr>
          <w:rFonts w:hint="eastAsia" w:ascii="宋体" w:hAnsi="宋体"/>
          <w:color w:val="auto"/>
          <w:szCs w:val="21"/>
          <w:highlight w:val="none"/>
        </w:rPr>
        <w:t>（三）承包人承诺在施工中控制以下安全事故的发生：</w:t>
      </w:r>
      <w:bookmarkEnd w:id="1411"/>
      <w:bookmarkEnd w:id="1412"/>
      <w:bookmarkEnd w:id="1413"/>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1．人员轻伤事故。</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2．负有同等及以上事故责任的人身轻伤交通事故。</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3．其他安全未遂事故和异常事件。</w:t>
      </w:r>
    </w:p>
    <w:p>
      <w:pPr>
        <w:spacing w:line="360" w:lineRule="auto"/>
        <w:ind w:firstLine="420" w:firstLineChars="200"/>
        <w:rPr>
          <w:rFonts w:ascii="宋体" w:hAnsi="宋体"/>
          <w:color w:val="auto"/>
          <w:szCs w:val="21"/>
          <w:highlight w:val="none"/>
        </w:rPr>
      </w:pPr>
      <w:bookmarkStart w:id="1414" w:name="_Toc239510292"/>
      <w:bookmarkStart w:id="1415" w:name="_Toc247431426"/>
      <w:bookmarkStart w:id="1416" w:name="_Toc532375702"/>
      <w:bookmarkStart w:id="1417" w:name="_Toc247418266"/>
      <w:r>
        <w:rPr>
          <w:rFonts w:hint="eastAsia" w:ascii="宋体" w:hAnsi="宋体"/>
          <w:color w:val="auto"/>
          <w:szCs w:val="21"/>
          <w:highlight w:val="none"/>
        </w:rPr>
        <w:t>三、安全责任</w:t>
      </w:r>
      <w:bookmarkEnd w:id="1414"/>
      <w:bookmarkEnd w:id="1415"/>
      <w:bookmarkEnd w:id="1416"/>
      <w:bookmarkEnd w:id="1417"/>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1．承包人负有安全生产的管理责任和直接责任。</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2．承包人的法人或签署合同的公司总经理或受委托的代理人对合同安全负有全面的领导责任。</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3．承包人项目经理对施工现场的安全工作负有全面的直接领导责任。</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4．承包人保证执行“谁施工、谁负责”的施工安全原则。</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5．承包人保证服从发包人对安全工作的统一协调和管理。</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6．承包人保证对本工程项目安全生产条件及其管理资源自行投入，保证安全资金的专款专用。</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7．承包人保证建立本工程项目的安全管理体系及安全保证体系（注：项目安全管理大纲/手册、管理性的程序文件等）。</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8．承包人保证现场的安全管理专职人员必须持有建设主管部门安全生产培训考核合格证书。</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9．承包人保证为现场所有工作人员（含分包商员工及劳务人员）配备符合国家标准的有承包人和/或其下属分包商标志的个人基本劳动保护用品。</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10．承包人保证按照国家法律规定为现场所有工作人员（含分包商员工及劳务人员）购买意外伤害保险。</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11．承包人保证施工生活营地（包括自建的和租用的营地）满足消防、安全用电、卫生防疫、防暴雨、防雷击等方面的安全要求。</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12．承包人保证对带入现场的设备、工具、材料按照国家法规和标准进行检测、试验，并持有法定部门出具的检验证书。</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13．承包人保证制订施工现场的文明施工措施，保护环境、树木和植被，保持施工现场的良好秩序和整洁的作业环境。</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14．承包人负责在施工过程中与当地政府、周边群众及其他承包商保持良好的沟通和交流。承包人遇到与周边群众发生纠纷时，应负责协调工作，确保工程能够顺利进行。</w:t>
      </w:r>
    </w:p>
    <w:p>
      <w:pPr>
        <w:spacing w:line="360" w:lineRule="auto"/>
        <w:ind w:firstLine="420" w:firstLineChars="200"/>
        <w:rPr>
          <w:rFonts w:ascii="宋体" w:hAnsi="宋体"/>
          <w:color w:val="auto"/>
          <w:szCs w:val="21"/>
          <w:highlight w:val="none"/>
        </w:rPr>
      </w:pPr>
      <w:bookmarkStart w:id="1418" w:name="_Toc532375703"/>
      <w:bookmarkStart w:id="1419" w:name="_Toc239510293"/>
      <w:bookmarkStart w:id="1420" w:name="_Toc247418267"/>
      <w:bookmarkStart w:id="1421" w:name="_Toc247431427"/>
      <w:r>
        <w:rPr>
          <w:rFonts w:hint="eastAsia" w:ascii="宋体" w:hAnsi="宋体"/>
          <w:color w:val="auto"/>
          <w:szCs w:val="21"/>
          <w:highlight w:val="none"/>
        </w:rPr>
        <w:t>四、接口及协调</w:t>
      </w:r>
      <w:bookmarkEnd w:id="1418"/>
      <w:bookmarkEnd w:id="1419"/>
      <w:bookmarkEnd w:id="1420"/>
      <w:bookmarkEnd w:id="1421"/>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1．发包人委托监理公司对该工程实施监理，监理公司在安全管理方面代表发包人行使监督检查职能，承包人必须给予配合和支持。</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2．承包人人员、车辆的出入，带入现场的设备、机具、材料，在现场使用的或直接管理的办公、生活、生产性设施的安全管理须满足发包人现场管理的基本要求。</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3．承包人应指定专职安全管理人员与发包人委托的监理公司接口，参与安全协调和管理。安全协调和管理的内容包括职业健康、工业安全、消防安全、卫生防疫、交通安全、环境保护、治安保卫等各方面。</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4．承包人的专职安全管理人员应具备协调安全工作的能力和授权。发包人委托的监理公司有权对专职安全管理人员的能力和权力做出评价，对于不能胜任的专职安全管理人员，发包人委托的监理公司有权要求承包人换人。</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5．承包人指定的专职安全管理人员应与发包人委托的监理公司建立联系，在业务上接受发包人委托的监理公司的协调和指导。</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6．开工后承包人的专职安全管理人员应按照发包人委托的监理公司的规定，定期报送安全月度快报、季报、年报和各种专项事故报告等。</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7．在工程实体未全部正式移交发包人施工管理部门之前，承包人依旧对施工范围内的安全管理负责。</w:t>
      </w:r>
    </w:p>
    <w:p>
      <w:pPr>
        <w:spacing w:line="360" w:lineRule="auto"/>
        <w:ind w:firstLine="420" w:firstLineChars="200"/>
        <w:rPr>
          <w:rFonts w:ascii="宋体" w:hAnsi="宋体"/>
          <w:color w:val="auto"/>
          <w:szCs w:val="21"/>
          <w:highlight w:val="none"/>
        </w:rPr>
      </w:pPr>
      <w:bookmarkStart w:id="1422" w:name="_Toc247431428"/>
      <w:bookmarkStart w:id="1423" w:name="_Toc247418268"/>
      <w:bookmarkStart w:id="1424" w:name="_Toc532375704"/>
      <w:bookmarkStart w:id="1425" w:name="_Toc239510294"/>
      <w:r>
        <w:rPr>
          <w:rFonts w:hint="eastAsia" w:ascii="宋体" w:hAnsi="宋体"/>
          <w:color w:val="auto"/>
          <w:szCs w:val="21"/>
          <w:highlight w:val="none"/>
        </w:rPr>
        <w:t>五、安全资质审查</w:t>
      </w:r>
      <w:bookmarkEnd w:id="1422"/>
      <w:bookmarkEnd w:id="1423"/>
      <w:bookmarkEnd w:id="1424"/>
      <w:bookmarkEnd w:id="1425"/>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承包人在项目开工前5个工作天内向发包人委托的监理公司提供以下安全资质供审查和存档：</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1．企业安全生产许可证书复印件。</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2．企业近三年的施工简历及安全施工业绩证明文件。</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3．企业主要安全管理人员（包括项目经理、专职安全管理人员）经建设主管部门安全生产知识考核合格证书。</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4．特种作业人员资格证书。</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5．项目安全管理机构及其人员配备（承包人必须配有专职的安全员）。</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6．适用于项目的安全管理体系及保证体系文件（安全管理大纲及管理程序文件）。</w:t>
      </w:r>
    </w:p>
    <w:p>
      <w:pPr>
        <w:spacing w:line="360" w:lineRule="auto"/>
        <w:ind w:firstLine="420" w:firstLineChars="200"/>
        <w:rPr>
          <w:rFonts w:ascii="宋体" w:hAnsi="宋体"/>
          <w:color w:val="auto"/>
          <w:szCs w:val="21"/>
          <w:highlight w:val="none"/>
        </w:rPr>
      </w:pPr>
      <w:bookmarkStart w:id="1426" w:name="_Toc247431429"/>
      <w:bookmarkStart w:id="1427" w:name="_Toc532375705"/>
      <w:bookmarkStart w:id="1428" w:name="_Toc239510295"/>
      <w:bookmarkStart w:id="1429" w:name="_Toc247418269"/>
      <w:r>
        <w:rPr>
          <w:rFonts w:hint="eastAsia" w:ascii="宋体" w:hAnsi="宋体"/>
          <w:color w:val="auto"/>
          <w:szCs w:val="21"/>
          <w:highlight w:val="none"/>
        </w:rPr>
        <w:t>六、人员基本素质</w:t>
      </w:r>
      <w:bookmarkEnd w:id="1426"/>
      <w:bookmarkEnd w:id="1427"/>
      <w:bookmarkEnd w:id="1428"/>
      <w:bookmarkEnd w:id="1429"/>
    </w:p>
    <w:p>
      <w:pPr>
        <w:spacing w:line="360" w:lineRule="auto"/>
        <w:ind w:firstLine="420" w:firstLineChars="200"/>
        <w:jc w:val="left"/>
        <w:rPr>
          <w:rFonts w:hint="eastAsia" w:ascii="宋体" w:hAnsi="宋体"/>
          <w:color w:val="auto"/>
          <w:szCs w:val="21"/>
          <w:highlight w:val="none"/>
        </w:rPr>
      </w:pPr>
      <w:r>
        <w:rPr>
          <w:rFonts w:hint="eastAsia" w:ascii="宋体" w:hAnsi="宋体"/>
          <w:color w:val="auto"/>
          <w:szCs w:val="21"/>
          <w:highlight w:val="none"/>
        </w:rPr>
        <w:t>承包人提供的人员必须满足下列要求：</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1．身体健康，无影响工作的精神疾病、无传染病和其他重大疾病；承包人需对其雇用的施工人员签发健康声明并保证其健康。其中体检证明材料（县级以上医院）和健康声明作为人员办理入场证件的必备材料。</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2．无刑事案件牵连。</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3．无吸毒、酗酒、赌博、嫖娼等恶习及违法行为。</w:t>
      </w:r>
    </w:p>
    <w:p>
      <w:pPr>
        <w:spacing w:line="360" w:lineRule="auto"/>
        <w:ind w:firstLine="420" w:firstLineChars="200"/>
        <w:rPr>
          <w:rFonts w:ascii="宋体" w:hAnsi="宋体"/>
          <w:color w:val="auto"/>
          <w:szCs w:val="21"/>
          <w:highlight w:val="none"/>
        </w:rPr>
      </w:pPr>
      <w:bookmarkStart w:id="1430" w:name="_Toc247431430"/>
      <w:bookmarkStart w:id="1431" w:name="_Toc532375706"/>
      <w:bookmarkStart w:id="1432" w:name="_Toc239510296"/>
      <w:bookmarkStart w:id="1433" w:name="_Toc247418270"/>
      <w:r>
        <w:rPr>
          <w:rFonts w:hint="eastAsia" w:ascii="宋体" w:hAnsi="宋体"/>
          <w:color w:val="auto"/>
          <w:szCs w:val="21"/>
          <w:highlight w:val="none"/>
        </w:rPr>
        <w:t>七、劳动保护</w:t>
      </w:r>
      <w:bookmarkEnd w:id="1430"/>
      <w:bookmarkEnd w:id="1431"/>
      <w:bookmarkEnd w:id="1432"/>
      <w:bookmarkEnd w:id="1433"/>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1．承包人负责为本单位任何用工形式的员工提供个人劳动保护用品（包括工作服、安全帽、安全鞋等）。</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2．承包人负责向特殊工种的员工提供特殊劳动保护，否则不得从事特殊工种作业。</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3．发包人委托的监理公司有权检查承包人的个人劳动保护用品是否符合国家的相应标准。</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4． 承包人在特殊风险场所作业而需要特殊防护用品或安全仪表时，必须在上述防护用品全部到位后才能开工。</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5．承包人应配备临时安全围栏、警示带、警告标志、防火布等集体防护用品。</w:t>
      </w:r>
    </w:p>
    <w:p>
      <w:pPr>
        <w:spacing w:line="360" w:lineRule="auto"/>
        <w:ind w:firstLine="420" w:firstLineChars="200"/>
        <w:rPr>
          <w:rFonts w:ascii="宋体" w:hAnsi="宋体"/>
          <w:color w:val="auto"/>
          <w:szCs w:val="21"/>
          <w:highlight w:val="none"/>
        </w:rPr>
      </w:pPr>
      <w:bookmarkStart w:id="1434" w:name="_Toc247418271"/>
      <w:bookmarkStart w:id="1435" w:name="_Toc532375707"/>
      <w:bookmarkStart w:id="1436" w:name="_Toc239510297"/>
      <w:bookmarkStart w:id="1437" w:name="_Toc247431431"/>
      <w:r>
        <w:rPr>
          <w:rFonts w:hint="eastAsia" w:ascii="宋体" w:hAnsi="宋体"/>
          <w:color w:val="auto"/>
          <w:szCs w:val="21"/>
          <w:highlight w:val="none"/>
        </w:rPr>
        <w:t>八、施工机具与材料</w:t>
      </w:r>
      <w:bookmarkEnd w:id="1434"/>
      <w:bookmarkEnd w:id="1435"/>
      <w:bookmarkEnd w:id="1436"/>
      <w:bookmarkEnd w:id="1437"/>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1．承包人对带入现场的施工机械和工器具的安全负责。</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2．对于承包人带入现场的特殊工器具，如起重设备、索具、机动车辆、压缩气瓶等，承包人必须按国家法规和标准进行检测、试验，并持有法定部门出具的检验证书。</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3．对于不属于法定检测的工器具，承包人也必须建立相应的管理、检测制度，这些工器具包括登高工具、脚手架材料、电动工具、安全防护设备及用具等。</w:t>
      </w:r>
    </w:p>
    <w:p>
      <w:pPr>
        <w:spacing w:line="360" w:lineRule="auto"/>
        <w:ind w:firstLine="420" w:firstLineChars="200"/>
        <w:rPr>
          <w:rFonts w:ascii="宋体" w:hAnsi="宋体"/>
          <w:color w:val="auto"/>
          <w:szCs w:val="21"/>
          <w:highlight w:val="none"/>
        </w:rPr>
      </w:pPr>
      <w:bookmarkStart w:id="1438" w:name="_Toc247431432"/>
      <w:bookmarkStart w:id="1439" w:name="_Toc532375708"/>
      <w:bookmarkStart w:id="1440" w:name="_Toc239510298"/>
      <w:bookmarkStart w:id="1441" w:name="_Toc247418272"/>
      <w:r>
        <w:rPr>
          <w:rFonts w:hint="eastAsia" w:ascii="宋体" w:hAnsi="宋体"/>
          <w:color w:val="auto"/>
          <w:szCs w:val="21"/>
          <w:highlight w:val="none"/>
        </w:rPr>
        <w:t>九、开工前安全条件检查</w:t>
      </w:r>
      <w:bookmarkEnd w:id="1438"/>
      <w:bookmarkEnd w:id="1439"/>
      <w:bookmarkEnd w:id="1440"/>
      <w:bookmarkEnd w:id="1441"/>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发包人委托的监理公司将在合同生效后，工程项目正式开工5个工作日前，依据合同安全条款的要求逐项对承包人安全准备情况进行检查。不满足开工安全条件时，承包人将不得开工，由此产生的工期和成本的影响，由承包人自行负责。</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2．开工前安全条件检查的基本内容包括：安全管理体系建设、安全资金投入、危险源识别和安全风险分析、施工机械的安全状况、安全工器具和材料、安全培训教材和教员、专职安全人员的到岗情况、培训的有效性、人员控制、个人劳动保护用品配备等内容。</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3．发包人委托的监理公司检查发现的缺陷，承包人应在规定期限内完成整改。对于重大缺陷，发包人委托的监理公司有权要求承包人推迟开工，由此对工期产生的影响或经济损失，由承包人承担。</w:t>
      </w:r>
    </w:p>
    <w:p>
      <w:pPr>
        <w:spacing w:line="360" w:lineRule="auto"/>
        <w:ind w:firstLine="420" w:firstLineChars="200"/>
        <w:rPr>
          <w:rFonts w:ascii="宋体" w:hAnsi="宋体"/>
          <w:color w:val="auto"/>
          <w:szCs w:val="21"/>
          <w:highlight w:val="none"/>
        </w:rPr>
      </w:pPr>
      <w:bookmarkStart w:id="1442" w:name="_Toc239510299"/>
      <w:bookmarkStart w:id="1443" w:name="_Toc532375709"/>
      <w:bookmarkStart w:id="1444" w:name="_Toc247431433"/>
      <w:bookmarkStart w:id="1445" w:name="_Toc247418273"/>
      <w:r>
        <w:rPr>
          <w:rFonts w:hint="eastAsia" w:ascii="宋体" w:hAnsi="宋体"/>
          <w:color w:val="auto"/>
          <w:szCs w:val="21"/>
          <w:highlight w:val="none"/>
        </w:rPr>
        <w:t>十、安全监督</w:t>
      </w:r>
      <w:bookmarkEnd w:id="1442"/>
      <w:bookmarkEnd w:id="1443"/>
      <w:bookmarkEnd w:id="1444"/>
      <w:bookmarkEnd w:id="1445"/>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1．承包人应配备有满足项目安全管理需要的专职安全管理人员。</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2．承包人的专职安全管理人员必须持建设主管部门颁发的安全生产知识考核合格证书。</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3．承包人的专职安全管理人员在业务上接受发包人委托的监理公司和发包人安全管理部门的协调和指导。</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4．承包人应建立班前安全交底制度；施工期间坚持开展安全检查和日常安全监督并形成相应的记录。</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5．承包人应在每个作业区任命兼职安全员，赋予兼职安全员相应的授权和义务，并对兼职安全员进行定期考核。</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6．承包人应接受和配合发包人专业部门及委托的监理公司的监督与安全评价。</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7．发包人和委托的监理公司有权对承包人履行安全管理协议的情况进行监督，并有权对违章行为实行停工和处罚，处罚情况将通知承包人。涉及经济处罚时将直接通知合同管理部门从合同结算中扣除。</w:t>
      </w:r>
    </w:p>
    <w:p>
      <w:pPr>
        <w:spacing w:line="360" w:lineRule="auto"/>
        <w:ind w:firstLine="420" w:firstLineChars="200"/>
        <w:rPr>
          <w:rFonts w:ascii="宋体" w:hAnsi="宋体"/>
          <w:color w:val="auto"/>
          <w:szCs w:val="21"/>
          <w:highlight w:val="none"/>
        </w:rPr>
      </w:pPr>
      <w:bookmarkStart w:id="1446" w:name="_Toc247431434"/>
      <w:bookmarkStart w:id="1447" w:name="_Toc239510300"/>
      <w:bookmarkStart w:id="1448" w:name="_Toc532375710"/>
      <w:bookmarkStart w:id="1449" w:name="_Toc247418274"/>
      <w:r>
        <w:rPr>
          <w:rFonts w:hint="eastAsia" w:ascii="宋体" w:hAnsi="宋体"/>
          <w:color w:val="auto"/>
          <w:szCs w:val="21"/>
          <w:highlight w:val="none"/>
        </w:rPr>
        <w:t>十一、安全培训与授权</w:t>
      </w:r>
      <w:bookmarkEnd w:id="1446"/>
      <w:bookmarkEnd w:id="1447"/>
      <w:bookmarkEnd w:id="1448"/>
      <w:bookmarkEnd w:id="1449"/>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1．承包人所有特殊工种人员必须持证上岗，发包人和发包人委托的监理公司有权对其进行抽查。承包人要建立特殊工种定期培训和检查计划，这些工种包括但不限于：机动车驾驶员、焊工、起重工、电工等。</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2．承包人应在特殊工种之外的其他工种中，筛选出高风险工种，并对其开展针对性的专题安全培训。</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3．承包人应组织 “入场培训”和考核。发包人委托的监理公司有权监督培训、考核情况或组织抽查考核。</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4．承包人应建立安全培训和考核机制，编制培训教材和培训滚动计划。承包人应组织安全考试/考核，建立培训考核记录，发包人委托的监理公司有权查看这些记录。</w:t>
      </w:r>
    </w:p>
    <w:p>
      <w:pPr>
        <w:spacing w:line="360" w:lineRule="auto"/>
        <w:ind w:firstLine="420" w:firstLineChars="200"/>
        <w:rPr>
          <w:rFonts w:ascii="宋体" w:hAnsi="宋体"/>
          <w:color w:val="auto"/>
          <w:szCs w:val="21"/>
          <w:highlight w:val="none"/>
        </w:rPr>
      </w:pPr>
      <w:bookmarkStart w:id="1450" w:name="_Toc532375711"/>
      <w:bookmarkStart w:id="1451" w:name="_Toc247418275"/>
      <w:bookmarkStart w:id="1452" w:name="_Toc247431435"/>
      <w:bookmarkStart w:id="1453" w:name="_Toc239510301"/>
      <w:r>
        <w:rPr>
          <w:rFonts w:hint="eastAsia" w:ascii="宋体" w:hAnsi="宋体"/>
          <w:color w:val="auto"/>
          <w:szCs w:val="21"/>
          <w:highlight w:val="none"/>
        </w:rPr>
        <w:t>十二、职业健康与卫生防疫</w:t>
      </w:r>
      <w:bookmarkEnd w:id="1450"/>
      <w:bookmarkEnd w:id="1451"/>
      <w:bookmarkEnd w:id="1452"/>
      <w:bookmarkEnd w:id="1453"/>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1．承包人应有特殊健康检查制度，预防有禁忌症患者从事有关职业，如恐高症患者不得从事高空作业，患有心血管疾病的人员不得从事繁重的体力劳动，特殊工种人员的体检应符合国家的规定。</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2．承包人应保证卫生防疫基本设施的投入，以满足医疗、急救的要求，建立外部医疗支持渠道。</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3．应建立卫生防疫措施计划，做好生活区和施工区的卫生防疫工作；制定和执行保证饮水卫生、饮食卫生、环境卫生和预防集体食物中毒的措施；有灭蚊、灭鼠和消毒的专项工作计划；有针对性地制订预防SARS、禽流感、疟疾、霍乱、肠道传染病、肝炎、H1N1流感等疾病的措施。</w:t>
      </w:r>
    </w:p>
    <w:p>
      <w:pPr>
        <w:spacing w:line="360" w:lineRule="auto"/>
        <w:ind w:firstLine="420" w:firstLineChars="200"/>
        <w:rPr>
          <w:rFonts w:ascii="宋体" w:hAnsi="宋体"/>
          <w:color w:val="auto"/>
          <w:szCs w:val="21"/>
          <w:highlight w:val="none"/>
        </w:rPr>
      </w:pPr>
      <w:bookmarkStart w:id="1454" w:name="_Toc247431436"/>
      <w:bookmarkStart w:id="1455" w:name="_Toc247418276"/>
      <w:bookmarkStart w:id="1456" w:name="_Toc532375712"/>
      <w:bookmarkStart w:id="1457" w:name="_Toc239510302"/>
      <w:r>
        <w:rPr>
          <w:rFonts w:hint="eastAsia" w:ascii="宋体" w:hAnsi="宋体"/>
          <w:color w:val="auto"/>
          <w:szCs w:val="21"/>
          <w:highlight w:val="none"/>
        </w:rPr>
        <w:t>十三、文明施工与环保要求</w:t>
      </w:r>
      <w:bookmarkEnd w:id="1454"/>
      <w:bookmarkEnd w:id="1455"/>
      <w:bookmarkEnd w:id="1456"/>
      <w:bookmarkEnd w:id="1457"/>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1．承包人需制订施工现场的文明施工措施，保持良好的施工现场秩序。施工现场的物料堆放要摆放整齐，安全标志和宣传标志要清楚醒目，废料、废物要分类收集，安全通道要畅通。</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2．承包人作业时应避免建筑材料抛洒、飞扬、流淌；应尽可能降低噪音、震动。</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3．承包人应根据实际需要，在施工现场布置临时卫生设施（洗手间、卫生间等），施工作业不破坏环境卫生，不污染现场环境。</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4．承包人在施工中应充分重视对环境的保护，保护绿色植被，保护古树。施工如需伤害古树，必须报告发包人委托的监理公司，在未得到指令前，禁止擅自伤害古树。</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5．承包人应及时清理现场废物和垃圾。工业废料与生活垃圾必须分开，有害废物与普通废物必须分开（如油品废物、电池灯管等，必须单独收集、存放）；禁止在非指定场所乱倒、乱堆垃圾。禁止违章处理危险化学品和工业垃圾。</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6．承包人在施工中应禁止向环境，排放工业污水、生活污水、废油或其他有害物质。</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7．承包人在施工中应防止水土流失，应及时对裸露的地基、边坡、开挖出来的沙/土以及砂、石、水泥等建筑材料予以保护，防止风刮扬尘，雨水冲刷，流入下水道、排洪沟。如因防护不及时而造成大量水土流失、淤塞道路、沟道或污染环境的，承包人应承担清淤、清扫以及相应的赔偿责任。</w:t>
      </w:r>
    </w:p>
    <w:p>
      <w:pPr>
        <w:spacing w:line="360" w:lineRule="auto"/>
        <w:ind w:firstLine="420" w:firstLineChars="200"/>
        <w:rPr>
          <w:rFonts w:ascii="宋体" w:hAnsi="宋体"/>
          <w:color w:val="auto"/>
          <w:szCs w:val="21"/>
          <w:highlight w:val="none"/>
        </w:rPr>
      </w:pPr>
      <w:bookmarkStart w:id="1458" w:name="_Toc247418277"/>
      <w:bookmarkStart w:id="1459" w:name="_Toc247431437"/>
      <w:bookmarkStart w:id="1460" w:name="_Toc532375713"/>
      <w:bookmarkStart w:id="1461" w:name="_Toc239510303"/>
      <w:r>
        <w:rPr>
          <w:rFonts w:hint="eastAsia" w:ascii="宋体" w:hAnsi="宋体"/>
          <w:color w:val="auto"/>
          <w:szCs w:val="21"/>
          <w:highlight w:val="none"/>
        </w:rPr>
        <w:t>十四、工程风险管理与事故预防</w:t>
      </w:r>
      <w:bookmarkEnd w:id="1458"/>
      <w:bookmarkEnd w:id="1459"/>
      <w:bookmarkEnd w:id="1460"/>
      <w:bookmarkEnd w:id="1461"/>
    </w:p>
    <w:p>
      <w:pPr>
        <w:spacing w:line="360" w:lineRule="auto"/>
        <w:ind w:firstLine="420" w:firstLineChars="200"/>
        <w:jc w:val="left"/>
        <w:rPr>
          <w:rFonts w:ascii="宋体" w:hAnsi="宋体"/>
          <w:color w:val="auto"/>
          <w:szCs w:val="21"/>
          <w:highlight w:val="none"/>
        </w:rPr>
      </w:pPr>
      <w:bookmarkStart w:id="1462" w:name="_Toc247431438"/>
      <w:bookmarkStart w:id="1463" w:name="_Toc239510304"/>
      <w:bookmarkStart w:id="1464" w:name="_Toc247418278"/>
      <w:r>
        <w:rPr>
          <w:rFonts w:hint="eastAsia" w:ascii="宋体" w:hAnsi="宋体"/>
          <w:color w:val="auto"/>
          <w:szCs w:val="21"/>
          <w:highlight w:val="none"/>
        </w:rPr>
        <w:t>（一）基本要求</w:t>
      </w:r>
      <w:bookmarkEnd w:id="1462"/>
      <w:bookmarkEnd w:id="1463"/>
      <w:bookmarkEnd w:id="1464"/>
    </w:p>
    <w:p>
      <w:pPr>
        <w:spacing w:line="360" w:lineRule="auto"/>
        <w:ind w:firstLine="420" w:firstLineChars="200"/>
        <w:jc w:val="left"/>
        <w:rPr>
          <w:rFonts w:ascii="宋体" w:hAnsi="宋体"/>
          <w:color w:val="auto"/>
          <w:szCs w:val="21"/>
          <w:highlight w:val="none"/>
        </w:rPr>
      </w:pPr>
      <w:bookmarkStart w:id="1465" w:name="_Toc532375714"/>
      <w:r>
        <w:rPr>
          <w:rFonts w:hint="eastAsia" w:ascii="宋体" w:hAnsi="宋体"/>
          <w:color w:val="auto"/>
          <w:szCs w:val="21"/>
          <w:highlight w:val="none"/>
        </w:rPr>
        <w:t>1．承包人应对施工过程进行全面、深入的危险源识别和风险分析。在施工安全组织设计中提供危险源及重要危险源清单、作业风险分析报告，该报告应包括（但不限于）如下信息：</w:t>
      </w:r>
      <w:bookmarkEnd w:id="1465"/>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（1）高风险作业和工种清单：作业名称、类别和数量、主要事故风险。</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（2）施工能源和机械的种类、数量和主要事故风险。</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（3）施工作业条件的类型和主要事故风险。</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（4）主要工艺过程（或施工活动）的类别及其相关的事故风险。</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（5）主要火灾危险（可燃物、点火源）。</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（6）主要自然灾害（洪水、大风、雷暴、暴雨、地质灾害等）。</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（7）主要环境保护事件（有害垃圾、机械的跑冒滴漏、原材料流失、水土流失等）。</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（8）其他。</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2．承包人应针对识别出的危险源制定有针对性的事故预防措施并确保在施工中得到有效落实。</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3．承包人应建立日常施工活动的动态作业风险分析和安全交底制度。该制度应明确规定风险分析的方法、责任和交底的内容、时间及记录。</w:t>
      </w:r>
    </w:p>
    <w:p>
      <w:pPr>
        <w:spacing w:line="360" w:lineRule="auto"/>
        <w:ind w:firstLine="420" w:firstLineChars="200"/>
        <w:jc w:val="left"/>
        <w:rPr>
          <w:rFonts w:ascii="宋体" w:hAnsi="宋体"/>
          <w:color w:val="auto"/>
          <w:szCs w:val="21"/>
          <w:highlight w:val="none"/>
        </w:rPr>
      </w:pPr>
      <w:bookmarkStart w:id="1466" w:name="_Toc247431439"/>
      <w:bookmarkStart w:id="1467" w:name="_Toc239510305"/>
      <w:bookmarkStart w:id="1468" w:name="_Toc247418279"/>
      <w:r>
        <w:rPr>
          <w:rFonts w:hint="eastAsia" w:ascii="宋体" w:hAnsi="宋体"/>
          <w:color w:val="auto"/>
          <w:szCs w:val="21"/>
          <w:highlight w:val="none"/>
        </w:rPr>
        <w:t>（二）现场作业基本安全条件</w:t>
      </w:r>
      <w:bookmarkEnd w:id="1466"/>
      <w:bookmarkEnd w:id="1467"/>
      <w:bookmarkEnd w:id="1468"/>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承包人应规定现场作业的基本安全条件，包括照明条件、通风条件、作业平台和通道条件、物料堆放条件、供电供水条件、吸烟点、休息点等，并对临边现场、道路上作业现场、立体交叉作业现场、地面坑洞和沟道、夜间作业现场等的基本安全条件做出规定。</w:t>
      </w:r>
    </w:p>
    <w:p>
      <w:pPr>
        <w:spacing w:line="360" w:lineRule="auto"/>
        <w:ind w:firstLine="420" w:firstLineChars="200"/>
        <w:rPr>
          <w:rFonts w:ascii="宋体" w:hAnsi="宋体"/>
          <w:color w:val="auto"/>
          <w:szCs w:val="21"/>
          <w:highlight w:val="none"/>
        </w:rPr>
      </w:pPr>
      <w:bookmarkStart w:id="1469" w:name="_Toc247431440"/>
      <w:bookmarkStart w:id="1470" w:name="_Toc247418280"/>
      <w:bookmarkStart w:id="1471" w:name="_Toc532375715"/>
      <w:bookmarkStart w:id="1472" w:name="_Toc239510306"/>
      <w:r>
        <w:rPr>
          <w:rFonts w:hint="eastAsia" w:ascii="宋体" w:hAnsi="宋体"/>
          <w:color w:val="auto"/>
          <w:szCs w:val="21"/>
          <w:highlight w:val="none"/>
        </w:rPr>
        <w:t>十五、事故报告与应急救援</w:t>
      </w:r>
      <w:bookmarkEnd w:id="1469"/>
      <w:bookmarkEnd w:id="1470"/>
      <w:bookmarkEnd w:id="1471"/>
      <w:bookmarkEnd w:id="1472"/>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1．承包人应制定对于未遂事故及以上级别的安全事件和事故，定期报送安全月度快报、季报、年报和各种专项事故报告等。</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2．承包人应建立安全事故统计记录、未遂事故统计记录、违章统计记录，并根据统计情况进行分析，并就分析结果制定相应的预防措施。</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3．承包人应建立事故应急救援机制，明确事故处置的基本原则，即现场发生事故时，首先抢救生命，向救援组织报警，并采取措施限制事故扩大。</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4．承包人应建立相应的应急响应组织，以便能迅速处理突发意外。</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5．承包人应建立专项应急响应预案，包括重大人身伤亡事故的救护预案、火灾响应预案、“四防”预案（防风、防冻、防雷、防暴雨）、重大疫病防护预案、环境污染防护预案、地质灾害防护预案等。</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6．承包人应对应急预案进行适当演练，保证应急预案的可操作性。</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7．在工地的其他施工单位发生重大事故时，承包人应无条件立即配合、支持事故抢险。</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8．承包人必须为事故处置支付各项费用，包括受伤者的抚恤、补偿等费用，并按合同要求赔偿对发包人造成的损失。</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9．由于发包人原因而造成的事故，发包人应负责按事故的具体损失情况给予承包人经济赔偿。</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10．涉及承包人员工的伤害事故，承包人除要报告发包人委托的监理公司外，还应负责按照国家、行业和本单位上级公司的要求，上报事故。</w:t>
      </w:r>
    </w:p>
    <w:p>
      <w:pPr>
        <w:spacing w:line="360" w:lineRule="auto"/>
        <w:ind w:firstLine="420" w:firstLineChars="200"/>
        <w:rPr>
          <w:rFonts w:ascii="宋体" w:hAnsi="宋体"/>
          <w:color w:val="auto"/>
          <w:szCs w:val="21"/>
          <w:highlight w:val="none"/>
        </w:rPr>
      </w:pPr>
      <w:bookmarkStart w:id="1473" w:name="_Toc239510307"/>
      <w:bookmarkStart w:id="1474" w:name="_Toc247431441"/>
      <w:bookmarkStart w:id="1475" w:name="_Toc532375716"/>
      <w:bookmarkStart w:id="1476" w:name="_Toc247418281"/>
      <w:r>
        <w:rPr>
          <w:rFonts w:hint="eastAsia" w:ascii="宋体" w:hAnsi="宋体"/>
          <w:color w:val="auto"/>
          <w:szCs w:val="21"/>
          <w:highlight w:val="none"/>
        </w:rPr>
        <w:t>十六、安全业绩考核</w:t>
      </w:r>
      <w:bookmarkEnd w:id="1473"/>
      <w:bookmarkEnd w:id="1474"/>
      <w:bookmarkEnd w:id="1475"/>
      <w:bookmarkEnd w:id="1476"/>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为了落实安全管理的责任，承包人在施工过程中发生安全事故时，承包人除应按国家有关规定承担责任和处罚外，发包人还将按照以下标准进行考核：</w:t>
      </w:r>
    </w:p>
    <w:tbl>
      <w:tblPr>
        <w:tblStyle w:val="7"/>
        <w:tblW w:w="0" w:type="auto"/>
        <w:jc w:val="center"/>
        <w:tblLayout w:type="fixed"/>
        <w:tblCellMar>
          <w:top w:w="0" w:type="dxa"/>
          <w:left w:w="0" w:type="dxa"/>
          <w:bottom w:w="0" w:type="dxa"/>
          <w:right w:w="0" w:type="dxa"/>
        </w:tblCellMar>
      </w:tblPr>
      <w:tblGrid>
        <w:gridCol w:w="3240"/>
        <w:gridCol w:w="3765"/>
      </w:tblGrid>
      <w:tr>
        <w:tblPrEx>
          <w:tblCellMar>
            <w:top w:w="0" w:type="dxa"/>
            <w:left w:w="0" w:type="dxa"/>
            <w:bottom w:w="0" w:type="dxa"/>
            <w:right w:w="0" w:type="dxa"/>
          </w:tblCellMar>
        </w:tblPrEx>
        <w:trPr>
          <w:trHeight w:val="188" w:hRule="atLeast"/>
          <w:jc w:val="center"/>
        </w:trPr>
        <w:tc>
          <w:tcPr>
            <w:tcW w:w="3240"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事件类型</w:t>
            </w:r>
          </w:p>
        </w:tc>
        <w:tc>
          <w:tcPr>
            <w:tcW w:w="376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违约金额</w:t>
            </w:r>
          </w:p>
        </w:tc>
      </w:tr>
      <w:tr>
        <w:tblPrEx>
          <w:tblCellMar>
            <w:top w:w="0" w:type="dxa"/>
            <w:left w:w="0" w:type="dxa"/>
            <w:bottom w:w="0" w:type="dxa"/>
            <w:right w:w="0" w:type="dxa"/>
          </w:tblCellMar>
        </w:tblPrEx>
        <w:trPr>
          <w:trHeight w:val="281" w:hRule="atLeast"/>
          <w:jc w:val="center"/>
        </w:trPr>
        <w:tc>
          <w:tcPr>
            <w:tcW w:w="3240"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较大事故</w:t>
            </w:r>
          </w:p>
        </w:tc>
        <w:tc>
          <w:tcPr>
            <w:tcW w:w="3765" w:type="dxa"/>
            <w:tcBorders>
              <w:top w:val="single" w:color="auto" w:sz="8" w:space="0"/>
              <w:left w:val="nil"/>
              <w:bottom w:val="single" w:color="auto" w:sz="8" w:space="0"/>
              <w:right w:val="single" w:color="auto" w:sz="8" w:space="0"/>
            </w:tcBorders>
            <w:noWrap w:val="0"/>
            <w:vAlign w:val="center"/>
          </w:tcPr>
          <w:p>
            <w:pPr>
              <w:spacing w:line="360" w:lineRule="auto"/>
              <w:ind w:firstLine="420" w:firstLineChars="200"/>
              <w:jc w:val="left"/>
              <w:rPr>
                <w:rFonts w:ascii="宋体" w:hAnsi="宋体"/>
                <w:color w:val="auto"/>
                <w:szCs w:val="21"/>
                <w:highlight w:val="none"/>
              </w:rPr>
            </w:pPr>
            <w:r>
              <w:rPr>
                <w:rFonts w:hint="eastAsia" w:ascii="宋体" w:hAnsi="宋体"/>
                <w:color w:val="auto"/>
                <w:kern w:val="0"/>
                <w:szCs w:val="21"/>
                <w:highlight w:val="none"/>
              </w:rPr>
              <w:t>签约合同价</w:t>
            </w:r>
            <w:r>
              <w:rPr>
                <w:rFonts w:hint="eastAsia" w:ascii="宋体" w:hAnsi="宋体"/>
                <w:color w:val="auto"/>
                <w:szCs w:val="21"/>
                <w:highlight w:val="none"/>
              </w:rPr>
              <w:t>的0.5‰</w:t>
            </w:r>
          </w:p>
        </w:tc>
      </w:tr>
      <w:tr>
        <w:tblPrEx>
          <w:tblCellMar>
            <w:top w:w="0" w:type="dxa"/>
            <w:left w:w="0" w:type="dxa"/>
            <w:bottom w:w="0" w:type="dxa"/>
            <w:right w:w="0" w:type="dxa"/>
          </w:tblCellMar>
        </w:tblPrEx>
        <w:trPr>
          <w:trHeight w:val="274" w:hRule="atLeast"/>
          <w:jc w:val="center"/>
        </w:trPr>
        <w:tc>
          <w:tcPr>
            <w:tcW w:w="3240"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重大事故</w:t>
            </w:r>
          </w:p>
        </w:tc>
        <w:tc>
          <w:tcPr>
            <w:tcW w:w="3765" w:type="dxa"/>
            <w:tcBorders>
              <w:top w:val="single" w:color="auto" w:sz="8" w:space="0"/>
              <w:left w:val="nil"/>
              <w:bottom w:val="single" w:color="auto" w:sz="8" w:space="0"/>
              <w:right w:val="single" w:color="auto" w:sz="8" w:space="0"/>
            </w:tcBorders>
            <w:noWrap w:val="0"/>
            <w:vAlign w:val="center"/>
          </w:tcPr>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签约合同价的2‰</w:t>
            </w:r>
          </w:p>
        </w:tc>
      </w:tr>
      <w:tr>
        <w:tblPrEx>
          <w:tblCellMar>
            <w:top w:w="0" w:type="dxa"/>
            <w:left w:w="0" w:type="dxa"/>
            <w:bottom w:w="0" w:type="dxa"/>
            <w:right w:w="0" w:type="dxa"/>
          </w:tblCellMar>
        </w:tblPrEx>
        <w:trPr>
          <w:trHeight w:val="138" w:hRule="atLeast"/>
          <w:jc w:val="center"/>
        </w:trPr>
        <w:tc>
          <w:tcPr>
            <w:tcW w:w="3240"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特别重大事故</w:t>
            </w:r>
          </w:p>
        </w:tc>
        <w:tc>
          <w:tcPr>
            <w:tcW w:w="3765" w:type="dxa"/>
            <w:tcBorders>
              <w:top w:val="single" w:color="auto" w:sz="8" w:space="0"/>
              <w:left w:val="nil"/>
              <w:bottom w:val="single" w:color="auto" w:sz="8" w:space="0"/>
              <w:right w:val="single" w:color="auto" w:sz="8" w:space="0"/>
            </w:tcBorders>
            <w:noWrap w:val="0"/>
            <w:vAlign w:val="center"/>
          </w:tcPr>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签约合同价的4‰</w:t>
            </w:r>
          </w:p>
        </w:tc>
      </w:tr>
    </w:tbl>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（1）较大事故，是指造成3人以上10人以下死亡，或者10人以上50人以下重伤，或者1000万元以上5000万元以下直接经济损失的事故；</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（2）重大事故，是指造成10人以上30人以下死亡，或者50人以上100人以下重伤，或者5000万元以上1亿元以下直接经济损失的事故；</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（3）特别重大事故，是指造成30人以上死亡，或者100人以上重伤（包括急性工业中毒，下同），或者1亿元以上直接经济损失的事故；</w:t>
      </w:r>
    </w:p>
    <w:p>
      <w:pPr>
        <w:spacing w:line="276" w:lineRule="auto"/>
        <w:ind w:firstLine="420" w:firstLineChars="200"/>
        <w:jc w:val="left"/>
        <w:rPr>
          <w:rFonts w:ascii="宋体" w:hAnsi="宋体"/>
          <w:color w:val="auto"/>
          <w:szCs w:val="21"/>
          <w:highlight w:val="none"/>
        </w:rPr>
      </w:pPr>
      <w:r>
        <w:rPr>
          <w:rFonts w:hint="eastAsia" w:ascii="宋体" w:hAnsi="宋体"/>
          <w:color w:val="auto"/>
          <w:szCs w:val="21"/>
          <w:highlight w:val="none"/>
        </w:rPr>
        <w:t>（4）所称的“以上”包括本数，所称的“以下”不包括本数。</w:t>
      </w:r>
    </w:p>
    <w:p>
      <w:pPr>
        <w:spacing w:line="276" w:lineRule="auto"/>
        <w:ind w:firstLine="420" w:firstLineChars="200"/>
        <w:jc w:val="left"/>
        <w:rPr>
          <w:rFonts w:ascii="宋体" w:hAnsi="宋体"/>
          <w:color w:val="auto"/>
          <w:szCs w:val="21"/>
          <w:highlight w:val="none"/>
        </w:rPr>
      </w:pPr>
      <w:r>
        <w:rPr>
          <w:rFonts w:hint="eastAsia" w:ascii="宋体" w:hAnsi="宋体"/>
          <w:color w:val="auto"/>
          <w:szCs w:val="21"/>
          <w:highlight w:val="none"/>
        </w:rPr>
        <w:t>（5）如整个施工过程未发生以上安全事故，则给予承包人建安费总额的1‰的安全奖励。</w:t>
      </w:r>
    </w:p>
    <w:p>
      <w:pPr>
        <w:spacing w:line="276" w:lineRule="auto"/>
        <w:ind w:firstLine="420" w:firstLineChars="200"/>
        <w:jc w:val="left"/>
        <w:rPr>
          <w:rFonts w:ascii="宋体" w:hAnsi="宋体"/>
          <w:color w:val="auto"/>
          <w:szCs w:val="21"/>
          <w:highlight w:val="none"/>
        </w:rPr>
      </w:pPr>
      <w:r>
        <w:rPr>
          <w:rFonts w:hint="eastAsia" w:ascii="宋体" w:hAnsi="宋体"/>
          <w:color w:val="auto"/>
          <w:szCs w:val="21"/>
          <w:highlight w:val="none"/>
        </w:rPr>
        <w:t xml:space="preserve">发包人委托的监理公司负责对承包人的安全业绩进行考核。每次合同支付前，承包人提交自我安全业绩评估报告，然后交发包人委托的监理公司评价。发包人委托的监理公司在签署评价意见后，将作为合同支付依据之一，同时也作为是否可接受承包人再次参加发包人项目投标的依据之一。 </w:t>
      </w:r>
    </w:p>
    <w:p>
      <w:pPr>
        <w:spacing w:line="276" w:lineRule="auto"/>
        <w:ind w:firstLine="420" w:firstLineChars="200"/>
        <w:rPr>
          <w:rFonts w:ascii="宋体" w:hAnsi="宋体"/>
          <w:color w:val="auto"/>
          <w:szCs w:val="21"/>
          <w:highlight w:val="none"/>
        </w:rPr>
      </w:pPr>
      <w:bookmarkStart w:id="1477" w:name="_Toc532375717"/>
      <w:bookmarkStart w:id="1478" w:name="_Toc239510308"/>
      <w:bookmarkStart w:id="1479" w:name="_Toc247418282"/>
      <w:bookmarkStart w:id="1480" w:name="_Toc247431442"/>
      <w:r>
        <w:rPr>
          <w:rFonts w:hint="eastAsia" w:ascii="宋体" w:hAnsi="宋体"/>
          <w:color w:val="auto"/>
          <w:szCs w:val="21"/>
          <w:highlight w:val="none"/>
        </w:rPr>
        <w:t>十七、协议条款的修订</w:t>
      </w:r>
      <w:bookmarkEnd w:id="1477"/>
      <w:bookmarkEnd w:id="1478"/>
      <w:bookmarkEnd w:id="1479"/>
      <w:bookmarkEnd w:id="1480"/>
    </w:p>
    <w:p>
      <w:pPr>
        <w:spacing w:line="276" w:lineRule="auto"/>
        <w:ind w:firstLine="420" w:firstLineChars="200"/>
        <w:jc w:val="left"/>
        <w:rPr>
          <w:rFonts w:ascii="宋体" w:hAnsi="宋体"/>
          <w:color w:val="auto"/>
          <w:szCs w:val="21"/>
          <w:highlight w:val="none"/>
        </w:rPr>
      </w:pPr>
      <w:r>
        <w:rPr>
          <w:rFonts w:hint="eastAsia" w:ascii="宋体" w:hAnsi="宋体"/>
          <w:color w:val="auto"/>
          <w:szCs w:val="21"/>
          <w:highlight w:val="none"/>
        </w:rPr>
        <w:t>在项目实施过程中，经双方友好协商，本协议的有关条款也可做出相应的修改。</w:t>
      </w:r>
    </w:p>
    <w:p>
      <w:pPr>
        <w:spacing w:line="276" w:lineRule="auto"/>
        <w:ind w:firstLine="420" w:firstLineChars="200"/>
        <w:jc w:val="left"/>
        <w:rPr>
          <w:rFonts w:ascii="宋体" w:hAnsi="宋体"/>
          <w:color w:val="auto"/>
          <w:szCs w:val="21"/>
          <w:highlight w:val="none"/>
        </w:rPr>
      </w:pPr>
      <w:r>
        <w:rPr>
          <w:rFonts w:hint="eastAsia" w:ascii="宋体" w:hAnsi="宋体"/>
          <w:color w:val="auto"/>
          <w:szCs w:val="21"/>
          <w:highlight w:val="none"/>
        </w:rPr>
        <w:t>本工程安全管理协议，由发包人、承包人双方在施工承包合同签订后7天内共同签署，作为施工合同附件。</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发  包  人（公章）：</w:t>
      </w:r>
      <w:r>
        <w:rPr>
          <w:rFonts w:hint="eastAsia" w:ascii="宋体" w:hAnsi="宋体" w:cs="宋体"/>
          <w:color w:val="auto"/>
          <w:szCs w:val="21"/>
          <w:highlight w:val="none"/>
          <w:u w:val="single"/>
        </w:rPr>
        <w:t xml:space="preserve">                       </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法定代表人（签字）：</w:t>
      </w:r>
      <w:r>
        <w:rPr>
          <w:rFonts w:hint="eastAsia" w:ascii="宋体" w:hAnsi="宋体" w:cs="宋体"/>
          <w:color w:val="auto"/>
          <w:szCs w:val="21"/>
          <w:highlight w:val="none"/>
          <w:u w:val="single"/>
        </w:rPr>
        <w:t xml:space="preserve">                       </w:t>
      </w:r>
      <w:r>
        <w:rPr>
          <w:rFonts w:hint="eastAsia" w:ascii="宋体" w:hAnsi="宋体"/>
          <w:color w:val="auto"/>
          <w:szCs w:val="21"/>
          <w:highlight w:val="none"/>
        </w:rPr>
        <w:t xml:space="preserve">  </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或其委托代理人（签字）：</w:t>
      </w:r>
      <w:r>
        <w:rPr>
          <w:rFonts w:hint="eastAsia" w:ascii="宋体" w:hAnsi="宋体" w:cs="宋体"/>
          <w:color w:val="auto"/>
          <w:szCs w:val="21"/>
          <w:highlight w:val="none"/>
          <w:u w:val="single"/>
        </w:rPr>
        <w:t xml:space="preserve">                   </w:t>
      </w:r>
      <w:r>
        <w:rPr>
          <w:rFonts w:hint="eastAsia" w:ascii="宋体" w:hAnsi="宋体"/>
          <w:color w:val="auto"/>
          <w:szCs w:val="21"/>
          <w:highlight w:val="none"/>
        </w:rPr>
        <w:t xml:space="preserve">  </w:t>
      </w:r>
    </w:p>
    <w:p>
      <w:pPr>
        <w:spacing w:line="360" w:lineRule="auto"/>
        <w:ind w:firstLine="420" w:firstLineChars="200"/>
        <w:jc w:val="left"/>
        <w:rPr>
          <w:rFonts w:ascii="宋体" w:hAnsi="宋体"/>
          <w:color w:val="auto"/>
          <w:szCs w:val="21"/>
          <w:highlight w:val="none"/>
        </w:rPr>
      </w:pPr>
    </w:p>
    <w:p>
      <w:pPr>
        <w:spacing w:line="360" w:lineRule="auto"/>
        <w:ind w:firstLine="420" w:firstLineChars="200"/>
        <w:jc w:val="left"/>
        <w:rPr>
          <w:rFonts w:ascii="宋体" w:hAnsi="宋体"/>
          <w:color w:val="auto"/>
          <w:kern w:val="0"/>
          <w:szCs w:val="21"/>
          <w:highlight w:val="none"/>
        </w:rPr>
      </w:pPr>
      <w:r>
        <w:rPr>
          <w:rFonts w:hint="eastAsia" w:ascii="宋体" w:hAnsi="宋体"/>
          <w:color w:val="auto"/>
          <w:szCs w:val="21"/>
          <w:highlight w:val="none"/>
        </w:rPr>
        <w:t>承  包  人（公章）：</w:t>
      </w:r>
      <w:r>
        <w:rPr>
          <w:rFonts w:hint="eastAsia" w:ascii="宋体" w:hAnsi="宋体" w:cs="宋体"/>
          <w:color w:val="auto"/>
          <w:szCs w:val="21"/>
          <w:highlight w:val="none"/>
          <w:u w:val="single"/>
        </w:rPr>
        <w:t xml:space="preserve">                       </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法定代表人（签字）：</w:t>
      </w:r>
      <w:r>
        <w:rPr>
          <w:rFonts w:hint="eastAsia" w:ascii="宋体" w:hAnsi="宋体" w:cs="宋体"/>
          <w:color w:val="auto"/>
          <w:szCs w:val="21"/>
          <w:highlight w:val="none"/>
          <w:u w:val="single"/>
        </w:rPr>
        <w:t xml:space="preserve">                       </w:t>
      </w:r>
    </w:p>
    <w:p>
      <w:pPr>
        <w:spacing w:line="360" w:lineRule="auto"/>
        <w:ind w:firstLine="420" w:firstLineChars="200"/>
        <w:jc w:val="left"/>
        <w:rPr>
          <w:rFonts w:ascii="宋体" w:hAnsi="宋体"/>
          <w:color w:val="auto"/>
          <w:kern w:val="0"/>
          <w:szCs w:val="21"/>
          <w:highlight w:val="none"/>
        </w:rPr>
      </w:pPr>
      <w:r>
        <w:rPr>
          <w:rFonts w:hint="eastAsia" w:ascii="宋体" w:hAnsi="宋体"/>
          <w:color w:val="auto"/>
          <w:szCs w:val="21"/>
          <w:highlight w:val="none"/>
        </w:rPr>
        <w:t>或其委托代理人（签字）：</w:t>
      </w:r>
      <w:r>
        <w:rPr>
          <w:rFonts w:hint="eastAsia" w:ascii="宋体" w:hAnsi="宋体" w:cs="宋体"/>
          <w:color w:val="auto"/>
          <w:szCs w:val="21"/>
          <w:highlight w:val="none"/>
          <w:u w:val="single"/>
        </w:rPr>
        <w:t xml:space="preserve">                   </w:t>
      </w:r>
    </w:p>
    <w:p>
      <w:pPr>
        <w:snapToGrid w:val="0"/>
        <w:spacing w:line="360" w:lineRule="auto"/>
        <w:jc w:val="left"/>
        <w:rPr>
          <w:rFonts w:ascii="宋体" w:hAnsi="宋体"/>
          <w:color w:val="auto"/>
          <w:kern w:val="0"/>
          <w:szCs w:val="21"/>
          <w:highlight w:val="none"/>
        </w:rPr>
      </w:pPr>
      <w:r>
        <w:rPr>
          <w:rFonts w:hint="eastAsia" w:ascii="宋体" w:hAnsi="宋体"/>
          <w:color w:val="auto"/>
          <w:szCs w:val="21"/>
          <w:highlight w:val="none"/>
        </w:rPr>
        <w:br w:type="page"/>
      </w:r>
    </w:p>
    <w:p>
      <w:pPr>
        <w:spacing w:line="480" w:lineRule="auto"/>
        <w:rPr>
          <w:rFonts w:ascii="宋体" w:hAnsi="宋体"/>
          <w:color w:val="auto"/>
          <w:szCs w:val="21"/>
          <w:highlight w:val="none"/>
        </w:rPr>
      </w:pPr>
      <w:r>
        <w:rPr>
          <w:rFonts w:hint="eastAsia" w:ascii="宋体" w:hAnsi="宋体"/>
          <w:color w:val="auto"/>
          <w:szCs w:val="21"/>
          <w:highlight w:val="none"/>
        </w:rPr>
        <w:t>附件10 保障农民工工资支付协议</w:t>
      </w:r>
    </w:p>
    <w:p>
      <w:pPr>
        <w:spacing w:before="156" w:beforeLines="50" w:after="156" w:afterLines="50" w:line="480" w:lineRule="auto"/>
        <w:jc w:val="center"/>
        <w:rPr>
          <w:rFonts w:ascii="宋体" w:hAnsi="宋体"/>
          <w:color w:val="auto"/>
          <w:szCs w:val="21"/>
          <w:highlight w:val="none"/>
        </w:rPr>
      </w:pPr>
      <w:r>
        <w:rPr>
          <w:rFonts w:hint="eastAsia" w:ascii="宋体" w:hAnsi="宋体"/>
          <w:color w:val="auto"/>
          <w:szCs w:val="21"/>
          <w:highlight w:val="none"/>
        </w:rPr>
        <w:t>保障农民工工资支付协议</w:t>
      </w:r>
    </w:p>
    <w:p>
      <w:pPr>
        <w:snapToGrid w:val="0"/>
        <w:spacing w:line="480" w:lineRule="auto"/>
        <w:rPr>
          <w:rFonts w:ascii="宋体" w:hAnsi="宋体"/>
          <w:color w:val="auto"/>
          <w:szCs w:val="21"/>
          <w:highlight w:val="none"/>
        </w:rPr>
      </w:pPr>
      <w:r>
        <w:rPr>
          <w:rFonts w:hint="eastAsia" w:ascii="宋体" w:hAnsi="宋体"/>
          <w:color w:val="auto"/>
          <w:szCs w:val="21"/>
          <w:highlight w:val="none"/>
        </w:rPr>
        <w:t xml:space="preserve"> 发包人：</w:t>
      </w:r>
      <w:r>
        <w:rPr>
          <w:rFonts w:hint="eastAsia" w:ascii="宋体" w:hAnsi="宋体" w:cs="宋体"/>
          <w:color w:val="auto"/>
          <w:szCs w:val="21"/>
          <w:highlight w:val="none"/>
          <w:u w:val="single"/>
        </w:rPr>
        <w:t xml:space="preserve">                                 </w:t>
      </w:r>
      <w:r>
        <w:rPr>
          <w:rFonts w:hint="eastAsia" w:ascii="宋体" w:hAnsi="宋体"/>
          <w:color w:val="auto"/>
          <w:szCs w:val="21"/>
          <w:highlight w:val="none"/>
        </w:rPr>
        <w:t>（发包人）</w:t>
      </w:r>
    </w:p>
    <w:p>
      <w:pPr>
        <w:snapToGrid w:val="0"/>
        <w:spacing w:line="360" w:lineRule="auto"/>
        <w:rPr>
          <w:rFonts w:ascii="宋体" w:hAnsi="宋体"/>
          <w:color w:val="auto"/>
          <w:szCs w:val="21"/>
          <w:highlight w:val="none"/>
        </w:rPr>
      </w:pPr>
      <w:r>
        <w:rPr>
          <w:rFonts w:hint="eastAsia" w:ascii="宋体" w:hAnsi="宋体"/>
          <w:color w:val="auto"/>
          <w:szCs w:val="21"/>
          <w:highlight w:val="none"/>
        </w:rPr>
        <w:t xml:space="preserve"> 承包人：</w:t>
      </w:r>
      <w:r>
        <w:rPr>
          <w:rFonts w:hint="eastAsia" w:ascii="宋体" w:hAnsi="宋体" w:cs="宋体"/>
          <w:color w:val="auto"/>
          <w:szCs w:val="21"/>
          <w:highlight w:val="none"/>
          <w:u w:val="single"/>
        </w:rPr>
        <w:t xml:space="preserve">                                 </w:t>
      </w:r>
      <w:r>
        <w:rPr>
          <w:rFonts w:hint="eastAsia" w:ascii="宋体" w:hAnsi="宋体"/>
          <w:color w:val="auto"/>
          <w:szCs w:val="21"/>
          <w:highlight w:val="none"/>
        </w:rPr>
        <w:t>（承包人）</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为贯彻落实《国务院办公厅关于全面治理拖欠农民工工资问题的意见》（国办发〔2016〕1号），《重庆市人民政府办公厅关于全面治理拖欠农民工工资问题的实施意见》（渝府办发〔2016〕101号），健全预防和解决拖欠农民工工资问题的长效机制，切实保障农民工劳动报酬权益，维护社会公平正义，促进社会和谐稳定。经甲、乙双方结合实际情况，友好协商，达成如下协议：</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一、承包人申报工程进度款时，应对上月已支付工程款用于农民工工资发放的情况进行说明，并附农民工代表按时足额收取了工资的签字确认书。监理单位应对相关情况说明和签字确认书（详附件）进行审查签字后，与工程进度款申报资料一并提交给发包人。发包人审核合格后，才进行当期工程进度款的支付。</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二、由于工程进度款申报和审查需一定时间，其与农民工工资发放时间存在一定时间的延后，承包人应具有垫付不低于3个月农民工工资能力。承包人在本补充协议签订后申请的第一笔工程进度款时应出具垫付不低于3个月农民工工资的书面承诺给发包人。发包人将承包人是否做出承诺作为支付工程进度款的前提条件之一。</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三、承包人每月10日前将本月作业班组、班组人数、农民工身份信息等报监理单位，10日～15日分别以作业班组为小组，每小组自行选举产生一名农民工代表，监理单位应全程监督，选举结果与当期工程款支付申请一并报送发包人。</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四、若发现承包人有下列事项的，发包人在支付当期进度款时暂扣当期应支付进度款5%比例的款项。</w:t>
      </w:r>
      <w:r>
        <w:rPr>
          <w:rFonts w:hint="eastAsia" w:ascii="宋体" w:hAnsi="宋体"/>
          <w:color w:val="auto"/>
          <w:szCs w:val="21"/>
          <w:highlight w:val="none"/>
        </w:rPr>
        <w:br w:type="textWrapping"/>
      </w:r>
      <w:r>
        <w:rPr>
          <w:rFonts w:hint="eastAsia" w:ascii="宋体" w:hAnsi="宋体"/>
          <w:color w:val="auto"/>
          <w:szCs w:val="21"/>
          <w:highlight w:val="none"/>
        </w:rPr>
        <w:t xml:space="preserve">    （一）现场检查发现项目存在拖欠农民工工资情况并经核查属实的；</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（二）相关行政管理部门检查发现存在拖欠农民工工资情况并经核查属实的；</w:t>
      </w:r>
      <w:r>
        <w:rPr>
          <w:rFonts w:hint="eastAsia" w:ascii="宋体" w:hAnsi="宋体"/>
          <w:color w:val="auto"/>
          <w:szCs w:val="21"/>
          <w:highlight w:val="none"/>
        </w:rPr>
        <w:br w:type="textWrapping"/>
      </w:r>
      <w:r>
        <w:rPr>
          <w:rFonts w:hint="eastAsia" w:ascii="宋体" w:hAnsi="宋体"/>
          <w:color w:val="auto"/>
          <w:szCs w:val="21"/>
          <w:highlight w:val="none"/>
        </w:rPr>
        <w:t xml:space="preserve">    （三）有拖欠农民工工资投诉事项并经核查属实的。</w:t>
      </w:r>
      <w:r>
        <w:rPr>
          <w:rFonts w:hint="eastAsia" w:ascii="宋体" w:hAnsi="宋体"/>
          <w:color w:val="auto"/>
          <w:szCs w:val="21"/>
          <w:highlight w:val="none"/>
        </w:rPr>
        <w:br w:type="textWrapping"/>
      </w:r>
      <w:r>
        <w:rPr>
          <w:rFonts w:hint="eastAsia" w:ascii="宋体" w:hAnsi="宋体"/>
          <w:color w:val="auto"/>
          <w:szCs w:val="21"/>
          <w:highlight w:val="none"/>
        </w:rPr>
        <w:t xml:space="preserve">    五、对发现的存在拖欠农民工工资事项，承包人应在3天内限时整改，并将整改措施和结果报发包人审查，经发包人批准同意后，在下一期工程进度款支付中返还暂扣的工程款；如承包人未在3天内限时整改，暂扣工程款将继续扣留，直至整改完毕。暂扣款不计息。</w:t>
      </w:r>
    </w:p>
    <w:p>
      <w:pPr>
        <w:tabs>
          <w:tab w:val="left" w:pos="1080"/>
          <w:tab w:val="left" w:pos="1260"/>
          <w:tab w:val="left" w:pos="1440"/>
        </w:tabs>
        <w:spacing w:line="360" w:lineRule="auto"/>
        <w:ind w:firstLine="420" w:firstLineChars="200"/>
        <w:rPr>
          <w:rFonts w:ascii="宋体" w:hAnsi="宋体"/>
          <w:snapToGrid w:val="0"/>
          <w:color w:val="auto"/>
          <w:spacing w:val="-4"/>
          <w:kern w:val="0"/>
          <w:szCs w:val="21"/>
          <w:highlight w:val="none"/>
        </w:rPr>
      </w:pPr>
      <w:r>
        <w:rPr>
          <w:rFonts w:hint="eastAsia" w:ascii="宋体" w:hAnsi="宋体"/>
          <w:color w:val="auto"/>
          <w:szCs w:val="21"/>
          <w:highlight w:val="none"/>
        </w:rPr>
        <w:t>六、本协议经双方法定代表人或委托代理人签字并加盖公章后生效，履行完毕后自然失效。</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附件：</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1、关于农民工工资发放情况的说明表</w:t>
      </w:r>
    </w:p>
    <w:p>
      <w:pPr>
        <w:pStyle w:val="2"/>
        <w:spacing w:line="360" w:lineRule="auto"/>
        <w:ind w:firstLine="420" w:firstLineChars="200"/>
        <w:rPr>
          <w:rFonts w:hint="eastAsia" w:ascii="宋体" w:hAnsi="宋体"/>
          <w:color w:val="auto"/>
          <w:szCs w:val="21"/>
          <w:highlight w:val="none"/>
        </w:rPr>
      </w:pPr>
    </w:p>
    <w:p>
      <w:pPr>
        <w:pStyle w:val="2"/>
        <w:spacing w:line="360" w:lineRule="auto"/>
        <w:ind w:firstLine="420" w:firstLineChars="200"/>
        <w:rPr>
          <w:rFonts w:hint="eastAsia" w:ascii="宋体" w:hAnsi="宋体"/>
          <w:color w:val="auto"/>
          <w:szCs w:val="21"/>
          <w:highlight w:val="none"/>
        </w:rPr>
      </w:pPr>
    </w:p>
    <w:p>
      <w:pPr>
        <w:pStyle w:val="2"/>
        <w:spacing w:line="360" w:lineRule="auto"/>
        <w:ind w:firstLine="420" w:firstLineChars="200"/>
        <w:rPr>
          <w:rFonts w:ascii="宋体" w:hAnsi="宋体"/>
          <w:color w:val="auto"/>
          <w:szCs w:val="21"/>
          <w:highlight w:val="none"/>
        </w:rPr>
      </w:pP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（以下无正文）</w:t>
      </w:r>
    </w:p>
    <w:p>
      <w:pPr>
        <w:spacing w:line="360" w:lineRule="auto"/>
        <w:ind w:firstLine="420" w:firstLineChars="200"/>
        <w:rPr>
          <w:rFonts w:ascii="宋体" w:hAnsi="宋体"/>
          <w:color w:val="auto"/>
          <w:szCs w:val="21"/>
          <w:highlight w:val="none"/>
        </w:rPr>
      </w:pPr>
    </w:p>
    <w:p>
      <w:pPr>
        <w:spacing w:line="360" w:lineRule="auto"/>
        <w:ind w:firstLine="420" w:firstLineChars="200"/>
        <w:rPr>
          <w:rFonts w:ascii="宋体" w:hAnsi="宋体"/>
          <w:color w:val="auto"/>
          <w:szCs w:val="21"/>
          <w:highlight w:val="none"/>
        </w:rPr>
      </w:pPr>
    </w:p>
    <w:p>
      <w:pPr>
        <w:pStyle w:val="2"/>
        <w:spacing w:line="360" w:lineRule="auto"/>
        <w:rPr>
          <w:rFonts w:ascii="宋体" w:hAnsi="宋体"/>
          <w:color w:val="auto"/>
          <w:szCs w:val="21"/>
          <w:highlight w:val="none"/>
        </w:rPr>
      </w:pPr>
    </w:p>
    <w:p>
      <w:pPr>
        <w:spacing w:line="360" w:lineRule="auto"/>
        <w:rPr>
          <w:rFonts w:ascii="宋体" w:hAnsi="宋体"/>
          <w:color w:val="auto"/>
          <w:szCs w:val="21"/>
          <w:highlight w:val="none"/>
        </w:rPr>
      </w:pPr>
      <w:r>
        <w:rPr>
          <w:rFonts w:hint="eastAsia" w:ascii="宋体" w:hAnsi="宋体"/>
          <w:color w:val="auto"/>
          <w:szCs w:val="21"/>
          <w:highlight w:val="none"/>
        </w:rPr>
        <w:t>发包人：</w:t>
      </w:r>
      <w:r>
        <w:rPr>
          <w:rFonts w:hint="eastAsia" w:ascii="宋体" w:hAnsi="宋体" w:cs="宋体"/>
          <w:color w:val="auto"/>
          <w:szCs w:val="21"/>
          <w:highlight w:val="none"/>
          <w:u w:val="single"/>
        </w:rPr>
        <w:t xml:space="preserve">       </w:t>
      </w:r>
      <w:r>
        <w:rPr>
          <w:rFonts w:hint="eastAsia" w:ascii="宋体" w:hAnsi="宋体"/>
          <w:color w:val="auto"/>
          <w:szCs w:val="21"/>
          <w:highlight w:val="none"/>
        </w:rPr>
        <w:t>（发包人）</w:t>
      </w:r>
    </w:p>
    <w:p>
      <w:pPr>
        <w:spacing w:line="360" w:lineRule="auto"/>
        <w:rPr>
          <w:rFonts w:ascii="宋体" w:hAnsi="宋体"/>
          <w:color w:val="auto"/>
          <w:szCs w:val="21"/>
          <w:highlight w:val="none"/>
        </w:rPr>
      </w:pPr>
      <w:r>
        <w:rPr>
          <w:rFonts w:hint="eastAsia" w:ascii="宋体" w:hAnsi="宋体"/>
          <w:color w:val="auto"/>
          <w:szCs w:val="21"/>
          <w:highlight w:val="none"/>
        </w:rPr>
        <w:t>法定代表人：</w:t>
      </w:r>
      <w:r>
        <w:rPr>
          <w:rFonts w:hint="eastAsia" w:ascii="宋体" w:hAnsi="宋体" w:cs="宋体"/>
          <w:color w:val="auto"/>
          <w:szCs w:val="21"/>
          <w:highlight w:val="none"/>
          <w:u w:val="single"/>
        </w:rPr>
        <w:t xml:space="preserve">       </w:t>
      </w:r>
    </w:p>
    <w:p>
      <w:pPr>
        <w:spacing w:line="360" w:lineRule="auto"/>
        <w:rPr>
          <w:rFonts w:ascii="宋体" w:hAnsi="宋体"/>
          <w:color w:val="auto"/>
          <w:szCs w:val="21"/>
          <w:highlight w:val="none"/>
        </w:rPr>
      </w:pPr>
      <w:r>
        <w:rPr>
          <w:rFonts w:hint="eastAsia" w:ascii="宋体" w:hAnsi="宋体"/>
          <w:color w:val="auto"/>
          <w:szCs w:val="21"/>
          <w:highlight w:val="none"/>
        </w:rPr>
        <w:t>或委托代理人：</w:t>
      </w:r>
      <w:r>
        <w:rPr>
          <w:rFonts w:hint="eastAsia" w:ascii="宋体" w:hAnsi="宋体" w:cs="宋体"/>
          <w:color w:val="auto"/>
          <w:szCs w:val="21"/>
          <w:highlight w:val="none"/>
          <w:u w:val="single"/>
        </w:rPr>
        <w:t xml:space="preserve">       </w:t>
      </w:r>
    </w:p>
    <w:p>
      <w:pPr>
        <w:spacing w:line="360" w:lineRule="auto"/>
        <w:rPr>
          <w:rFonts w:ascii="宋体" w:hAnsi="宋体"/>
          <w:color w:val="auto"/>
          <w:szCs w:val="21"/>
          <w:highlight w:val="none"/>
        </w:rPr>
      </w:pPr>
      <w:r>
        <w:rPr>
          <w:rFonts w:hint="eastAsia" w:ascii="宋体" w:hAnsi="宋体"/>
          <w:color w:val="auto"/>
          <w:szCs w:val="21"/>
          <w:highlight w:val="none"/>
        </w:rPr>
        <w:t>联系人：</w:t>
      </w:r>
      <w:r>
        <w:rPr>
          <w:rFonts w:hint="eastAsia" w:ascii="宋体" w:hAnsi="宋体" w:cs="宋体"/>
          <w:color w:val="auto"/>
          <w:szCs w:val="21"/>
          <w:highlight w:val="none"/>
          <w:u w:val="single"/>
        </w:rPr>
        <w:t xml:space="preserve">       </w:t>
      </w:r>
    </w:p>
    <w:p>
      <w:pPr>
        <w:spacing w:line="360" w:lineRule="auto"/>
        <w:rPr>
          <w:rFonts w:ascii="宋体" w:hAnsi="宋体"/>
          <w:color w:val="auto"/>
          <w:szCs w:val="21"/>
          <w:highlight w:val="none"/>
        </w:rPr>
      </w:pPr>
    </w:p>
    <w:p>
      <w:pPr>
        <w:spacing w:line="360" w:lineRule="auto"/>
        <w:rPr>
          <w:rFonts w:ascii="宋体" w:hAnsi="宋体"/>
          <w:color w:val="auto"/>
          <w:szCs w:val="21"/>
          <w:highlight w:val="none"/>
        </w:rPr>
      </w:pPr>
    </w:p>
    <w:p>
      <w:pPr>
        <w:spacing w:line="360" w:lineRule="auto"/>
        <w:rPr>
          <w:rFonts w:ascii="宋体" w:hAnsi="宋体"/>
          <w:color w:val="auto"/>
          <w:szCs w:val="21"/>
          <w:highlight w:val="none"/>
        </w:rPr>
      </w:pPr>
    </w:p>
    <w:p>
      <w:pPr>
        <w:spacing w:line="360" w:lineRule="auto"/>
        <w:rPr>
          <w:rFonts w:ascii="宋体" w:hAnsi="宋体"/>
          <w:color w:val="auto"/>
          <w:szCs w:val="21"/>
          <w:highlight w:val="none"/>
        </w:rPr>
      </w:pPr>
      <w:r>
        <w:rPr>
          <w:rFonts w:hint="eastAsia" w:ascii="宋体" w:hAnsi="宋体"/>
          <w:color w:val="auto"/>
          <w:szCs w:val="21"/>
          <w:highlight w:val="none"/>
        </w:rPr>
        <w:t>承包人：</w:t>
      </w:r>
      <w:r>
        <w:rPr>
          <w:rFonts w:hint="eastAsia" w:ascii="宋体" w:hAnsi="宋体" w:cs="宋体"/>
          <w:color w:val="auto"/>
          <w:szCs w:val="21"/>
          <w:highlight w:val="none"/>
          <w:u w:val="single"/>
        </w:rPr>
        <w:t xml:space="preserve">       </w:t>
      </w:r>
      <w:r>
        <w:rPr>
          <w:rFonts w:hint="eastAsia" w:ascii="宋体" w:hAnsi="宋体"/>
          <w:color w:val="auto"/>
          <w:szCs w:val="21"/>
          <w:highlight w:val="none"/>
        </w:rPr>
        <w:t>（承包人）</w:t>
      </w:r>
    </w:p>
    <w:p>
      <w:pPr>
        <w:spacing w:line="360" w:lineRule="auto"/>
        <w:rPr>
          <w:rFonts w:ascii="宋体" w:hAnsi="宋体"/>
          <w:color w:val="auto"/>
          <w:szCs w:val="21"/>
          <w:highlight w:val="none"/>
        </w:rPr>
      </w:pPr>
      <w:r>
        <w:rPr>
          <w:rFonts w:hint="eastAsia" w:ascii="宋体" w:hAnsi="宋体"/>
          <w:color w:val="auto"/>
          <w:szCs w:val="21"/>
          <w:highlight w:val="none"/>
        </w:rPr>
        <w:t>法定代表人：</w:t>
      </w:r>
      <w:r>
        <w:rPr>
          <w:rFonts w:hint="eastAsia" w:ascii="宋体" w:hAnsi="宋体" w:cs="宋体"/>
          <w:color w:val="auto"/>
          <w:szCs w:val="21"/>
          <w:highlight w:val="none"/>
          <w:u w:val="single"/>
        </w:rPr>
        <w:t xml:space="preserve">       </w:t>
      </w:r>
    </w:p>
    <w:p>
      <w:pPr>
        <w:spacing w:line="360" w:lineRule="auto"/>
        <w:rPr>
          <w:rFonts w:ascii="宋体" w:hAnsi="宋体"/>
          <w:color w:val="auto"/>
          <w:szCs w:val="21"/>
          <w:highlight w:val="none"/>
        </w:rPr>
      </w:pPr>
      <w:r>
        <w:rPr>
          <w:rFonts w:hint="eastAsia" w:ascii="宋体" w:hAnsi="宋体"/>
          <w:color w:val="auto"/>
          <w:szCs w:val="21"/>
          <w:highlight w:val="none"/>
        </w:rPr>
        <w:t>或委托代理人：</w:t>
      </w:r>
      <w:r>
        <w:rPr>
          <w:rFonts w:hint="eastAsia" w:ascii="宋体" w:hAnsi="宋体" w:cs="宋体"/>
          <w:color w:val="auto"/>
          <w:szCs w:val="21"/>
          <w:highlight w:val="none"/>
          <w:u w:val="single"/>
        </w:rPr>
        <w:t xml:space="preserve">       </w:t>
      </w:r>
    </w:p>
    <w:p>
      <w:pPr>
        <w:spacing w:line="360" w:lineRule="auto"/>
        <w:rPr>
          <w:rFonts w:ascii="宋体" w:hAnsi="宋体"/>
          <w:color w:val="auto"/>
          <w:szCs w:val="21"/>
          <w:highlight w:val="none"/>
        </w:rPr>
      </w:pPr>
      <w:r>
        <w:rPr>
          <w:rFonts w:hint="eastAsia" w:ascii="宋体" w:hAnsi="宋体"/>
          <w:color w:val="auto"/>
          <w:szCs w:val="21"/>
          <w:highlight w:val="none"/>
        </w:rPr>
        <w:t>联系人：</w:t>
      </w:r>
      <w:r>
        <w:rPr>
          <w:rFonts w:hint="eastAsia" w:ascii="宋体" w:hAnsi="宋体" w:cs="宋体"/>
          <w:color w:val="auto"/>
          <w:szCs w:val="21"/>
          <w:highlight w:val="none"/>
          <w:u w:val="single"/>
        </w:rPr>
        <w:t xml:space="preserve">       </w:t>
      </w:r>
    </w:p>
    <w:p>
      <w:pPr>
        <w:snapToGrid w:val="0"/>
        <w:spacing w:line="360" w:lineRule="auto"/>
        <w:ind w:firstLine="560"/>
        <w:rPr>
          <w:rFonts w:ascii="宋体" w:hAnsi="宋体"/>
          <w:color w:val="auto"/>
          <w:szCs w:val="21"/>
          <w:highlight w:val="none"/>
        </w:rPr>
      </w:pPr>
    </w:p>
    <w:p>
      <w:r>
        <w:rPr>
          <w:rFonts w:hint="eastAsia" w:ascii="宋体" w:hAnsi="宋体"/>
          <w:color w:val="auto"/>
          <w:szCs w:val="21"/>
          <w:highlight w:val="none"/>
        </w:rPr>
        <w:br w:type="page"/>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Microsoft Sans Serif">
    <w:panose1 w:val="020B0604020202020204"/>
    <w:charset w:val="00"/>
    <w:family w:val="swiss"/>
    <w:pitch w:val="default"/>
    <w:sig w:usb0="E5002EFF" w:usb1="C000605B" w:usb2="00000029" w:usb3="00000000" w:csb0="200101FF" w:csb1="2028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D7B160A"/>
    <w:multiLevelType w:val="singleLevel"/>
    <w:tmpl w:val="ED7B160A"/>
    <w:lvl w:ilvl="0" w:tentative="0">
      <w:start w:val="1"/>
      <w:numFmt w:val="decimal"/>
      <w:suff w:val="nothing"/>
      <w:lvlText w:val="（%1）"/>
      <w:lvlJc w:val="left"/>
    </w:lvl>
  </w:abstractNum>
  <w:abstractNum w:abstractNumId="1">
    <w:nsid w:val="00000006"/>
    <w:multiLevelType w:val="singleLevel"/>
    <w:tmpl w:val="00000006"/>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I1ZjZjOTRlZjg3YTk3MGNkMzUwYjViZDRjODVmZGEifQ=="/>
  </w:docVars>
  <w:rsids>
    <w:rsidRoot w:val="68F15BE6"/>
    <w:rsid w:val="1241625E"/>
    <w:rsid w:val="20944E85"/>
    <w:rsid w:val="301E0F92"/>
    <w:rsid w:val="554A3EBE"/>
    <w:rsid w:val="68F15B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beforeLines="0" w:after="330" w:afterLines="0" w:line="578" w:lineRule="auto"/>
      <w:outlineLvl w:val="0"/>
    </w:pPr>
    <w:rPr>
      <w:b/>
      <w:bCs/>
      <w:kern w:val="44"/>
      <w:sz w:val="44"/>
      <w:szCs w:val="44"/>
    </w:rPr>
  </w:style>
  <w:style w:type="paragraph" w:styleId="4">
    <w:name w:val="heading 3"/>
    <w:basedOn w:val="1"/>
    <w:next w:val="1"/>
    <w:qFormat/>
    <w:uiPriority w:val="0"/>
    <w:pPr>
      <w:keepNext/>
      <w:keepLines/>
      <w:spacing w:before="260" w:beforeLines="0" w:after="260" w:afterLines="0" w:line="416" w:lineRule="auto"/>
      <w:outlineLvl w:val="2"/>
    </w:pPr>
    <w:rPr>
      <w:b/>
      <w:bCs/>
      <w:sz w:val="32"/>
      <w:szCs w:val="32"/>
    </w:rPr>
  </w:style>
  <w:style w:type="paragraph" w:styleId="5">
    <w:name w:val="heading 4"/>
    <w:basedOn w:val="1"/>
    <w:next w:val="1"/>
    <w:qFormat/>
    <w:uiPriority w:val="0"/>
    <w:pPr>
      <w:widowControl/>
      <w:spacing w:before="100" w:beforeLines="0" w:beforeAutospacing="1" w:after="100" w:afterLines="0" w:afterAutospacing="1"/>
      <w:jc w:val="left"/>
      <w:outlineLvl w:val="3"/>
    </w:pPr>
    <w:rPr>
      <w:rFonts w:ascii="宋体" w:hAnsi="宋体" w:cs="宋体"/>
      <w:b/>
      <w:bCs/>
      <w:kern w:val="0"/>
      <w:sz w:val="24"/>
    </w:rPr>
  </w:style>
  <w:style w:type="paragraph" w:styleId="6">
    <w:name w:val="heading 5"/>
    <w:basedOn w:val="1"/>
    <w:next w:val="1"/>
    <w:qFormat/>
    <w:uiPriority w:val="0"/>
    <w:pPr>
      <w:widowControl/>
      <w:spacing w:before="100" w:beforeLines="0" w:beforeAutospacing="1" w:after="100" w:afterLines="0" w:afterAutospacing="1"/>
      <w:jc w:val="left"/>
      <w:outlineLvl w:val="4"/>
    </w:pPr>
    <w:rPr>
      <w:rFonts w:ascii="宋体" w:hAnsi="宋体" w:cs="宋体"/>
      <w:b/>
      <w:bCs/>
      <w:kern w:val="0"/>
      <w:sz w:val="20"/>
      <w:szCs w:val="20"/>
    </w:rPr>
  </w:style>
  <w:style w:type="character" w:default="1" w:styleId="8">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afterLines="0"/>
    </w:pPr>
  </w:style>
  <w:style w:type="character" w:styleId="9">
    <w:name w:val="annotation reference"/>
    <w:qFormat/>
    <w:uiPriority w:val="0"/>
    <w:rPr>
      <w:sz w:val="21"/>
      <w:szCs w:val="21"/>
    </w:rPr>
  </w:style>
  <w:style w:type="paragraph" w:customStyle="1" w:styleId="10">
    <w:name w:val="TOC 标题1"/>
    <w:basedOn w:val="3"/>
    <w:next w:val="1"/>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11">
    <w:name w:val="列出段落11"/>
    <w:basedOn w:val="1"/>
    <w:qFormat/>
    <w:uiPriority w:val="0"/>
    <w:pPr>
      <w:ind w:firstLine="420" w:firstLineChars="200"/>
    </w:pPr>
    <w:rPr>
      <w:sz w:val="28"/>
      <w:szCs w:val="28"/>
    </w:rPr>
  </w:style>
</w:styles>
</file>

<file path=word/_rels/document.xml.rels><?xml version="1.0" encoding="UTF-8" standalone="yes"?>
<Relationships xmlns="http://schemas.openxmlformats.org/package/2006/relationships"><Relationship Id="rId9" Type="http://schemas.openxmlformats.org/officeDocument/2006/relationships/image" Target="media/image3.wmf"/><Relationship Id="rId8" Type="http://schemas.openxmlformats.org/officeDocument/2006/relationships/oleObject" Target="embeddings/oleObject3.bin"/><Relationship Id="rId7" Type="http://schemas.openxmlformats.org/officeDocument/2006/relationships/image" Target="media/image2.wmf"/><Relationship Id="rId6" Type="http://schemas.openxmlformats.org/officeDocument/2006/relationships/oleObject" Target="embeddings/oleObject2.bin"/><Relationship Id="rId5" Type="http://schemas.openxmlformats.org/officeDocument/2006/relationships/image" Target="media/image1.w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5.wmf"/><Relationship Id="rId12" Type="http://schemas.openxmlformats.org/officeDocument/2006/relationships/oleObject" Target="embeddings/oleObject5.bin"/><Relationship Id="rId11" Type="http://schemas.openxmlformats.org/officeDocument/2006/relationships/image" Target="media/image4.wmf"/><Relationship Id="rId10" Type="http://schemas.openxmlformats.org/officeDocument/2006/relationships/oleObject" Target="embeddings/oleObject4.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Office_11.1.0.11753_F1E327BC-269C-435d-A152-05C5408002CA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2022-07-20T03:27:00Z</dcterms:created>
  <dc:creator>Administrator</dc:creator>
  <cp:lastModifiedBy>Administrator</cp:lastModifiedBy>
  <dcterms:modified xsi:type="dcterms:W3CDTF">2022-07-22T02:25:35Z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2052-11.1.0.11753</vt:lpwstr>
  </property>
  <property fmtid="{D5CDD505-2E9C-101B-9397-08002B2CF9AE}" pid="3" name="ICV">
    <vt:lpwstr>B1C59790B6264D909EBC5397FD79712D</vt:lpwstr>
  </property>
</Properties>
</file>