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14:paraId="26BBED6A">
      <w:pPr>
        <w:spacing w:line="580" w:lineRule="exact"/>
        <w:ind w:firstLine="0" w:firstLineChars="0"/>
        <w:jc w:val="center"/>
        <w:rPr>
          <w:rFonts w:hint="eastAsia" w:ascii="方正小标宋_GBK" w:hAnsi="Times New Roman" w:eastAsia="方正小标宋_GBK" w:cs="Times New Roman"/>
          <w:kern w:val="2"/>
          <w:sz w:val="44"/>
          <w:szCs w:val="32"/>
          <w:lang w:val="en-US" w:eastAsia="zh-CN" w:bidi="ar-SA"/>
        </w:rPr>
      </w:pPr>
      <w:bookmarkStart w:id="0" w:name="_Hlk42687916"/>
      <w:bookmarkStart w:id="1" w:name="_Hlk3209596"/>
    </w:p>
    <w:p w14:paraId="4AE0DEB8">
      <w:pPr>
        <w:spacing w:line="580" w:lineRule="exact"/>
        <w:ind w:firstLine="0" w:firstLineChars="0"/>
        <w:jc w:val="both"/>
        <w:rPr>
          <w:rFonts w:hint="eastAsia" w:ascii="方正小标宋_GBK" w:hAnsi="Times New Roman" w:eastAsia="方正小标宋_GBK" w:cs="Times New Roman"/>
          <w:kern w:val="2"/>
          <w:sz w:val="44"/>
          <w:szCs w:val="32"/>
          <w:lang w:val="en-US" w:eastAsia="zh-CN" w:bidi="ar-SA"/>
        </w:rPr>
      </w:pPr>
    </w:p>
    <w:p w14:paraId="788654C8">
      <w:pPr>
        <w:spacing w:line="580" w:lineRule="exact"/>
        <w:ind w:firstLine="0" w:firstLineChars="0"/>
        <w:jc w:val="center"/>
        <w:rPr>
          <w:rFonts w:hint="eastAsia" w:ascii="方正小标宋_GBK" w:hAnsi="Times New Roman" w:eastAsia="方正小标宋_GBK" w:cs="Times New Roman"/>
          <w:kern w:val="2"/>
          <w:sz w:val="44"/>
          <w:szCs w:val="32"/>
          <w:lang w:val="en-US" w:eastAsia="zh-CN" w:bidi="ar-SA"/>
        </w:rPr>
      </w:pPr>
      <w:r>
        <w:rPr>
          <w:rFonts w:hint="eastAsia" w:ascii="方正小标宋_GBK" w:hAnsi="Times New Roman" w:eastAsia="方正小标宋_GBK" w:cs="Times New Roman"/>
          <w:kern w:val="2"/>
          <w:sz w:val="44"/>
          <w:szCs w:val="32"/>
          <w:lang w:val="en-US" w:eastAsia="zh-CN" w:bidi="ar-SA"/>
        </w:rPr>
        <w:t>北碚区建设</w:t>
      </w:r>
      <w:r>
        <w:rPr>
          <w:rFonts w:hint="eastAsia" w:ascii="方正小标宋_GBK" w:hAnsi="Times New Roman" w:eastAsia="方正小标宋_GBK" w:cs="Times New Roman"/>
          <w:kern w:val="2"/>
          <w:sz w:val="44"/>
          <w:szCs w:val="32"/>
          <w:lang w:val="en-US" w:eastAsia="zh-CN" w:bidi="ar-SA"/>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hint="eastAsia" w:ascii="方正小标宋_GBK" w:hAnsi="Times New Roman" w:eastAsia="方正小标宋_GBK" w:cs="Times New Roman"/>
          <w:kern w:val="2"/>
          <w:sz w:val="44"/>
          <w:szCs w:val="32"/>
          <w:lang w:val="en-US" w:eastAsia="zh-CN" w:bidi="ar-SA"/>
        </w:rPr>
        <w:instrText xml:space="preserve">ADDIN CNKISM.UserStyle</w:instrText>
      </w:r>
      <w:r>
        <w:rPr>
          <w:rFonts w:hint="eastAsia" w:ascii="方正小标宋_GBK" w:hAnsi="Times New Roman" w:eastAsia="方正小标宋_GBK" w:cs="Times New Roman"/>
          <w:kern w:val="2"/>
          <w:sz w:val="44"/>
          <w:szCs w:val="32"/>
          <w:lang w:val="en-US" w:eastAsia="zh-CN" w:bidi="ar-SA"/>
        </w:rPr>
        <w:fldChar w:fldCharType="end"/>
      </w:r>
      <w:bookmarkStart w:id="2" w:name="_Hlk12607712"/>
      <w:r>
        <w:rPr>
          <w:rFonts w:hint="eastAsia" w:ascii="方正小标宋_GBK" w:hAnsi="Times New Roman" w:eastAsia="方正小标宋_GBK" w:cs="Times New Roman"/>
          <w:kern w:val="2"/>
          <w:sz w:val="44"/>
          <w:szCs w:val="32"/>
          <w:lang w:val="en-US" w:eastAsia="zh-CN" w:bidi="ar-SA"/>
        </w:rPr>
        <w:t>“绿水青山就是金山银山”</w:t>
      </w:r>
    </w:p>
    <w:p w14:paraId="0CF649B6">
      <w:pPr>
        <w:spacing w:line="580" w:lineRule="exact"/>
        <w:ind w:firstLine="0" w:firstLineChars="0"/>
        <w:jc w:val="center"/>
        <w:rPr>
          <w:rFonts w:hint="eastAsia" w:ascii="方正小标宋_GBK" w:hAnsi="Times New Roman" w:eastAsia="方正小标宋_GBK" w:cs="Times New Roman"/>
          <w:kern w:val="2"/>
          <w:sz w:val="44"/>
          <w:szCs w:val="32"/>
          <w:lang w:val="en-US" w:eastAsia="zh-CN" w:bidi="ar-SA"/>
        </w:rPr>
      </w:pPr>
      <w:r>
        <w:rPr>
          <w:rFonts w:hint="eastAsia" w:ascii="方正小标宋_GBK" w:hAnsi="Times New Roman" w:eastAsia="方正小标宋_GBK" w:cs="Times New Roman"/>
          <w:kern w:val="2"/>
          <w:sz w:val="44"/>
          <w:szCs w:val="32"/>
          <w:lang w:val="en-US" w:eastAsia="zh-CN" w:bidi="ar-SA"/>
        </w:rPr>
        <w:t>实践创新基地实施方案</w:t>
      </w:r>
      <w:bookmarkEnd w:id="0"/>
      <w:r>
        <w:rPr>
          <w:rFonts w:hint="eastAsia" w:ascii="方正小标宋_GBK" w:hAnsi="Times New Roman" w:eastAsia="方正小标宋_GBK" w:cs="Times New Roman"/>
          <w:kern w:val="2"/>
          <w:sz w:val="44"/>
          <w:szCs w:val="32"/>
          <w:lang w:val="en-US" w:eastAsia="zh-CN" w:bidi="ar-SA"/>
        </w:rPr>
        <w:t>（2020-2025年）</w:t>
      </w:r>
    </w:p>
    <w:p w14:paraId="694704C5">
      <w:pPr>
        <w:spacing w:after="156" w:afterLines="50" w:line="600" w:lineRule="exact"/>
        <w:jc w:val="center"/>
        <w:rPr>
          <w:rFonts w:ascii="方正小标宋_GBK" w:hAnsi="华文宋体" w:eastAsia="方正小标宋_GBK" w:cs="Times New Roman"/>
          <w:bCs/>
          <w:color w:val="0D0D0D" w:themeColor="text1" w:themeTint="F2"/>
          <w:sz w:val="36"/>
          <w:szCs w:val="36"/>
          <w14:textFill>
            <w14:solidFill>
              <w14:schemeClr w14:val="tx1">
                <w14:lumMod w14:val="95000"/>
                <w14:lumOff w14:val="5000"/>
              </w14:schemeClr>
            </w14:solidFill>
          </w14:textFill>
        </w:rPr>
      </w:pPr>
    </w:p>
    <w:p w14:paraId="3BA7BD60">
      <w:pPr>
        <w:rPr>
          <w:rFonts w:ascii="方正小标宋_GBK" w:hAnsi="华文宋体" w:eastAsia="方正小标宋_GBK" w:cs="Times New Roman"/>
          <w:bCs/>
          <w:color w:val="0D0D0D" w:themeColor="text1" w:themeTint="F2"/>
          <w:sz w:val="36"/>
          <w:szCs w:val="36"/>
          <w14:textFill>
            <w14:solidFill>
              <w14:schemeClr w14:val="tx1">
                <w14:lumMod w14:val="95000"/>
                <w14:lumOff w14:val="5000"/>
              </w14:schemeClr>
            </w14:solidFill>
          </w14:textFill>
        </w:rPr>
      </w:pPr>
    </w:p>
    <w:p w14:paraId="5DF91E31">
      <w:pPr>
        <w:rPr>
          <w:rFonts w:ascii="方正小标宋_GBK" w:hAnsi="华文宋体" w:eastAsia="方正小标宋_GBK" w:cs="Times New Roman"/>
          <w:bCs/>
          <w:color w:val="0D0D0D" w:themeColor="text1" w:themeTint="F2"/>
          <w:sz w:val="36"/>
          <w:szCs w:val="36"/>
          <w14:textFill>
            <w14:solidFill>
              <w14:schemeClr w14:val="tx1">
                <w14:lumMod w14:val="95000"/>
                <w14:lumOff w14:val="5000"/>
              </w14:schemeClr>
            </w14:solidFill>
          </w14:textFill>
        </w:rPr>
      </w:pPr>
    </w:p>
    <w:p w14:paraId="75EA5DB0">
      <w:pPr>
        <w:rPr>
          <w:rFonts w:ascii="方正小标宋_GBK" w:hAnsi="华文宋体" w:eastAsia="方正小标宋_GBK" w:cs="Times New Roman"/>
          <w:bCs/>
          <w:color w:val="0D0D0D" w:themeColor="text1" w:themeTint="F2"/>
          <w:sz w:val="36"/>
          <w:szCs w:val="36"/>
          <w14:textFill>
            <w14:solidFill>
              <w14:schemeClr w14:val="tx1">
                <w14:lumMod w14:val="95000"/>
                <w14:lumOff w14:val="5000"/>
              </w14:schemeClr>
            </w14:solidFill>
          </w14:textFill>
        </w:rPr>
      </w:pPr>
    </w:p>
    <w:p w14:paraId="55B66A87">
      <w:pPr>
        <w:rPr>
          <w:rFonts w:ascii="方正小标宋_GBK" w:hAnsi="华文宋体" w:eastAsia="方正小标宋_GBK" w:cs="Times New Roman"/>
          <w:bCs/>
          <w:color w:val="0D0D0D" w:themeColor="text1" w:themeTint="F2"/>
          <w:sz w:val="36"/>
          <w:szCs w:val="36"/>
          <w14:textFill>
            <w14:solidFill>
              <w14:schemeClr w14:val="tx1">
                <w14:lumMod w14:val="95000"/>
                <w14:lumOff w14:val="5000"/>
              </w14:schemeClr>
            </w14:solidFill>
          </w14:textFill>
        </w:rPr>
      </w:pPr>
    </w:p>
    <w:p w14:paraId="7915EB97">
      <w:pPr>
        <w:rPr>
          <w:rFonts w:ascii="方正小标宋_GBK" w:hAnsi="华文宋体" w:eastAsia="方正小标宋_GBK" w:cs="Times New Roman"/>
          <w:bCs/>
          <w:color w:val="0D0D0D" w:themeColor="text1" w:themeTint="F2"/>
          <w:sz w:val="36"/>
          <w:szCs w:val="36"/>
          <w14:textFill>
            <w14:solidFill>
              <w14:schemeClr w14:val="tx1">
                <w14:lumMod w14:val="95000"/>
                <w14:lumOff w14:val="5000"/>
              </w14:schemeClr>
            </w14:solidFill>
          </w14:textFill>
        </w:rPr>
      </w:pPr>
    </w:p>
    <w:p w14:paraId="479C5743">
      <w:pPr>
        <w:pStyle w:val="2"/>
        <w:rPr>
          <w:rFonts w:ascii="方正小标宋_GBK" w:hAnsi="华文宋体" w:eastAsia="方正小标宋_GBK" w:cs="Times New Roman"/>
          <w:bCs/>
          <w:color w:val="0D0D0D" w:themeColor="text1" w:themeTint="F2"/>
          <w:sz w:val="36"/>
          <w:szCs w:val="36"/>
          <w14:textFill>
            <w14:solidFill>
              <w14:schemeClr w14:val="tx1">
                <w14:lumMod w14:val="95000"/>
                <w14:lumOff w14:val="5000"/>
              </w14:schemeClr>
            </w14:solidFill>
          </w14:textFill>
        </w:rPr>
      </w:pPr>
    </w:p>
    <w:p w14:paraId="4D9AA5DC">
      <w:pPr>
        <w:rPr>
          <w:rFonts w:ascii="方正小标宋_GBK" w:hAnsi="华文宋体" w:eastAsia="方正小标宋_GBK" w:cs="Times New Roman"/>
          <w:bCs/>
          <w:color w:val="0D0D0D" w:themeColor="text1" w:themeTint="F2"/>
          <w:sz w:val="36"/>
          <w:szCs w:val="36"/>
          <w14:textFill>
            <w14:solidFill>
              <w14:schemeClr w14:val="tx1">
                <w14:lumMod w14:val="95000"/>
                <w14:lumOff w14:val="5000"/>
              </w14:schemeClr>
            </w14:solidFill>
          </w14:textFill>
        </w:rPr>
      </w:pPr>
    </w:p>
    <w:p w14:paraId="7D3168F6">
      <w:pPr>
        <w:pStyle w:val="2"/>
        <w:rPr>
          <w:rFonts w:ascii="方正小标宋_GBK" w:hAnsi="华文宋体" w:eastAsia="方正小标宋_GBK" w:cs="Times New Roman"/>
          <w:bCs/>
          <w:color w:val="0D0D0D" w:themeColor="text1" w:themeTint="F2"/>
          <w:sz w:val="36"/>
          <w:szCs w:val="36"/>
          <w14:textFill>
            <w14:solidFill>
              <w14:schemeClr w14:val="tx1">
                <w14:lumMod w14:val="95000"/>
                <w14:lumOff w14:val="5000"/>
              </w14:schemeClr>
            </w14:solidFill>
          </w14:textFill>
        </w:rPr>
      </w:pPr>
    </w:p>
    <w:p w14:paraId="47598638">
      <w:pPr>
        <w:rPr>
          <w:rFonts w:ascii="方正小标宋_GBK" w:hAnsi="华文宋体" w:eastAsia="方正小标宋_GBK" w:cs="Times New Roman"/>
          <w:bCs/>
          <w:color w:val="0D0D0D" w:themeColor="text1" w:themeTint="F2"/>
          <w:sz w:val="36"/>
          <w:szCs w:val="36"/>
          <w14:textFill>
            <w14:solidFill>
              <w14:schemeClr w14:val="tx1">
                <w14:lumMod w14:val="95000"/>
                <w14:lumOff w14:val="5000"/>
              </w14:schemeClr>
            </w14:solidFill>
          </w14:textFill>
        </w:rPr>
      </w:pPr>
    </w:p>
    <w:p w14:paraId="2482D627">
      <w:pPr>
        <w:rPr>
          <w:rFonts w:ascii="方正小标宋_GBK" w:hAnsi="华文宋体" w:eastAsia="方正小标宋_GBK" w:cs="Times New Roman"/>
          <w:bCs/>
          <w:color w:val="0D0D0D" w:themeColor="text1" w:themeTint="F2"/>
          <w:sz w:val="36"/>
          <w:szCs w:val="36"/>
          <w14:textFill>
            <w14:solidFill>
              <w14:schemeClr w14:val="tx1">
                <w14:lumMod w14:val="95000"/>
                <w14:lumOff w14:val="5000"/>
              </w14:schemeClr>
            </w14:solidFill>
          </w14:textFill>
        </w:rPr>
      </w:pPr>
    </w:p>
    <w:p w14:paraId="7E8BFF5B">
      <w:pPr>
        <w:pStyle w:val="2"/>
      </w:pPr>
    </w:p>
    <w:p w14:paraId="4296AC53">
      <w:pPr>
        <w:rPr>
          <w:rFonts w:ascii="方正小标宋_GBK" w:hAnsi="华文宋体" w:eastAsia="方正小标宋_GBK" w:cs="Times New Roman"/>
          <w:bCs/>
          <w:color w:val="0D0D0D" w:themeColor="text1" w:themeTint="F2"/>
          <w:sz w:val="36"/>
          <w:szCs w:val="36"/>
          <w14:textFill>
            <w14:solidFill>
              <w14:schemeClr w14:val="tx1">
                <w14:lumMod w14:val="95000"/>
                <w14:lumOff w14:val="5000"/>
              </w14:schemeClr>
            </w14:solidFill>
          </w14:textFill>
        </w:rPr>
      </w:pPr>
    </w:p>
    <w:p w14:paraId="591A78B9">
      <w:pPr>
        <w:spacing w:line="594" w:lineRule="exact"/>
        <w:ind w:firstLine="0" w:firstLineChars="0"/>
        <w:jc w:val="center"/>
        <w:rPr>
          <w:rFonts w:ascii="Times New Roman" w:hAnsi="Times New Roman" w:eastAsia="方正黑体简体" w:cs="Times New Roman"/>
          <w:kern w:val="2"/>
          <w:sz w:val="32"/>
          <w:lang w:val="en-US" w:eastAsia="zh-CN" w:bidi="ar-SA"/>
        </w:rPr>
      </w:pPr>
      <w:r>
        <w:rPr>
          <w:rFonts w:ascii="Times New Roman" w:hAnsi="Times New Roman" w:eastAsia="方正黑体简体" w:cs="Times New Roman"/>
          <w:kern w:val="2"/>
          <w:sz w:val="32"/>
          <w:lang w:val="en-US" w:eastAsia="zh-CN" w:bidi="ar-SA"/>
        </w:rPr>
        <w:t>重庆市北碚区人民政府</w:t>
      </w:r>
    </w:p>
    <w:p w14:paraId="6A96421A">
      <w:pPr>
        <w:spacing w:line="594" w:lineRule="exact"/>
        <w:ind w:firstLine="0" w:firstLineChars="0"/>
        <w:jc w:val="center"/>
        <w:rPr>
          <w:rFonts w:hint="default" w:ascii="Times New Roman" w:hAnsi="Times New Roman" w:eastAsia="方正黑体简体" w:cs="Times New Roman"/>
          <w:kern w:val="2"/>
          <w:sz w:val="32"/>
          <w:lang w:val="en-US" w:eastAsia="zh-CN" w:bidi="ar-SA"/>
        </w:rPr>
      </w:pPr>
      <w:r>
        <w:rPr>
          <w:rFonts w:hint="default" w:ascii="Times New Roman" w:hAnsi="Times New Roman" w:eastAsia="方正黑体简体" w:cs="Times New Roman"/>
          <w:kern w:val="2"/>
          <w:sz w:val="32"/>
          <w:lang w:val="en-US" w:eastAsia="zh-CN" w:bidi="ar-SA"/>
        </w:rPr>
        <w:t>2020年1</w:t>
      </w:r>
      <w:r>
        <w:rPr>
          <w:rFonts w:hint="eastAsia" w:ascii="Times New Roman" w:hAnsi="Times New Roman" w:eastAsia="方正黑体简体" w:cs="Times New Roman"/>
          <w:kern w:val="2"/>
          <w:sz w:val="32"/>
          <w:lang w:val="en-US" w:eastAsia="zh-CN" w:bidi="ar-SA"/>
        </w:rPr>
        <w:t>1</w:t>
      </w:r>
      <w:r>
        <w:rPr>
          <w:rFonts w:hint="default" w:ascii="Times New Roman" w:hAnsi="Times New Roman" w:eastAsia="方正黑体简体" w:cs="Times New Roman"/>
          <w:kern w:val="2"/>
          <w:sz w:val="32"/>
          <w:lang w:val="en-US" w:eastAsia="zh-CN" w:bidi="ar-SA"/>
        </w:rPr>
        <w:t>月</w:t>
      </w:r>
    </w:p>
    <w:p w14:paraId="77F185DF">
      <w:pPr>
        <w:rPr>
          <w:rFonts w:ascii="方正小标宋_GBK" w:hAnsi="华文宋体" w:eastAsia="方正小标宋_GBK" w:cs="Times New Roman"/>
          <w:bCs/>
          <w:color w:val="0D0D0D" w:themeColor="text1" w:themeTint="F2"/>
          <w:sz w:val="36"/>
          <w:szCs w:val="36"/>
          <w14:textFill>
            <w14:solidFill>
              <w14:schemeClr w14:val="tx1">
                <w14:lumMod w14:val="95000"/>
                <w14:lumOff w14:val="5000"/>
              </w14:schemeClr>
            </w14:solidFill>
          </w14:textFill>
        </w:rPr>
      </w:pPr>
    </w:p>
    <w:p w14:paraId="0669E430">
      <w:pPr>
        <w:rPr>
          <w:rFonts w:ascii="方正小标宋_GBK" w:hAnsi="华文宋体" w:eastAsia="方正小标宋_GBK" w:cs="Times New Roman"/>
          <w:bCs/>
          <w:color w:val="0D0D0D" w:themeColor="text1" w:themeTint="F2"/>
          <w:sz w:val="36"/>
          <w:szCs w:val="36"/>
          <w14:textFill>
            <w14:solidFill>
              <w14:schemeClr w14:val="tx1">
                <w14:lumMod w14:val="95000"/>
                <w14:lumOff w14:val="5000"/>
              </w14:schemeClr>
            </w14:solidFill>
          </w14:textFill>
        </w:rPr>
      </w:pPr>
    </w:p>
    <w:p w14:paraId="347AD13E">
      <w:pPr>
        <w:rPr>
          <w:rFonts w:ascii="方正小标宋_GBK" w:hAnsi="华文宋体" w:eastAsia="方正小标宋_GBK" w:cs="Times New Roman"/>
          <w:bCs/>
          <w:color w:val="0D0D0D" w:themeColor="text1" w:themeTint="F2"/>
          <w:sz w:val="36"/>
          <w:szCs w:val="36"/>
          <w14:textFill>
            <w14:solidFill>
              <w14:schemeClr w14:val="tx1">
                <w14:lumMod w14:val="95000"/>
                <w14:lumOff w14:val="5000"/>
              </w14:schemeClr>
            </w14:solidFill>
          </w14:textFill>
        </w:rPr>
      </w:pPr>
    </w:p>
    <w:p w14:paraId="0E690AE2">
      <w:pPr>
        <w:rPr>
          <w:rFonts w:ascii="方正小标宋_GBK" w:hAnsi="华文宋体" w:eastAsia="方正小标宋_GBK" w:cs="Times New Roman"/>
          <w:bCs/>
          <w:color w:val="0D0D0D" w:themeColor="text1" w:themeTint="F2"/>
          <w:sz w:val="36"/>
          <w:szCs w:val="36"/>
          <w14:textFill>
            <w14:solidFill>
              <w14:schemeClr w14:val="tx1">
                <w14:lumMod w14:val="95000"/>
                <w14:lumOff w14:val="5000"/>
              </w14:schemeClr>
            </w14:solidFill>
          </w14:textFill>
        </w:rPr>
      </w:pPr>
    </w:p>
    <w:p w14:paraId="7A225B5F">
      <w:pPr>
        <w:rPr>
          <w:rFonts w:ascii="方正小标宋_GBK" w:hAnsi="华文宋体" w:eastAsia="方正小标宋_GBK" w:cs="Times New Roman"/>
          <w:bCs/>
          <w:color w:val="0D0D0D" w:themeColor="text1" w:themeTint="F2"/>
          <w:sz w:val="36"/>
          <w:szCs w:val="36"/>
          <w14:textFill>
            <w14:solidFill>
              <w14:schemeClr w14:val="tx1">
                <w14:lumMod w14:val="95000"/>
                <w14:lumOff w14:val="5000"/>
              </w14:schemeClr>
            </w14:solidFill>
          </w14:textFill>
        </w:rPr>
      </w:pPr>
    </w:p>
    <w:p w14:paraId="63F524E6">
      <w:pPr>
        <w:rPr>
          <w:rFonts w:ascii="方正小标宋_GBK" w:hAnsi="华文宋体" w:eastAsia="方正小标宋_GBK" w:cs="Times New Roman"/>
          <w:bCs/>
          <w:color w:val="0D0D0D" w:themeColor="text1" w:themeTint="F2"/>
          <w:sz w:val="36"/>
          <w:szCs w:val="36"/>
          <w14:textFill>
            <w14:solidFill>
              <w14:schemeClr w14:val="tx1">
                <w14:lumMod w14:val="95000"/>
                <w14:lumOff w14:val="5000"/>
              </w14:schemeClr>
            </w14:solidFill>
          </w14:textFill>
        </w:rPr>
      </w:pPr>
    </w:p>
    <w:p w14:paraId="3A0CE438">
      <w:pPr>
        <w:rPr>
          <w:rFonts w:ascii="方正小标宋_GBK" w:hAnsi="华文宋体" w:eastAsia="方正小标宋_GBK" w:cs="Times New Roman"/>
          <w:bCs/>
          <w:color w:val="0D0D0D" w:themeColor="text1" w:themeTint="F2"/>
          <w:sz w:val="36"/>
          <w:szCs w:val="36"/>
          <w14:textFill>
            <w14:solidFill>
              <w14:schemeClr w14:val="tx1">
                <w14:lumMod w14:val="95000"/>
                <w14:lumOff w14:val="5000"/>
              </w14:schemeClr>
            </w14:solidFill>
          </w14:textFill>
        </w:rPr>
        <w:sectPr>
          <w:headerReference r:id="rId5" w:type="first"/>
          <w:footerReference r:id="rId7" w:type="first"/>
          <w:headerReference r:id="rId4" w:type="default"/>
          <w:footerReference r:id="rId6" w:type="default"/>
          <w:pgSz w:w="11906" w:h="16838"/>
          <w:pgMar w:top="2098" w:right="1474" w:bottom="1984" w:left="1587" w:header="851" w:footer="992" w:gutter="0"/>
          <w:cols w:space="425" w:num="1"/>
          <w:titlePg/>
          <w:docGrid w:type="lines" w:linePitch="312" w:charSpace="0"/>
        </w:sectPr>
      </w:pPr>
    </w:p>
    <w:p w14:paraId="1C3C53B9">
      <w:pPr>
        <w:spacing w:before="100" w:beforeAutospacing="1" w:after="100" w:afterAutospacing="1" w:line="594" w:lineRule="exact"/>
        <w:jc w:val="center"/>
        <w:outlineLvl w:val="0"/>
        <w:rPr>
          <w:rFonts w:ascii="方正黑体_GBK" w:eastAsia="方正黑体_GBK"/>
          <w:bCs/>
          <w:sz w:val="32"/>
          <w:szCs w:val="32"/>
        </w:rPr>
      </w:pPr>
      <w:bookmarkStart w:id="3" w:name="_Toc38720106"/>
      <w:bookmarkStart w:id="4" w:name="_Toc37070727"/>
      <w:bookmarkStart w:id="5" w:name="_Toc48157842"/>
      <w:bookmarkStart w:id="6" w:name="_Toc38390045"/>
      <w:bookmarkStart w:id="7" w:name="_Toc45490198"/>
      <w:bookmarkStart w:id="8" w:name="_Toc38671615"/>
      <w:r>
        <w:rPr>
          <w:rFonts w:ascii="方正黑体_GBK" w:eastAsia="方正黑体_GBK"/>
          <w:bCs/>
          <w:sz w:val="32"/>
          <w:szCs w:val="32"/>
        </w:rPr>
        <w:t>前 言</w:t>
      </w:r>
      <w:bookmarkEnd w:id="3"/>
      <w:bookmarkEnd w:id="4"/>
      <w:bookmarkEnd w:id="5"/>
      <w:bookmarkEnd w:id="6"/>
      <w:bookmarkEnd w:id="7"/>
      <w:bookmarkEnd w:id="8"/>
    </w:p>
    <w:p w14:paraId="50A4971E">
      <w:pPr>
        <w:autoSpaceDE w:val="0"/>
        <w:autoSpaceDN w:val="0"/>
        <w:spacing w:line="594" w:lineRule="exact"/>
        <w:ind w:firstLine="640" w:firstLineChars="200"/>
        <w:rPr>
          <w:rFonts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t>北碚位于重庆主城</w:t>
      </w:r>
      <w:r>
        <w:rPr>
          <w:rFonts w:hint="eastAsia"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t>都市区</w:t>
      </w:r>
      <w:r>
        <w:rPr>
          <w:rFonts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t>西北面，是重庆</w:t>
      </w:r>
      <w:r>
        <w:rPr>
          <w:rFonts w:hint="eastAsia"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t>主城都市区九个中心城区</w:t>
      </w:r>
      <w:r>
        <w:rPr>
          <w:rFonts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t>之一，</w:t>
      </w:r>
      <w:r>
        <w:rPr>
          <w:rFonts w:hint="eastAsia"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t>原名白碚，始于清初，因场镇建于嘉陵江畔，有白石自江岸横亘江心称“碚石”而得名。清乾隆年间因白碚地处巴县县境之北，改名北碚镇。</w:t>
      </w:r>
      <w:r>
        <w:rPr>
          <w:rFonts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t>1953年后伴随西南大区行署撤销，川东行署区所在地北碚市并入重庆，成</w:t>
      </w:r>
      <w:r>
        <w:rPr>
          <w:rFonts w:hint="eastAsia"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t>为重庆市第六区。1955年10月，重庆市第六区改名为重庆市北碚区。</w:t>
      </w:r>
    </w:p>
    <w:p w14:paraId="18E877D9">
      <w:pPr>
        <w:autoSpaceDE w:val="0"/>
        <w:autoSpaceDN w:val="0"/>
        <w:spacing w:line="594" w:lineRule="exact"/>
        <w:ind w:firstLine="640" w:firstLineChars="200"/>
        <w:rPr>
          <w:rFonts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t>北碚区自然风貌在重庆主城都市区独占鳌头，在这绵延</w:t>
      </w:r>
      <w:r>
        <w:rPr>
          <w:rFonts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t>755平方公里的土地上，山、水、林、泉、峡、寺浑然一体，</w:t>
      </w:r>
      <w:r>
        <w:rPr>
          <w:rFonts w:hint="eastAsia"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t>城镇田园</w:t>
      </w:r>
      <w:r>
        <w:rPr>
          <w:rFonts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t>相依入画，自然资源得天独厚</w:t>
      </w:r>
      <w:r>
        <w:rPr>
          <w:rFonts w:hint="eastAsia"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t>，被誉为嘉陵江上的“明珠”、重庆主城都市区“后花园”。作为</w:t>
      </w:r>
      <w:r>
        <w:rPr>
          <w:rFonts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t>上世纪20年代到40年代乡村建设思潮与乡村建设</w:t>
      </w:r>
      <w:r>
        <w:rPr>
          <w:rFonts w:hint="eastAsia"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t>的成功典范</w:t>
      </w:r>
      <w:r>
        <w:rPr>
          <w:rFonts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t>，</w:t>
      </w:r>
      <w:r>
        <w:rPr>
          <w:rFonts w:hint="eastAsia"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t>自</w:t>
      </w:r>
      <w:r>
        <w:rPr>
          <w:rFonts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t>卢作孚先生</w:t>
      </w:r>
      <w:r>
        <w:rPr>
          <w:rFonts w:hint="eastAsia"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t>规划</w:t>
      </w:r>
      <w:r>
        <w:rPr>
          <w:rFonts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t>建设起，</w:t>
      </w:r>
      <w:r>
        <w:rPr>
          <w:rFonts w:hint="eastAsia"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t>即</w:t>
      </w:r>
      <w:r>
        <w:rPr>
          <w:rFonts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t>始终坚持人与自然和谐发展理念</w:t>
      </w:r>
      <w:r>
        <w:rPr>
          <w:rFonts w:hint="eastAsia"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t>—“人人皆为园艺家”，聘请了丹麦规划大师守尔慈对北碚进行了“乡村现代化”建设规划，使北碚的自然生态环境和社会环境“皆清洁，皆美丽，皆有秩序，皆可住居，皆可游览”，开创了近代乡村城镇化建设的先河，是中国历史上第一个事先规划、逐步按计划建设的经济开发区，自建成以来便以其以其浓郁的文化氛围、著名的风景名胜、雄厚的科技实力、秀丽的花园城区名扬四方。经过一个世纪的发展，北碚区目前已发展成为国家层面的重点发展区域、重庆主城向北向西发展交汇的主战场、成渝“双核”相向发展的对接带，具有重庆两江新区、高新区、自贸区“三区叠加”优势，生态环境优良、文化底蕴厚重、科教优势突出、产业基础较好、发展空间较大，在重庆“一区两群”协调发展、成渝地区双城经济圈建设中大有可为。</w:t>
      </w:r>
    </w:p>
    <w:p w14:paraId="3B4635DA">
      <w:pPr>
        <w:autoSpaceDE w:val="0"/>
        <w:autoSpaceDN w:val="0"/>
        <w:spacing w:line="594" w:lineRule="exact"/>
        <w:ind w:firstLine="640" w:firstLineChars="200"/>
        <w:rPr>
          <w:rFonts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t>历年来，北碚区委、区政府努力在推动经济高质量发展和生态环境高水平保护中践行初心使命，坚持学好用好“两山论”，走深走实“两化路”，不断促进产业经济与生态环境两者间的协调发展，在生态文明体制改革、生态环境保护、绿色产业发展和生态文明创建等方面作出了一系列有益尝试和积极探索，取得了丰硕的成果，先后荣获了全国首批风景名胜区、国家环保模范城区、国家级生态示范区、国家卫生城区、国家公共文化服务体系示范区、全国绿化模范城市（区）、国家园林城区、全国优秀旅游城市、森林城市标准化示范区、国家可持续发展先进示范区、国家生态文明建设示范区、中国民间文化艺术之乡、中国花木之乡、全国休闲农业与乡村旅游示范点、中国美丽休闲乡村、国家级节约型公共机构示范单位等几十余项国家级殊荣，被联合国人居环境署授予“迪拜国际人居环境良好范例奖”，蜚声海内外。</w:t>
      </w:r>
    </w:p>
    <w:p w14:paraId="3A4B7335">
      <w:pPr>
        <w:autoSpaceDE w:val="0"/>
        <w:autoSpaceDN w:val="0"/>
        <w:spacing w:line="594" w:lineRule="exact"/>
        <w:ind w:firstLine="640" w:firstLineChars="200"/>
        <w:rPr>
          <w:rFonts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t>为深入贯彻新时代习近平生态文明思想，牢固树立“绿水青山就是金山银山”的发展理念，全面推动北碚国家“绿水青山就是金山银山”实践创新基地创建工作，系统梳理总结全区已有的“两山”转化经验，进一步探索“两山”转化路径、发掘“两山”转化价值、巩固和提升“两山”转化成效，按照《关于印发</w:t>
      </w:r>
      <w:r>
        <w:rPr>
          <w:rFonts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t>&lt;国家生态文明建设示范市县建设指标&gt;和&lt;“绿水青山就是金山银山”实践创新基地建设管理规程（试行）&gt;的通知》（环生态〔2019〕76号）</w:t>
      </w:r>
      <w:r>
        <w:rPr>
          <w:rFonts w:hint="eastAsia"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t>、《北碚区建设“绿水青山就是金山银山”实践创新基地规划（</w:t>
      </w:r>
      <w:r>
        <w:rPr>
          <w:rFonts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t>2020-2025年）</w:t>
      </w:r>
      <w:r>
        <w:rPr>
          <w:rFonts w:hint="eastAsia"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t>》相关要求，北碚区组织编制了《北碚区建设“绿水青山就是金山银山”实践创新基地实施方案（</w:t>
      </w:r>
      <w:r>
        <w:rPr>
          <w:rFonts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t>2020-2025年）》</w:t>
      </w:r>
      <w:r>
        <w:rPr>
          <w:rFonts w:hint="eastAsia"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t>。本方案立足北碚区建设国家“绿水青山就是金山银山”实践创新基地战略目标，明确了“生态美、产业兴、百姓富”的建设总体目标，提出了“强化自然生态空间管控，坚决守住绿水青山”、“提高生态产品供给能力，保值增值自然资本”、“推动绿色高质量发展，推动金山银山转化”、“打造形象平台模式，推动绿色惠民富民”、“创新机制完善政策，构建内生持续动力”等五大战略任务，是规划期内北碚区协同推进经济高质量发展和生态环境高水平保护、建设“绿水青山就是金山银山”实践创新基地的发展蓝图。</w:t>
      </w:r>
    </w:p>
    <w:p w14:paraId="78A5C786">
      <w:pPr>
        <w:autoSpaceDE w:val="0"/>
        <w:autoSpaceDN w:val="0"/>
        <w:spacing w:line="594" w:lineRule="exact"/>
        <w:ind w:firstLine="640" w:firstLineChars="200"/>
        <w:rPr>
          <w:rFonts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pPr>
    </w:p>
    <w:p w14:paraId="710F71E2">
      <w:pPr>
        <w:autoSpaceDE w:val="0"/>
        <w:autoSpaceDN w:val="0"/>
        <w:spacing w:line="594" w:lineRule="exact"/>
        <w:ind w:firstLine="640" w:firstLineChars="200"/>
        <w:rPr>
          <w:rFonts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sectPr>
          <w:footerReference r:id="rId9" w:type="first"/>
          <w:footerReference r:id="rId8" w:type="default"/>
          <w:pgSz w:w="11906" w:h="16838"/>
          <w:pgMar w:top="1440" w:right="1800" w:bottom="1440" w:left="1800" w:header="851" w:footer="992" w:gutter="0"/>
          <w:pgNumType w:fmt="lowerRoman" w:start="1"/>
          <w:cols w:space="425" w:num="1"/>
          <w:titlePg/>
          <w:docGrid w:type="lines" w:linePitch="312" w:charSpace="0"/>
        </w:sectPr>
      </w:pPr>
    </w:p>
    <w:p w14:paraId="04AE3007">
      <w:pPr>
        <w:autoSpaceDE w:val="0"/>
        <w:autoSpaceDN w:val="0"/>
        <w:spacing w:line="594" w:lineRule="exact"/>
        <w:ind w:firstLine="640" w:firstLineChars="200"/>
        <w:rPr>
          <w:rFonts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pPr>
    </w:p>
    <w:p w14:paraId="494BFBB9">
      <w:pPr>
        <w:autoSpaceDE w:val="0"/>
        <w:autoSpaceDN w:val="0"/>
        <w:spacing w:line="594" w:lineRule="exact"/>
        <w:ind w:firstLine="640" w:firstLineChars="200"/>
        <w:rPr>
          <w:rFonts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pPr>
    </w:p>
    <w:p w14:paraId="29BD9C5E">
      <w:pPr>
        <w:autoSpaceDE w:val="0"/>
        <w:autoSpaceDN w:val="0"/>
        <w:spacing w:line="594" w:lineRule="exact"/>
        <w:ind w:firstLine="640" w:firstLineChars="200"/>
        <w:rPr>
          <w:rFonts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pPr>
    </w:p>
    <w:p w14:paraId="581AE038">
      <w:pPr>
        <w:autoSpaceDE w:val="0"/>
        <w:autoSpaceDN w:val="0"/>
        <w:spacing w:line="594" w:lineRule="exact"/>
        <w:ind w:firstLine="640" w:firstLineChars="200"/>
        <w:rPr>
          <w:rFonts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pPr>
    </w:p>
    <w:p w14:paraId="02D16CFA">
      <w:pPr>
        <w:autoSpaceDE w:val="0"/>
        <w:autoSpaceDN w:val="0"/>
        <w:spacing w:line="594" w:lineRule="exact"/>
        <w:ind w:firstLine="640" w:firstLineChars="200"/>
        <w:rPr>
          <w:rFonts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pPr>
    </w:p>
    <w:p w14:paraId="6568A366">
      <w:pPr>
        <w:autoSpaceDE w:val="0"/>
        <w:autoSpaceDN w:val="0"/>
        <w:spacing w:line="594" w:lineRule="exact"/>
        <w:ind w:firstLine="640" w:firstLineChars="200"/>
        <w:rPr>
          <w:rFonts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pPr>
    </w:p>
    <w:p w14:paraId="602C56C0">
      <w:pPr>
        <w:rPr>
          <w:rFonts w:ascii="方正小标宋_GBK" w:hAnsi="华文宋体" w:eastAsia="方正小标宋_GBK" w:cs="Times New Roman"/>
          <w:bCs/>
          <w:color w:val="0D0D0D" w:themeColor="text1" w:themeTint="F2"/>
          <w:sz w:val="36"/>
          <w:szCs w:val="36"/>
          <w14:textFill>
            <w14:solidFill>
              <w14:schemeClr w14:val="tx1">
                <w14:lumMod w14:val="95000"/>
                <w14:lumOff w14:val="5000"/>
              </w14:schemeClr>
            </w14:solidFill>
          </w14:textFill>
        </w:rPr>
      </w:pPr>
    </w:p>
    <w:p w14:paraId="2AC5D249">
      <w:pPr>
        <w:rPr>
          <w:rFonts w:ascii="方正小标宋_GBK" w:hAnsi="华文宋体" w:eastAsia="方正小标宋_GBK" w:cs="Times New Roman"/>
          <w:bCs/>
          <w:color w:val="0D0D0D" w:themeColor="text1" w:themeTint="F2"/>
          <w:sz w:val="36"/>
          <w:szCs w:val="36"/>
          <w14:textFill>
            <w14:solidFill>
              <w14:schemeClr w14:val="tx1">
                <w14:lumMod w14:val="95000"/>
                <w14:lumOff w14:val="5000"/>
              </w14:schemeClr>
            </w14:solidFill>
          </w14:textFill>
        </w:rPr>
        <w:sectPr>
          <w:footerReference r:id="rId10" w:type="first"/>
          <w:pgSz w:w="11906" w:h="16838"/>
          <w:pgMar w:top="1440" w:right="1800" w:bottom="1440" w:left="1800" w:header="851" w:footer="992" w:gutter="0"/>
          <w:pgNumType w:fmt="lowerRoman" w:start="1"/>
          <w:cols w:space="425" w:num="1"/>
          <w:titlePg/>
          <w:docGrid w:type="lines" w:linePitch="312" w:charSpace="0"/>
        </w:sectPr>
      </w:pPr>
    </w:p>
    <w:bookmarkEnd w:id="1"/>
    <w:bookmarkEnd w:id="2"/>
    <w:sdt>
      <w:sdtPr>
        <w:rPr>
          <w:rFonts w:asciiTheme="minorHAnsi" w:hAnsiTheme="minorHAnsi" w:eastAsiaTheme="minorEastAsia" w:cstheme="minorBidi"/>
          <w:bCs/>
          <w:color w:val="auto"/>
          <w:kern w:val="2"/>
          <w:sz w:val="21"/>
          <w:szCs w:val="22"/>
          <w:lang w:val="zh-CN"/>
        </w:rPr>
        <w:id w:val="1032154460"/>
        <w:docPartObj>
          <w:docPartGallery w:val="Table of Contents"/>
          <w:docPartUnique/>
        </w:docPartObj>
      </w:sdtPr>
      <w:sdtEndPr>
        <w:rPr>
          <w:rFonts w:ascii="Times New Roman" w:hAnsi="Times New Roman" w:cs="Times New Roman" w:eastAsiaTheme="minorEastAsia"/>
          <w:bCs/>
          <w:color w:val="auto"/>
          <w:kern w:val="2"/>
          <w:sz w:val="24"/>
          <w:szCs w:val="24"/>
          <w:lang w:val="zh-CN"/>
        </w:rPr>
      </w:sdtEndPr>
      <w:sdtContent>
        <w:p w14:paraId="0F5CA794">
          <w:pPr>
            <w:jc w:val="center"/>
            <w:rPr>
              <w:rFonts w:ascii="Times New Roman" w:hAnsi="Times New Roman" w:eastAsia="方正小标宋_GBK" w:cs="Times New Roman"/>
              <w:bCs/>
              <w:color w:val="auto"/>
            </w:rPr>
          </w:pPr>
          <w:r>
            <w:rPr>
              <w:rFonts w:ascii="Times New Roman" w:hAnsi="Times New Roman" w:eastAsia="方正小标宋_GBK" w:cs="Times New Roman"/>
              <w:bCs/>
              <w:color w:val="auto"/>
              <w:lang w:val="zh-CN"/>
            </w:rPr>
            <w:t>目 录</w:t>
          </w:r>
        </w:p>
        <w:p w14:paraId="78AFB818">
          <w:pPr>
            <w:tabs>
              <w:tab w:val="right" w:leader="dot" w:pos="9004"/>
            </w:tabs>
            <w:spacing w:line="596" w:lineRule="exact"/>
            <w:rPr>
              <w:rFonts w:ascii="Times New Roman" w:hAnsi="Times New Roman" w:cs="Times New Roman"/>
              <w:sz w:val="24"/>
              <w:szCs w:val="24"/>
            </w:rPr>
          </w:pPr>
          <w:r>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 TOC \o "1-2" \h \z \u </w:instrText>
          </w:r>
          <w:r>
            <w:rPr>
              <w:rFonts w:ascii="Times New Roman" w:hAnsi="Times New Roman" w:cs="Times New Roman"/>
              <w:bCs/>
              <w:sz w:val="24"/>
              <w:szCs w:val="24"/>
            </w:rPr>
            <w:fldChar w:fldCharType="separate"/>
          </w:r>
          <w:r>
            <w:fldChar w:fldCharType="begin"/>
          </w:r>
          <w:r>
            <w:instrText xml:space="preserve"> HYPERLINK \l "_Toc48157843" </w:instrText>
          </w:r>
          <w:r>
            <w:fldChar w:fldCharType="separate"/>
          </w:r>
          <w:r>
            <w:rPr>
              <w:rFonts w:ascii="Times New Roman" w:hAnsi="Times New Roman" w:eastAsia="方正黑体_GBK" w:cs="Times New Roman"/>
              <w:bCs/>
              <w:sz w:val="24"/>
              <w:szCs w:val="24"/>
            </w:rPr>
            <w:t>一、建设背景与意义</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_Toc48157843 \h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834492D">
          <w:pPr>
            <w:tabs>
              <w:tab w:val="right" w:leader="dot" w:pos="9004"/>
            </w:tabs>
            <w:spacing w:line="596" w:lineRule="exact"/>
            <w:rPr>
              <w:rFonts w:ascii="Times New Roman" w:hAnsi="Times New Roman" w:cs="Times New Roman"/>
              <w:sz w:val="24"/>
              <w:szCs w:val="24"/>
            </w:rPr>
          </w:pPr>
          <w:r>
            <w:fldChar w:fldCharType="begin"/>
          </w:r>
          <w:r>
            <w:instrText xml:space="preserve"> HYPERLINK \l "_Toc48157844" </w:instrText>
          </w:r>
          <w:r>
            <w:fldChar w:fldCharType="separate"/>
          </w:r>
          <w:r>
            <w:rPr>
              <w:rFonts w:ascii="Times New Roman" w:hAnsi="Times New Roman" w:eastAsia="方正楷体_GBK" w:cs="Times New Roman"/>
              <w:bCs/>
              <w:sz w:val="24"/>
              <w:szCs w:val="24"/>
            </w:rPr>
            <w:t>（一）建设背景</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_Toc48157844 \h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951B9AD">
          <w:pPr>
            <w:tabs>
              <w:tab w:val="right" w:leader="dot" w:pos="9004"/>
            </w:tabs>
            <w:spacing w:line="596" w:lineRule="exact"/>
            <w:rPr>
              <w:rFonts w:ascii="Times New Roman" w:hAnsi="Times New Roman" w:cs="Times New Roman"/>
              <w:sz w:val="24"/>
              <w:szCs w:val="24"/>
            </w:rPr>
          </w:pPr>
          <w:r>
            <w:fldChar w:fldCharType="begin"/>
          </w:r>
          <w:r>
            <w:instrText xml:space="preserve"> HYPERLINK \l "_Toc48157845" </w:instrText>
          </w:r>
          <w:r>
            <w:fldChar w:fldCharType="separate"/>
          </w:r>
          <w:r>
            <w:rPr>
              <w:rFonts w:ascii="Times New Roman" w:hAnsi="Times New Roman" w:eastAsia="方正楷体_GBK" w:cs="Times New Roman"/>
              <w:bCs/>
              <w:sz w:val="24"/>
              <w:szCs w:val="24"/>
            </w:rPr>
            <w:t>（二）目的意义</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_Toc48157845 \h </w:instrText>
          </w:r>
          <w:r>
            <w:rPr>
              <w:rFonts w:ascii="Times New Roman" w:hAnsi="Times New Roman" w:cs="Times New Roman"/>
              <w:sz w:val="24"/>
              <w:szCs w:val="24"/>
            </w:rPr>
            <w:fldChar w:fldCharType="separate"/>
          </w:r>
          <w:r>
            <w:rPr>
              <w:rFonts w:ascii="Times New Roman" w:hAnsi="Times New Roman" w:cs="Times New Roman"/>
              <w:sz w:val="24"/>
              <w:szCs w:val="24"/>
            </w:rPr>
            <w:t>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E2CB793">
          <w:pPr>
            <w:tabs>
              <w:tab w:val="right" w:leader="dot" w:pos="9004"/>
            </w:tabs>
            <w:spacing w:line="596" w:lineRule="exact"/>
            <w:rPr>
              <w:rFonts w:ascii="Times New Roman" w:hAnsi="Times New Roman" w:cs="Times New Roman"/>
              <w:sz w:val="24"/>
              <w:szCs w:val="24"/>
            </w:rPr>
          </w:pPr>
          <w:r>
            <w:fldChar w:fldCharType="begin"/>
          </w:r>
          <w:r>
            <w:instrText xml:space="preserve"> HYPERLINK \l "_Toc48157846" </w:instrText>
          </w:r>
          <w:r>
            <w:fldChar w:fldCharType="separate"/>
          </w:r>
          <w:r>
            <w:rPr>
              <w:rFonts w:ascii="Times New Roman" w:hAnsi="Times New Roman" w:eastAsia="方正黑体_GBK" w:cs="Times New Roman"/>
              <w:bCs/>
              <w:sz w:val="24"/>
              <w:szCs w:val="24"/>
            </w:rPr>
            <w:t>二、区域概况</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_Toc48157846 \h </w:instrText>
          </w:r>
          <w:r>
            <w:rPr>
              <w:rFonts w:ascii="Times New Roman" w:hAnsi="Times New Roman" w:cs="Times New Roman"/>
              <w:sz w:val="24"/>
              <w:szCs w:val="24"/>
            </w:rPr>
            <w:fldChar w:fldCharType="separate"/>
          </w:r>
          <w:r>
            <w:rPr>
              <w:rFonts w:ascii="Times New Roman" w:hAnsi="Times New Roman" w:cs="Times New Roman"/>
              <w:sz w:val="24"/>
              <w:szCs w:val="24"/>
            </w:rPr>
            <w:t>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638D4EC">
          <w:pPr>
            <w:tabs>
              <w:tab w:val="right" w:leader="dot" w:pos="9004"/>
            </w:tabs>
            <w:spacing w:line="596" w:lineRule="exact"/>
            <w:rPr>
              <w:rFonts w:ascii="Times New Roman" w:hAnsi="Times New Roman" w:cs="Times New Roman"/>
              <w:sz w:val="24"/>
              <w:szCs w:val="24"/>
            </w:rPr>
          </w:pPr>
          <w:r>
            <w:fldChar w:fldCharType="begin"/>
          </w:r>
          <w:r>
            <w:instrText xml:space="preserve"> HYPERLINK \l "_Toc48157847" </w:instrText>
          </w:r>
          <w:r>
            <w:fldChar w:fldCharType="separate"/>
          </w:r>
          <w:r>
            <w:rPr>
              <w:rFonts w:ascii="Times New Roman" w:hAnsi="Times New Roman" w:eastAsia="方正楷体_GBK" w:cs="Times New Roman"/>
              <w:bCs/>
              <w:sz w:val="24"/>
              <w:szCs w:val="24"/>
            </w:rPr>
            <w:t>（一）区位概况</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_Toc48157847 \h </w:instrText>
          </w:r>
          <w:r>
            <w:rPr>
              <w:rFonts w:ascii="Times New Roman" w:hAnsi="Times New Roman" w:cs="Times New Roman"/>
              <w:sz w:val="24"/>
              <w:szCs w:val="24"/>
            </w:rPr>
            <w:fldChar w:fldCharType="separate"/>
          </w:r>
          <w:r>
            <w:rPr>
              <w:rFonts w:ascii="Times New Roman" w:hAnsi="Times New Roman" w:cs="Times New Roman"/>
              <w:sz w:val="24"/>
              <w:szCs w:val="24"/>
            </w:rPr>
            <w:t>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0B4EC5B">
          <w:pPr>
            <w:tabs>
              <w:tab w:val="right" w:leader="dot" w:pos="9004"/>
            </w:tabs>
            <w:spacing w:line="596" w:lineRule="exact"/>
            <w:rPr>
              <w:rFonts w:ascii="Times New Roman" w:hAnsi="Times New Roman" w:cs="Times New Roman"/>
              <w:sz w:val="24"/>
              <w:szCs w:val="24"/>
            </w:rPr>
          </w:pPr>
          <w:r>
            <w:fldChar w:fldCharType="begin"/>
          </w:r>
          <w:r>
            <w:instrText xml:space="preserve"> HYPERLINK \l "_Toc48157848" </w:instrText>
          </w:r>
          <w:r>
            <w:fldChar w:fldCharType="separate"/>
          </w:r>
          <w:r>
            <w:rPr>
              <w:rFonts w:ascii="Times New Roman" w:hAnsi="Times New Roman" w:eastAsia="方正楷体_GBK" w:cs="Times New Roman"/>
              <w:bCs/>
              <w:sz w:val="24"/>
              <w:szCs w:val="24"/>
            </w:rPr>
            <w:t>（二）交通概况</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_Toc48157848 \h </w:instrText>
          </w:r>
          <w:r>
            <w:rPr>
              <w:rFonts w:ascii="Times New Roman" w:hAnsi="Times New Roman" w:cs="Times New Roman"/>
              <w:sz w:val="24"/>
              <w:szCs w:val="24"/>
            </w:rPr>
            <w:fldChar w:fldCharType="separate"/>
          </w:r>
          <w:r>
            <w:rPr>
              <w:rFonts w:ascii="Times New Roman" w:hAnsi="Times New Roman" w:cs="Times New Roman"/>
              <w:sz w:val="24"/>
              <w:szCs w:val="24"/>
            </w:rPr>
            <w:t>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4394E8E">
          <w:pPr>
            <w:tabs>
              <w:tab w:val="right" w:leader="dot" w:pos="9004"/>
            </w:tabs>
            <w:spacing w:line="596" w:lineRule="exact"/>
            <w:rPr>
              <w:rFonts w:ascii="Times New Roman" w:hAnsi="Times New Roman" w:cs="Times New Roman"/>
              <w:sz w:val="24"/>
              <w:szCs w:val="24"/>
            </w:rPr>
          </w:pPr>
          <w:r>
            <w:fldChar w:fldCharType="begin"/>
          </w:r>
          <w:r>
            <w:instrText xml:space="preserve"> HYPERLINK \l "_Toc48157849" </w:instrText>
          </w:r>
          <w:r>
            <w:fldChar w:fldCharType="separate"/>
          </w:r>
          <w:r>
            <w:rPr>
              <w:rFonts w:ascii="Times New Roman" w:hAnsi="Times New Roman" w:eastAsia="方正楷体_GBK" w:cs="Times New Roman"/>
              <w:bCs/>
              <w:sz w:val="24"/>
              <w:szCs w:val="24"/>
            </w:rPr>
            <w:t>（三）自然状况</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_Toc48157849 \h </w:instrText>
          </w:r>
          <w:r>
            <w:rPr>
              <w:rFonts w:ascii="Times New Roman" w:hAnsi="Times New Roman" w:cs="Times New Roman"/>
              <w:sz w:val="24"/>
              <w:szCs w:val="24"/>
            </w:rPr>
            <w:fldChar w:fldCharType="separate"/>
          </w:r>
          <w:r>
            <w:rPr>
              <w:rFonts w:ascii="Times New Roman" w:hAnsi="Times New Roman" w:cs="Times New Roman"/>
              <w:sz w:val="24"/>
              <w:szCs w:val="24"/>
            </w:rPr>
            <w:t>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DA30374">
          <w:pPr>
            <w:tabs>
              <w:tab w:val="right" w:leader="dot" w:pos="9004"/>
            </w:tabs>
            <w:spacing w:line="596" w:lineRule="exact"/>
            <w:rPr>
              <w:rFonts w:ascii="Times New Roman" w:hAnsi="Times New Roman" w:cs="Times New Roman"/>
              <w:sz w:val="24"/>
              <w:szCs w:val="24"/>
            </w:rPr>
          </w:pPr>
          <w:r>
            <w:fldChar w:fldCharType="begin"/>
          </w:r>
          <w:r>
            <w:instrText xml:space="preserve"> HYPERLINK \l "_Toc48157850" </w:instrText>
          </w:r>
          <w:r>
            <w:fldChar w:fldCharType="separate"/>
          </w:r>
          <w:r>
            <w:rPr>
              <w:rFonts w:ascii="Times New Roman" w:hAnsi="Times New Roman" w:eastAsia="方正楷体_GBK" w:cs="Times New Roman"/>
              <w:bCs/>
              <w:sz w:val="24"/>
              <w:szCs w:val="24"/>
            </w:rPr>
            <w:t>（四）资源状况</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_Toc48157850 \h </w:instrText>
          </w:r>
          <w:r>
            <w:rPr>
              <w:rFonts w:ascii="Times New Roman" w:hAnsi="Times New Roman" w:cs="Times New Roman"/>
              <w:sz w:val="24"/>
              <w:szCs w:val="24"/>
            </w:rPr>
            <w:fldChar w:fldCharType="separate"/>
          </w:r>
          <w:r>
            <w:rPr>
              <w:rFonts w:ascii="Times New Roman" w:hAnsi="Times New Roman" w:cs="Times New Roman"/>
              <w:sz w:val="24"/>
              <w:szCs w:val="24"/>
            </w:rPr>
            <w:t>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9DD61E3">
          <w:pPr>
            <w:tabs>
              <w:tab w:val="right" w:leader="dot" w:pos="9004"/>
            </w:tabs>
            <w:spacing w:line="596" w:lineRule="exact"/>
            <w:rPr>
              <w:rFonts w:ascii="Times New Roman" w:hAnsi="Times New Roman" w:cs="Times New Roman"/>
              <w:sz w:val="24"/>
              <w:szCs w:val="24"/>
            </w:rPr>
          </w:pPr>
          <w:r>
            <w:fldChar w:fldCharType="begin"/>
          </w:r>
          <w:r>
            <w:instrText xml:space="preserve"> HYPERLINK \l "_Toc48157851" </w:instrText>
          </w:r>
          <w:r>
            <w:fldChar w:fldCharType="separate"/>
          </w:r>
          <w:r>
            <w:rPr>
              <w:rFonts w:ascii="Times New Roman" w:hAnsi="Times New Roman" w:eastAsia="方正楷体_GBK" w:cs="Times New Roman"/>
              <w:bCs/>
              <w:sz w:val="24"/>
              <w:szCs w:val="24"/>
            </w:rPr>
            <w:t>（五）经济社会状况</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_Toc48157851 \h </w:instrText>
          </w:r>
          <w:r>
            <w:rPr>
              <w:rFonts w:ascii="Times New Roman" w:hAnsi="Times New Roman" w:cs="Times New Roman"/>
              <w:sz w:val="24"/>
              <w:szCs w:val="24"/>
            </w:rPr>
            <w:fldChar w:fldCharType="separate"/>
          </w:r>
          <w:r>
            <w:rPr>
              <w:rFonts w:ascii="Times New Roman" w:hAnsi="Times New Roman" w:cs="Times New Roman"/>
              <w:sz w:val="24"/>
              <w:szCs w:val="24"/>
            </w:rPr>
            <w:t>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E6F4A31">
          <w:pPr>
            <w:tabs>
              <w:tab w:val="right" w:leader="dot" w:pos="9004"/>
            </w:tabs>
            <w:spacing w:line="596" w:lineRule="exact"/>
            <w:rPr>
              <w:rFonts w:ascii="Times New Roman" w:hAnsi="Times New Roman" w:cs="Times New Roman"/>
              <w:sz w:val="24"/>
              <w:szCs w:val="24"/>
            </w:rPr>
          </w:pPr>
          <w:r>
            <w:fldChar w:fldCharType="begin"/>
          </w:r>
          <w:r>
            <w:instrText xml:space="preserve"> HYPERLINK \l "_Toc48157852" </w:instrText>
          </w:r>
          <w:r>
            <w:fldChar w:fldCharType="separate"/>
          </w:r>
          <w:r>
            <w:rPr>
              <w:rFonts w:ascii="Times New Roman" w:hAnsi="Times New Roman" w:eastAsia="方正黑体_GBK" w:cs="Times New Roman"/>
              <w:bCs/>
              <w:sz w:val="24"/>
              <w:szCs w:val="24"/>
            </w:rPr>
            <w:t>三、“两山”实践探索成效与问题分析</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_Toc48157852 \h </w:instrText>
          </w:r>
          <w:r>
            <w:rPr>
              <w:rFonts w:ascii="Times New Roman" w:hAnsi="Times New Roman" w:cs="Times New Roman"/>
              <w:sz w:val="24"/>
              <w:szCs w:val="24"/>
            </w:rPr>
            <w:fldChar w:fldCharType="separate"/>
          </w:r>
          <w:r>
            <w:rPr>
              <w:rFonts w:ascii="Times New Roman" w:hAnsi="Times New Roman" w:cs="Times New Roman"/>
              <w:sz w:val="24"/>
              <w:szCs w:val="24"/>
            </w:rPr>
            <w:t>10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5F27C3B">
          <w:pPr>
            <w:tabs>
              <w:tab w:val="right" w:leader="dot" w:pos="9004"/>
            </w:tabs>
            <w:spacing w:line="596" w:lineRule="exact"/>
            <w:rPr>
              <w:rFonts w:ascii="Times New Roman" w:hAnsi="Times New Roman" w:cs="Times New Roman"/>
              <w:sz w:val="24"/>
              <w:szCs w:val="24"/>
            </w:rPr>
          </w:pPr>
          <w:r>
            <w:fldChar w:fldCharType="begin"/>
          </w:r>
          <w:r>
            <w:instrText xml:space="preserve"> HYPERLINK \l "_Toc48157853" </w:instrText>
          </w:r>
          <w:r>
            <w:fldChar w:fldCharType="separate"/>
          </w:r>
          <w:r>
            <w:rPr>
              <w:rFonts w:ascii="Times New Roman" w:hAnsi="Times New Roman" w:eastAsia="方正楷体_GBK" w:cs="Times New Roman"/>
              <w:bCs/>
              <w:sz w:val="24"/>
              <w:szCs w:val="24"/>
            </w:rPr>
            <w:t>（一）“两山”实践探索进展与成效</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_Toc48157853 \h </w:instrText>
          </w:r>
          <w:r>
            <w:rPr>
              <w:rFonts w:ascii="Times New Roman" w:hAnsi="Times New Roman" w:cs="Times New Roman"/>
              <w:sz w:val="24"/>
              <w:szCs w:val="24"/>
            </w:rPr>
            <w:fldChar w:fldCharType="separate"/>
          </w:r>
          <w:r>
            <w:rPr>
              <w:rFonts w:ascii="Times New Roman" w:hAnsi="Times New Roman" w:cs="Times New Roman"/>
              <w:sz w:val="24"/>
              <w:szCs w:val="24"/>
            </w:rPr>
            <w:t>10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E2EE96B">
          <w:pPr>
            <w:tabs>
              <w:tab w:val="right" w:leader="dot" w:pos="9004"/>
            </w:tabs>
            <w:spacing w:line="596" w:lineRule="exact"/>
            <w:rPr>
              <w:rFonts w:ascii="Times New Roman" w:hAnsi="Times New Roman" w:cs="Times New Roman"/>
              <w:sz w:val="24"/>
              <w:szCs w:val="24"/>
            </w:rPr>
          </w:pPr>
          <w:r>
            <w:fldChar w:fldCharType="begin"/>
          </w:r>
          <w:r>
            <w:instrText xml:space="preserve"> HYPERLINK \l "_Toc48157854" </w:instrText>
          </w:r>
          <w:r>
            <w:fldChar w:fldCharType="separate"/>
          </w:r>
          <w:r>
            <w:rPr>
              <w:rFonts w:ascii="Times New Roman" w:hAnsi="Times New Roman" w:eastAsia="方正楷体_GBK" w:cs="Times New Roman"/>
              <w:bCs/>
              <w:sz w:val="24"/>
              <w:szCs w:val="24"/>
            </w:rPr>
            <w:t>（二）存在主要问题和挑战分析</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_Toc48157854 \h </w:instrText>
          </w:r>
          <w:r>
            <w:rPr>
              <w:rFonts w:ascii="Times New Roman" w:hAnsi="Times New Roman" w:cs="Times New Roman"/>
              <w:sz w:val="24"/>
              <w:szCs w:val="24"/>
            </w:rPr>
            <w:fldChar w:fldCharType="separate"/>
          </w:r>
          <w:r>
            <w:rPr>
              <w:rFonts w:ascii="Times New Roman" w:hAnsi="Times New Roman" w:cs="Times New Roman"/>
              <w:sz w:val="24"/>
              <w:szCs w:val="24"/>
            </w:rPr>
            <w:t>14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15C153D2">
          <w:pPr>
            <w:tabs>
              <w:tab w:val="right" w:leader="dot" w:pos="9004"/>
            </w:tabs>
            <w:spacing w:line="596" w:lineRule="exact"/>
            <w:rPr>
              <w:rFonts w:ascii="Times New Roman" w:hAnsi="Times New Roman" w:cs="Times New Roman"/>
              <w:sz w:val="24"/>
              <w:szCs w:val="24"/>
            </w:rPr>
          </w:pPr>
          <w:r>
            <w:fldChar w:fldCharType="begin"/>
          </w:r>
          <w:r>
            <w:instrText xml:space="preserve"> HYPERLINK \l "_Toc48157855" </w:instrText>
          </w:r>
          <w:r>
            <w:fldChar w:fldCharType="separate"/>
          </w:r>
          <w:r>
            <w:rPr>
              <w:rFonts w:ascii="Times New Roman" w:hAnsi="Times New Roman" w:eastAsia="方正楷体_GBK" w:cs="Times New Roman"/>
              <w:bCs/>
              <w:sz w:val="24"/>
              <w:szCs w:val="24"/>
            </w:rPr>
            <w:t>（三）凝练总结已有的典型案例</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_Toc48157855 \h </w:instrText>
          </w:r>
          <w:r>
            <w:rPr>
              <w:rFonts w:ascii="Times New Roman" w:hAnsi="Times New Roman" w:cs="Times New Roman"/>
              <w:sz w:val="24"/>
              <w:szCs w:val="24"/>
            </w:rPr>
            <w:fldChar w:fldCharType="separate"/>
          </w:r>
          <w:r>
            <w:rPr>
              <w:rFonts w:ascii="Times New Roman" w:hAnsi="Times New Roman" w:cs="Times New Roman"/>
              <w:sz w:val="24"/>
              <w:szCs w:val="24"/>
            </w:rPr>
            <w:t>15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14B6785B">
          <w:pPr>
            <w:tabs>
              <w:tab w:val="right" w:leader="dot" w:pos="9004"/>
            </w:tabs>
            <w:spacing w:line="596" w:lineRule="exact"/>
            <w:rPr>
              <w:rFonts w:ascii="Times New Roman" w:hAnsi="Times New Roman" w:cs="Times New Roman"/>
              <w:sz w:val="24"/>
              <w:szCs w:val="24"/>
            </w:rPr>
          </w:pPr>
          <w:r>
            <w:fldChar w:fldCharType="begin"/>
          </w:r>
          <w:r>
            <w:instrText xml:space="preserve"> HYPERLINK \l "_Toc48157856" </w:instrText>
          </w:r>
          <w:r>
            <w:fldChar w:fldCharType="separate"/>
          </w:r>
          <w:r>
            <w:rPr>
              <w:rFonts w:ascii="Times New Roman" w:hAnsi="Times New Roman" w:eastAsia="方正黑体_GBK" w:cs="Times New Roman"/>
              <w:bCs/>
              <w:sz w:val="24"/>
              <w:szCs w:val="24"/>
            </w:rPr>
            <w:t>四、总体思路</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_Toc48157856 \h </w:instrText>
          </w:r>
          <w:r>
            <w:rPr>
              <w:rFonts w:ascii="Times New Roman" w:hAnsi="Times New Roman" w:cs="Times New Roman"/>
              <w:sz w:val="24"/>
              <w:szCs w:val="24"/>
            </w:rPr>
            <w:fldChar w:fldCharType="separate"/>
          </w:r>
          <w:r>
            <w:rPr>
              <w:rFonts w:ascii="Times New Roman" w:hAnsi="Times New Roman" w:cs="Times New Roman"/>
              <w:sz w:val="24"/>
              <w:szCs w:val="24"/>
            </w:rPr>
            <w:t>34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AE4FBF1">
          <w:pPr>
            <w:tabs>
              <w:tab w:val="right" w:leader="dot" w:pos="9004"/>
            </w:tabs>
            <w:spacing w:line="596" w:lineRule="exact"/>
            <w:rPr>
              <w:rFonts w:ascii="Times New Roman" w:hAnsi="Times New Roman" w:cs="Times New Roman"/>
              <w:sz w:val="24"/>
              <w:szCs w:val="24"/>
            </w:rPr>
          </w:pPr>
          <w:r>
            <w:fldChar w:fldCharType="begin"/>
          </w:r>
          <w:r>
            <w:instrText xml:space="preserve"> HYPERLINK \l "_Toc48157857" </w:instrText>
          </w:r>
          <w:r>
            <w:fldChar w:fldCharType="separate"/>
          </w:r>
          <w:r>
            <w:rPr>
              <w:rFonts w:ascii="Times New Roman" w:hAnsi="Times New Roman" w:eastAsia="方正楷体_GBK" w:cs="Times New Roman"/>
              <w:bCs/>
              <w:sz w:val="24"/>
              <w:szCs w:val="24"/>
            </w:rPr>
            <w:t>（一）指导思想</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_Toc48157857 \h </w:instrText>
          </w:r>
          <w:r>
            <w:rPr>
              <w:rFonts w:ascii="Times New Roman" w:hAnsi="Times New Roman" w:cs="Times New Roman"/>
              <w:sz w:val="24"/>
              <w:szCs w:val="24"/>
            </w:rPr>
            <w:fldChar w:fldCharType="separate"/>
          </w:r>
          <w:r>
            <w:rPr>
              <w:rFonts w:ascii="Times New Roman" w:hAnsi="Times New Roman" w:cs="Times New Roman"/>
              <w:sz w:val="24"/>
              <w:szCs w:val="24"/>
            </w:rPr>
            <w:t>34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D3CA4C0">
          <w:pPr>
            <w:tabs>
              <w:tab w:val="right" w:leader="dot" w:pos="9004"/>
            </w:tabs>
            <w:spacing w:line="596" w:lineRule="exact"/>
            <w:rPr>
              <w:rFonts w:ascii="Times New Roman" w:hAnsi="Times New Roman" w:cs="Times New Roman"/>
              <w:sz w:val="24"/>
              <w:szCs w:val="24"/>
            </w:rPr>
          </w:pPr>
          <w:r>
            <w:fldChar w:fldCharType="begin"/>
          </w:r>
          <w:r>
            <w:instrText xml:space="preserve"> HYPERLINK \l "_Toc48157858" </w:instrText>
          </w:r>
          <w:r>
            <w:fldChar w:fldCharType="separate"/>
          </w:r>
          <w:r>
            <w:rPr>
              <w:rFonts w:ascii="Times New Roman" w:hAnsi="Times New Roman" w:eastAsia="方正楷体_GBK" w:cs="Times New Roman"/>
              <w:bCs/>
              <w:sz w:val="24"/>
              <w:szCs w:val="24"/>
            </w:rPr>
            <w:t>（二）基本原则</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_Toc48157858 \h </w:instrText>
          </w:r>
          <w:r>
            <w:rPr>
              <w:rFonts w:ascii="Times New Roman" w:hAnsi="Times New Roman" w:cs="Times New Roman"/>
              <w:sz w:val="24"/>
              <w:szCs w:val="24"/>
            </w:rPr>
            <w:fldChar w:fldCharType="separate"/>
          </w:r>
          <w:r>
            <w:rPr>
              <w:rFonts w:ascii="Times New Roman" w:hAnsi="Times New Roman" w:cs="Times New Roman"/>
              <w:sz w:val="24"/>
              <w:szCs w:val="24"/>
            </w:rPr>
            <w:t>35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13AA58A">
          <w:pPr>
            <w:tabs>
              <w:tab w:val="right" w:leader="dot" w:pos="9004"/>
            </w:tabs>
            <w:spacing w:line="596" w:lineRule="exact"/>
            <w:rPr>
              <w:rFonts w:ascii="Times New Roman" w:hAnsi="Times New Roman" w:cs="Times New Roman"/>
              <w:sz w:val="24"/>
              <w:szCs w:val="24"/>
            </w:rPr>
          </w:pPr>
          <w:r>
            <w:fldChar w:fldCharType="begin"/>
          </w:r>
          <w:r>
            <w:instrText xml:space="preserve"> HYPERLINK \l "_Toc48157859" </w:instrText>
          </w:r>
          <w:r>
            <w:fldChar w:fldCharType="separate"/>
          </w:r>
          <w:r>
            <w:rPr>
              <w:rFonts w:ascii="Times New Roman" w:hAnsi="Times New Roman" w:eastAsia="方正楷体_GBK" w:cs="Times New Roman"/>
              <w:bCs/>
              <w:sz w:val="24"/>
              <w:szCs w:val="24"/>
            </w:rPr>
            <w:t>（三）总体目标</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_Toc48157859 \h </w:instrText>
          </w:r>
          <w:r>
            <w:rPr>
              <w:rFonts w:ascii="Times New Roman" w:hAnsi="Times New Roman" w:cs="Times New Roman"/>
              <w:sz w:val="24"/>
              <w:szCs w:val="24"/>
            </w:rPr>
            <w:fldChar w:fldCharType="separate"/>
          </w:r>
          <w:r>
            <w:rPr>
              <w:rFonts w:ascii="Times New Roman" w:hAnsi="Times New Roman" w:cs="Times New Roman"/>
              <w:sz w:val="24"/>
              <w:szCs w:val="24"/>
            </w:rPr>
            <w:t>36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B2F9589">
          <w:pPr>
            <w:tabs>
              <w:tab w:val="right" w:leader="dot" w:pos="9004"/>
            </w:tabs>
            <w:spacing w:line="596" w:lineRule="exact"/>
            <w:rPr>
              <w:rFonts w:ascii="Times New Roman" w:hAnsi="Times New Roman" w:cs="Times New Roman"/>
              <w:sz w:val="24"/>
              <w:szCs w:val="24"/>
            </w:rPr>
          </w:pPr>
          <w:r>
            <w:fldChar w:fldCharType="begin"/>
          </w:r>
          <w:r>
            <w:instrText xml:space="preserve"> HYPERLINK \l "_Toc48157860" </w:instrText>
          </w:r>
          <w:r>
            <w:fldChar w:fldCharType="separate"/>
          </w:r>
          <w:r>
            <w:rPr>
              <w:rFonts w:ascii="Times New Roman" w:hAnsi="Times New Roman" w:eastAsia="方正楷体_GBK" w:cs="Times New Roman"/>
              <w:bCs/>
              <w:sz w:val="24"/>
              <w:szCs w:val="24"/>
            </w:rPr>
            <w:t>（四）建设指标</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_Toc48157860 \h </w:instrText>
          </w:r>
          <w:r>
            <w:rPr>
              <w:rFonts w:ascii="Times New Roman" w:hAnsi="Times New Roman" w:cs="Times New Roman"/>
              <w:sz w:val="24"/>
              <w:szCs w:val="24"/>
            </w:rPr>
            <w:fldChar w:fldCharType="separate"/>
          </w:r>
          <w:r>
            <w:rPr>
              <w:rFonts w:ascii="Times New Roman" w:hAnsi="Times New Roman" w:cs="Times New Roman"/>
              <w:sz w:val="24"/>
              <w:szCs w:val="24"/>
            </w:rPr>
            <w:t>37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2EDDED9">
          <w:pPr>
            <w:tabs>
              <w:tab w:val="right" w:leader="dot" w:pos="9004"/>
            </w:tabs>
            <w:spacing w:line="596" w:lineRule="exact"/>
            <w:rPr>
              <w:rFonts w:ascii="Times New Roman" w:hAnsi="Times New Roman" w:cs="Times New Roman"/>
              <w:sz w:val="24"/>
              <w:szCs w:val="24"/>
            </w:rPr>
          </w:pPr>
          <w:r>
            <w:fldChar w:fldCharType="begin"/>
          </w:r>
          <w:r>
            <w:instrText xml:space="preserve"> HYPERLINK \l "_Toc48157861" </w:instrText>
          </w:r>
          <w:r>
            <w:fldChar w:fldCharType="separate"/>
          </w:r>
          <w:r>
            <w:rPr>
              <w:rFonts w:ascii="Times New Roman" w:hAnsi="Times New Roman" w:eastAsia="方正楷体_GBK" w:cs="Times New Roman"/>
              <w:bCs/>
              <w:sz w:val="24"/>
              <w:szCs w:val="24"/>
            </w:rPr>
            <w:t>（五）总体路线</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_Toc48157861 \h </w:instrText>
          </w:r>
          <w:r>
            <w:rPr>
              <w:rFonts w:ascii="Times New Roman" w:hAnsi="Times New Roman" w:cs="Times New Roman"/>
              <w:sz w:val="24"/>
              <w:szCs w:val="24"/>
            </w:rPr>
            <w:fldChar w:fldCharType="separate"/>
          </w:r>
          <w:r>
            <w:rPr>
              <w:rFonts w:ascii="Times New Roman" w:hAnsi="Times New Roman" w:cs="Times New Roman"/>
              <w:sz w:val="24"/>
              <w:szCs w:val="24"/>
            </w:rPr>
            <w:t>39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14D6A27F">
          <w:pPr>
            <w:tabs>
              <w:tab w:val="right" w:leader="dot" w:pos="9004"/>
            </w:tabs>
            <w:spacing w:line="596" w:lineRule="exact"/>
            <w:rPr>
              <w:rFonts w:ascii="Times New Roman" w:hAnsi="Times New Roman" w:cs="Times New Roman"/>
              <w:sz w:val="24"/>
              <w:szCs w:val="24"/>
            </w:rPr>
          </w:pPr>
          <w:r>
            <w:fldChar w:fldCharType="begin"/>
          </w:r>
          <w:r>
            <w:instrText xml:space="preserve"> HYPERLINK \l "_Toc48157862" </w:instrText>
          </w:r>
          <w:r>
            <w:fldChar w:fldCharType="separate"/>
          </w:r>
          <w:r>
            <w:rPr>
              <w:rFonts w:ascii="Times New Roman" w:hAnsi="Times New Roman" w:eastAsia="方正楷体_GBK" w:cs="Times New Roman"/>
              <w:bCs/>
              <w:sz w:val="24"/>
              <w:szCs w:val="24"/>
            </w:rPr>
            <w:t>（六）三大实践区域建设重点布局</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_Toc48157862 \h </w:instrText>
          </w:r>
          <w:r>
            <w:rPr>
              <w:rFonts w:ascii="Times New Roman" w:hAnsi="Times New Roman" w:cs="Times New Roman"/>
              <w:sz w:val="24"/>
              <w:szCs w:val="24"/>
            </w:rPr>
            <w:fldChar w:fldCharType="separate"/>
          </w:r>
          <w:r>
            <w:rPr>
              <w:rFonts w:ascii="Times New Roman" w:hAnsi="Times New Roman" w:cs="Times New Roman"/>
              <w:sz w:val="24"/>
              <w:szCs w:val="24"/>
            </w:rPr>
            <w:t>41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59560E2">
          <w:pPr>
            <w:tabs>
              <w:tab w:val="right" w:leader="dot" w:pos="9004"/>
            </w:tabs>
            <w:spacing w:line="596" w:lineRule="exact"/>
            <w:rPr>
              <w:rFonts w:ascii="Times New Roman" w:hAnsi="Times New Roman" w:cs="Times New Roman"/>
              <w:sz w:val="24"/>
              <w:szCs w:val="24"/>
            </w:rPr>
          </w:pPr>
          <w:r>
            <w:fldChar w:fldCharType="begin"/>
          </w:r>
          <w:r>
            <w:instrText xml:space="preserve"> HYPERLINK \l "_Toc48157863" </w:instrText>
          </w:r>
          <w:r>
            <w:fldChar w:fldCharType="separate"/>
          </w:r>
          <w:r>
            <w:rPr>
              <w:rFonts w:ascii="Times New Roman" w:hAnsi="Times New Roman" w:eastAsia="黑体" w:cs="Times New Roman"/>
              <w:bCs/>
              <w:sz w:val="24"/>
              <w:szCs w:val="24"/>
            </w:rPr>
            <w:t>五、重点任务</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_Toc48157863 \h </w:instrText>
          </w:r>
          <w:r>
            <w:rPr>
              <w:rFonts w:ascii="Times New Roman" w:hAnsi="Times New Roman" w:cs="Times New Roman"/>
              <w:sz w:val="24"/>
              <w:szCs w:val="24"/>
            </w:rPr>
            <w:fldChar w:fldCharType="separate"/>
          </w:r>
          <w:r>
            <w:rPr>
              <w:rFonts w:ascii="Times New Roman" w:hAnsi="Times New Roman" w:cs="Times New Roman"/>
              <w:sz w:val="24"/>
              <w:szCs w:val="24"/>
            </w:rPr>
            <w:t>44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EFDF37E">
          <w:pPr>
            <w:tabs>
              <w:tab w:val="right" w:leader="dot" w:pos="9004"/>
            </w:tabs>
            <w:spacing w:line="596" w:lineRule="exact"/>
            <w:rPr>
              <w:rFonts w:ascii="Times New Roman" w:hAnsi="Times New Roman" w:cs="Times New Roman"/>
              <w:sz w:val="24"/>
              <w:szCs w:val="24"/>
            </w:rPr>
          </w:pPr>
          <w:r>
            <w:fldChar w:fldCharType="begin"/>
          </w:r>
          <w:r>
            <w:instrText xml:space="preserve"> HYPERLINK \l "_Toc48157864" </w:instrText>
          </w:r>
          <w:r>
            <w:fldChar w:fldCharType="separate"/>
          </w:r>
          <w:r>
            <w:rPr>
              <w:rFonts w:ascii="Times New Roman" w:hAnsi="Times New Roman" w:eastAsia="方正楷体_GBK" w:cs="Times New Roman"/>
              <w:bCs/>
              <w:sz w:val="24"/>
              <w:szCs w:val="24"/>
            </w:rPr>
            <w:t>（一）强化自然生态空间管控，坚决守住绿水青山</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_Toc48157864 \h </w:instrText>
          </w:r>
          <w:r>
            <w:rPr>
              <w:rFonts w:ascii="Times New Roman" w:hAnsi="Times New Roman" w:cs="Times New Roman"/>
              <w:sz w:val="24"/>
              <w:szCs w:val="24"/>
            </w:rPr>
            <w:fldChar w:fldCharType="separate"/>
          </w:r>
          <w:r>
            <w:rPr>
              <w:rFonts w:ascii="Times New Roman" w:hAnsi="Times New Roman" w:cs="Times New Roman"/>
              <w:sz w:val="24"/>
              <w:szCs w:val="24"/>
            </w:rPr>
            <w:t>44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AAD3B39">
          <w:pPr>
            <w:tabs>
              <w:tab w:val="right" w:leader="dot" w:pos="9004"/>
            </w:tabs>
            <w:spacing w:line="596" w:lineRule="exact"/>
            <w:rPr>
              <w:rFonts w:ascii="Times New Roman" w:hAnsi="Times New Roman" w:cs="Times New Roman"/>
              <w:sz w:val="24"/>
              <w:szCs w:val="24"/>
            </w:rPr>
          </w:pPr>
          <w:r>
            <w:fldChar w:fldCharType="begin"/>
          </w:r>
          <w:r>
            <w:instrText xml:space="preserve"> HYPERLINK \l "_Toc48157865" </w:instrText>
          </w:r>
          <w:r>
            <w:fldChar w:fldCharType="separate"/>
          </w:r>
          <w:r>
            <w:rPr>
              <w:rFonts w:ascii="Times New Roman" w:hAnsi="Times New Roman" w:eastAsia="方正楷体_GBK" w:cs="Times New Roman"/>
              <w:bCs/>
              <w:sz w:val="24"/>
              <w:szCs w:val="24"/>
            </w:rPr>
            <w:t>（二）提高生态产品供给能力，保值增值自然资本</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_Toc48157865 \h </w:instrText>
          </w:r>
          <w:r>
            <w:rPr>
              <w:rFonts w:ascii="Times New Roman" w:hAnsi="Times New Roman" w:cs="Times New Roman"/>
              <w:sz w:val="24"/>
              <w:szCs w:val="24"/>
            </w:rPr>
            <w:fldChar w:fldCharType="separate"/>
          </w:r>
          <w:r>
            <w:rPr>
              <w:rFonts w:ascii="Times New Roman" w:hAnsi="Times New Roman" w:cs="Times New Roman"/>
              <w:sz w:val="24"/>
              <w:szCs w:val="24"/>
            </w:rPr>
            <w:t>52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4C01C7E">
          <w:pPr>
            <w:tabs>
              <w:tab w:val="right" w:leader="dot" w:pos="9004"/>
            </w:tabs>
            <w:spacing w:line="596" w:lineRule="exact"/>
            <w:rPr>
              <w:rFonts w:ascii="Times New Roman" w:hAnsi="Times New Roman" w:cs="Times New Roman"/>
              <w:sz w:val="24"/>
              <w:szCs w:val="24"/>
            </w:rPr>
          </w:pPr>
          <w:r>
            <w:fldChar w:fldCharType="begin"/>
          </w:r>
          <w:r>
            <w:instrText xml:space="preserve"> HYPERLINK \l "_Toc48157866" </w:instrText>
          </w:r>
          <w:r>
            <w:fldChar w:fldCharType="separate"/>
          </w:r>
          <w:r>
            <w:rPr>
              <w:rFonts w:ascii="Times New Roman" w:hAnsi="Times New Roman" w:eastAsia="方正楷体_GBK" w:cs="Times New Roman"/>
              <w:bCs/>
              <w:sz w:val="24"/>
              <w:szCs w:val="24"/>
            </w:rPr>
            <w:t>（三）推进绿色高质量发展，推动金山银山转化</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_Toc48157866 \h </w:instrText>
          </w:r>
          <w:r>
            <w:rPr>
              <w:rFonts w:ascii="Times New Roman" w:hAnsi="Times New Roman" w:cs="Times New Roman"/>
              <w:sz w:val="24"/>
              <w:szCs w:val="24"/>
            </w:rPr>
            <w:fldChar w:fldCharType="separate"/>
          </w:r>
          <w:r>
            <w:rPr>
              <w:rFonts w:ascii="Times New Roman" w:hAnsi="Times New Roman" w:cs="Times New Roman"/>
              <w:sz w:val="24"/>
              <w:szCs w:val="24"/>
            </w:rPr>
            <w:t>57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1FC406F0">
          <w:pPr>
            <w:tabs>
              <w:tab w:val="right" w:leader="dot" w:pos="9004"/>
            </w:tabs>
            <w:spacing w:line="596" w:lineRule="exact"/>
            <w:rPr>
              <w:rFonts w:ascii="Times New Roman" w:hAnsi="Times New Roman" w:cs="Times New Roman"/>
              <w:sz w:val="24"/>
              <w:szCs w:val="24"/>
            </w:rPr>
          </w:pPr>
          <w:r>
            <w:fldChar w:fldCharType="begin"/>
          </w:r>
          <w:r>
            <w:instrText xml:space="preserve"> HYPERLINK \l "_Toc48157867" </w:instrText>
          </w:r>
          <w:r>
            <w:fldChar w:fldCharType="separate"/>
          </w:r>
          <w:r>
            <w:rPr>
              <w:rFonts w:ascii="Times New Roman" w:hAnsi="Times New Roman" w:eastAsia="方正楷体_GBK" w:cs="Times New Roman"/>
              <w:bCs/>
              <w:sz w:val="24"/>
              <w:szCs w:val="24"/>
            </w:rPr>
            <w:t>（四）打造形象平台模式，推动绿色惠民富民</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_Toc48157867 \h </w:instrText>
          </w:r>
          <w:r>
            <w:rPr>
              <w:rFonts w:ascii="Times New Roman" w:hAnsi="Times New Roman" w:cs="Times New Roman"/>
              <w:sz w:val="24"/>
              <w:szCs w:val="24"/>
            </w:rPr>
            <w:fldChar w:fldCharType="separate"/>
          </w:r>
          <w:r>
            <w:rPr>
              <w:rFonts w:ascii="Times New Roman" w:hAnsi="Times New Roman" w:cs="Times New Roman"/>
              <w:sz w:val="24"/>
              <w:szCs w:val="24"/>
            </w:rPr>
            <w:t>62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FE1A3BF">
          <w:pPr>
            <w:tabs>
              <w:tab w:val="right" w:leader="dot" w:pos="9004"/>
            </w:tabs>
            <w:spacing w:line="596" w:lineRule="exact"/>
            <w:rPr>
              <w:rFonts w:ascii="Times New Roman" w:hAnsi="Times New Roman" w:cs="Times New Roman"/>
              <w:sz w:val="24"/>
              <w:szCs w:val="24"/>
            </w:rPr>
          </w:pPr>
          <w:r>
            <w:fldChar w:fldCharType="begin"/>
          </w:r>
          <w:r>
            <w:instrText xml:space="preserve"> HYPERLINK \l "_Toc48157868" </w:instrText>
          </w:r>
          <w:r>
            <w:fldChar w:fldCharType="separate"/>
          </w:r>
          <w:r>
            <w:rPr>
              <w:rFonts w:ascii="Times New Roman" w:hAnsi="Times New Roman" w:eastAsia="方正楷体_GBK" w:cs="Times New Roman"/>
              <w:bCs/>
              <w:sz w:val="24"/>
              <w:szCs w:val="24"/>
            </w:rPr>
            <w:t>（五）创新机制完善政策，构建内生持续动力</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_Toc48157868 \h </w:instrText>
          </w:r>
          <w:r>
            <w:rPr>
              <w:rFonts w:ascii="Times New Roman" w:hAnsi="Times New Roman" w:cs="Times New Roman"/>
              <w:sz w:val="24"/>
              <w:szCs w:val="24"/>
            </w:rPr>
            <w:fldChar w:fldCharType="separate"/>
          </w:r>
          <w:r>
            <w:rPr>
              <w:rFonts w:ascii="Times New Roman" w:hAnsi="Times New Roman" w:cs="Times New Roman"/>
              <w:sz w:val="24"/>
              <w:szCs w:val="24"/>
            </w:rPr>
            <w:t>65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F199AA1">
          <w:pPr>
            <w:tabs>
              <w:tab w:val="right" w:leader="dot" w:pos="9004"/>
            </w:tabs>
            <w:spacing w:line="596" w:lineRule="exact"/>
            <w:rPr>
              <w:rFonts w:ascii="Times New Roman" w:hAnsi="Times New Roman" w:eastAsia="方正黑体_GBK" w:cs="Times New Roman"/>
              <w:bCs/>
            </w:rPr>
          </w:pPr>
          <w:r>
            <w:fldChar w:fldCharType="begin"/>
          </w:r>
          <w:r>
            <w:instrText xml:space="preserve"> HYPERLINK \l "_Toc48157869" </w:instrText>
          </w:r>
          <w:r>
            <w:fldChar w:fldCharType="separate"/>
          </w:r>
          <w:r>
            <w:rPr>
              <w:rFonts w:ascii="Times New Roman" w:hAnsi="Times New Roman" w:eastAsia="方正黑体_GBK" w:cs="Times New Roman"/>
              <w:bCs/>
              <w:sz w:val="24"/>
              <w:szCs w:val="24"/>
            </w:rPr>
            <w:t>六、工程项目</w:t>
          </w:r>
          <w:r>
            <w:rPr>
              <w:rFonts w:ascii="Times New Roman" w:hAnsi="Times New Roman" w:eastAsia="方正黑体_GBK" w:cs="Times New Roman"/>
              <w:bCs/>
            </w:rPr>
            <w:tab/>
          </w:r>
          <w:r>
            <w:rPr>
              <w:rFonts w:ascii="Times New Roman" w:hAnsi="Times New Roman" w:eastAsia="方正黑体_GBK" w:cs="Times New Roman"/>
              <w:bCs/>
            </w:rPr>
            <w:fldChar w:fldCharType="begin"/>
          </w:r>
          <w:r>
            <w:rPr>
              <w:rFonts w:ascii="Times New Roman" w:hAnsi="Times New Roman" w:eastAsia="方正黑体_GBK" w:cs="Times New Roman"/>
              <w:bCs/>
            </w:rPr>
            <w:instrText xml:space="preserve"> PAGEREF _Toc48157869 \h </w:instrText>
          </w:r>
          <w:r>
            <w:rPr>
              <w:rFonts w:ascii="Times New Roman" w:hAnsi="Times New Roman" w:eastAsia="方正黑体_GBK" w:cs="Times New Roman"/>
              <w:bCs/>
            </w:rPr>
            <w:fldChar w:fldCharType="separate"/>
          </w:r>
          <w:r>
            <w:rPr>
              <w:rFonts w:ascii="Times New Roman" w:hAnsi="Times New Roman" w:eastAsia="方正黑体_GBK" w:cs="Times New Roman"/>
              <w:bCs/>
            </w:rPr>
            <w:t>72</w:t>
          </w:r>
          <w:r>
            <w:rPr>
              <w:rFonts w:ascii="Times New Roman" w:hAnsi="Times New Roman" w:eastAsia="方正黑体_GBK" w:cs="Times New Roman"/>
              <w:bCs/>
            </w:rPr>
            <w:fldChar w:fldCharType="end"/>
          </w:r>
          <w:r>
            <w:rPr>
              <w:rFonts w:ascii="Times New Roman" w:hAnsi="Times New Roman" w:eastAsia="方正黑体_GBK" w:cs="Times New Roman"/>
              <w:bCs/>
            </w:rPr>
            <w:fldChar w:fldCharType="end"/>
          </w:r>
        </w:p>
        <w:p w14:paraId="22BB7291">
          <w:pPr>
            <w:tabs>
              <w:tab w:val="right" w:leader="dot" w:pos="9004"/>
            </w:tabs>
            <w:spacing w:line="596" w:lineRule="exact"/>
            <w:rPr>
              <w:rFonts w:ascii="Times New Roman" w:hAnsi="Times New Roman" w:eastAsia="方正黑体_GBK" w:cs="Times New Roman"/>
              <w:bCs/>
            </w:rPr>
          </w:pPr>
          <w:r>
            <w:fldChar w:fldCharType="begin"/>
          </w:r>
          <w:r>
            <w:instrText xml:space="preserve"> HYPERLINK \l "_Toc48157870" </w:instrText>
          </w:r>
          <w:r>
            <w:fldChar w:fldCharType="separate"/>
          </w:r>
          <w:r>
            <w:rPr>
              <w:rFonts w:ascii="Times New Roman" w:hAnsi="Times New Roman" w:eastAsia="方正黑体_GBK" w:cs="Times New Roman"/>
              <w:bCs/>
              <w:sz w:val="24"/>
              <w:szCs w:val="24"/>
            </w:rPr>
            <w:t>七、保障措施</w:t>
          </w:r>
          <w:r>
            <w:rPr>
              <w:rFonts w:ascii="Times New Roman" w:hAnsi="Times New Roman" w:eastAsia="方正黑体_GBK" w:cs="Times New Roman"/>
              <w:bCs/>
            </w:rPr>
            <w:tab/>
          </w:r>
          <w:r>
            <w:rPr>
              <w:rFonts w:ascii="Times New Roman" w:hAnsi="Times New Roman" w:eastAsia="方正黑体_GBK" w:cs="Times New Roman"/>
              <w:bCs/>
            </w:rPr>
            <w:fldChar w:fldCharType="begin"/>
          </w:r>
          <w:r>
            <w:rPr>
              <w:rFonts w:ascii="Times New Roman" w:hAnsi="Times New Roman" w:eastAsia="方正黑体_GBK" w:cs="Times New Roman"/>
              <w:bCs/>
            </w:rPr>
            <w:instrText xml:space="preserve"> PAGEREF _Toc48157870 \h </w:instrText>
          </w:r>
          <w:r>
            <w:rPr>
              <w:rFonts w:ascii="Times New Roman" w:hAnsi="Times New Roman" w:eastAsia="方正黑体_GBK" w:cs="Times New Roman"/>
              <w:bCs/>
            </w:rPr>
            <w:fldChar w:fldCharType="separate"/>
          </w:r>
          <w:r>
            <w:rPr>
              <w:rFonts w:ascii="Times New Roman" w:hAnsi="Times New Roman" w:eastAsia="方正黑体_GBK" w:cs="Times New Roman"/>
              <w:bCs/>
            </w:rPr>
            <w:t>72</w:t>
          </w:r>
          <w:r>
            <w:rPr>
              <w:rFonts w:ascii="Times New Roman" w:hAnsi="Times New Roman" w:eastAsia="方正黑体_GBK" w:cs="Times New Roman"/>
              <w:bCs/>
            </w:rPr>
            <w:fldChar w:fldCharType="end"/>
          </w:r>
          <w:r>
            <w:rPr>
              <w:rFonts w:ascii="Times New Roman" w:hAnsi="Times New Roman" w:eastAsia="方正黑体_GBK" w:cs="Times New Roman"/>
              <w:bCs/>
            </w:rPr>
            <w:fldChar w:fldCharType="end"/>
          </w:r>
        </w:p>
        <w:p w14:paraId="480EC0F9">
          <w:pPr>
            <w:tabs>
              <w:tab w:val="right" w:leader="dot" w:pos="9004"/>
            </w:tabs>
            <w:spacing w:line="596" w:lineRule="exact"/>
            <w:rPr>
              <w:rFonts w:ascii="Times New Roman" w:hAnsi="Times New Roman" w:cs="Times New Roman"/>
              <w:sz w:val="24"/>
              <w:szCs w:val="24"/>
            </w:rPr>
          </w:pPr>
          <w:r>
            <w:fldChar w:fldCharType="begin"/>
          </w:r>
          <w:r>
            <w:instrText xml:space="preserve"> HYPERLINK \l "_Toc48157871" </w:instrText>
          </w:r>
          <w:r>
            <w:fldChar w:fldCharType="separate"/>
          </w:r>
          <w:r>
            <w:rPr>
              <w:rFonts w:ascii="Times New Roman" w:hAnsi="Times New Roman" w:eastAsia="方正楷体_GBK" w:cs="Times New Roman"/>
              <w:bCs/>
              <w:sz w:val="24"/>
              <w:szCs w:val="24"/>
            </w:rPr>
            <w:t>（一）强化组织领导</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_Toc48157871 \h </w:instrText>
          </w:r>
          <w:r>
            <w:rPr>
              <w:rFonts w:ascii="Times New Roman" w:hAnsi="Times New Roman" w:cs="Times New Roman"/>
              <w:sz w:val="24"/>
              <w:szCs w:val="24"/>
            </w:rPr>
            <w:fldChar w:fldCharType="separate"/>
          </w:r>
          <w:r>
            <w:rPr>
              <w:rFonts w:ascii="Times New Roman" w:hAnsi="Times New Roman" w:cs="Times New Roman"/>
              <w:sz w:val="24"/>
              <w:szCs w:val="24"/>
            </w:rPr>
            <w:t>73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A5E89EA">
          <w:pPr>
            <w:tabs>
              <w:tab w:val="right" w:leader="dot" w:pos="9004"/>
            </w:tabs>
            <w:spacing w:line="596" w:lineRule="exact"/>
            <w:rPr>
              <w:rFonts w:ascii="Times New Roman" w:hAnsi="Times New Roman" w:cs="Times New Roman"/>
              <w:sz w:val="24"/>
              <w:szCs w:val="24"/>
            </w:rPr>
          </w:pPr>
          <w:r>
            <w:fldChar w:fldCharType="begin"/>
          </w:r>
          <w:r>
            <w:instrText xml:space="preserve"> HYPERLINK \l "_Toc48157872" </w:instrText>
          </w:r>
          <w:r>
            <w:fldChar w:fldCharType="separate"/>
          </w:r>
          <w:r>
            <w:rPr>
              <w:rFonts w:ascii="Times New Roman" w:hAnsi="Times New Roman" w:eastAsia="方正楷体_GBK" w:cs="Times New Roman"/>
              <w:bCs/>
              <w:sz w:val="24"/>
              <w:szCs w:val="24"/>
            </w:rPr>
            <w:t>（二）落实目标责任</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_Toc48157872 \h </w:instrText>
          </w:r>
          <w:r>
            <w:rPr>
              <w:rFonts w:ascii="Times New Roman" w:hAnsi="Times New Roman" w:cs="Times New Roman"/>
              <w:sz w:val="24"/>
              <w:szCs w:val="24"/>
            </w:rPr>
            <w:fldChar w:fldCharType="separate"/>
          </w:r>
          <w:r>
            <w:rPr>
              <w:rFonts w:ascii="Times New Roman" w:hAnsi="Times New Roman" w:cs="Times New Roman"/>
              <w:sz w:val="24"/>
              <w:szCs w:val="24"/>
            </w:rPr>
            <w:t>73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9006989">
          <w:pPr>
            <w:tabs>
              <w:tab w:val="right" w:leader="dot" w:pos="9004"/>
            </w:tabs>
            <w:spacing w:line="596" w:lineRule="exact"/>
            <w:rPr>
              <w:rFonts w:ascii="Times New Roman" w:hAnsi="Times New Roman" w:cs="Times New Roman"/>
              <w:sz w:val="24"/>
              <w:szCs w:val="24"/>
            </w:rPr>
          </w:pPr>
          <w:r>
            <w:fldChar w:fldCharType="begin"/>
          </w:r>
          <w:r>
            <w:instrText xml:space="preserve"> HYPERLINK \l "_Toc48157873" </w:instrText>
          </w:r>
          <w:r>
            <w:fldChar w:fldCharType="separate"/>
          </w:r>
          <w:r>
            <w:rPr>
              <w:rFonts w:ascii="Times New Roman" w:hAnsi="Times New Roman" w:eastAsia="方正楷体_GBK" w:cs="Times New Roman"/>
              <w:bCs/>
              <w:sz w:val="24"/>
              <w:szCs w:val="24"/>
            </w:rPr>
            <w:t>（三）严格督查考核</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_Toc48157873 \h </w:instrText>
          </w:r>
          <w:r>
            <w:rPr>
              <w:rFonts w:ascii="Times New Roman" w:hAnsi="Times New Roman" w:cs="Times New Roman"/>
              <w:sz w:val="24"/>
              <w:szCs w:val="24"/>
            </w:rPr>
            <w:fldChar w:fldCharType="separate"/>
          </w:r>
          <w:r>
            <w:rPr>
              <w:rFonts w:ascii="Times New Roman" w:hAnsi="Times New Roman" w:cs="Times New Roman"/>
              <w:sz w:val="24"/>
              <w:szCs w:val="24"/>
            </w:rPr>
            <w:t>73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1B265460">
          <w:pPr>
            <w:tabs>
              <w:tab w:val="right" w:leader="dot" w:pos="9004"/>
            </w:tabs>
            <w:spacing w:line="596" w:lineRule="exact"/>
            <w:rPr>
              <w:rFonts w:ascii="Times New Roman" w:hAnsi="Times New Roman" w:cs="Times New Roman"/>
              <w:sz w:val="24"/>
              <w:szCs w:val="24"/>
            </w:rPr>
          </w:pPr>
          <w:r>
            <w:fldChar w:fldCharType="begin"/>
          </w:r>
          <w:r>
            <w:instrText xml:space="preserve"> HYPERLINK \l "_Toc48157874" </w:instrText>
          </w:r>
          <w:r>
            <w:fldChar w:fldCharType="separate"/>
          </w:r>
          <w:r>
            <w:rPr>
              <w:rFonts w:ascii="Times New Roman" w:hAnsi="Times New Roman" w:eastAsia="方正楷体_GBK" w:cs="Times New Roman"/>
              <w:bCs/>
              <w:sz w:val="24"/>
              <w:szCs w:val="24"/>
            </w:rPr>
            <w:t>（四）加强资金保障</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_Toc48157874 \h </w:instrText>
          </w:r>
          <w:r>
            <w:rPr>
              <w:rFonts w:ascii="Times New Roman" w:hAnsi="Times New Roman" w:cs="Times New Roman"/>
              <w:sz w:val="24"/>
              <w:szCs w:val="24"/>
            </w:rPr>
            <w:fldChar w:fldCharType="separate"/>
          </w:r>
          <w:r>
            <w:rPr>
              <w:rFonts w:ascii="Times New Roman" w:hAnsi="Times New Roman" w:cs="Times New Roman"/>
              <w:sz w:val="24"/>
              <w:szCs w:val="24"/>
            </w:rPr>
            <w:t>73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89B9F7C">
          <w:pPr>
            <w:tabs>
              <w:tab w:val="right" w:leader="dot" w:pos="9004"/>
            </w:tabs>
            <w:spacing w:line="596" w:lineRule="exact"/>
            <w:rPr>
              <w:rFonts w:ascii="Times New Roman" w:hAnsi="Times New Roman" w:cs="Times New Roman"/>
              <w:sz w:val="24"/>
              <w:szCs w:val="24"/>
            </w:rPr>
          </w:pPr>
          <w:r>
            <w:fldChar w:fldCharType="begin"/>
          </w:r>
          <w:r>
            <w:instrText xml:space="preserve"> HYPERLINK \l "_Toc48157875" </w:instrText>
          </w:r>
          <w:r>
            <w:fldChar w:fldCharType="separate"/>
          </w:r>
          <w:r>
            <w:rPr>
              <w:rFonts w:ascii="Times New Roman" w:hAnsi="Times New Roman" w:eastAsia="方正楷体_GBK" w:cs="Times New Roman"/>
              <w:bCs/>
              <w:sz w:val="24"/>
              <w:szCs w:val="24"/>
            </w:rPr>
            <w:t>（五）强化宣传引导</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_Toc48157875 \h </w:instrText>
          </w:r>
          <w:r>
            <w:rPr>
              <w:rFonts w:ascii="Times New Roman" w:hAnsi="Times New Roman" w:cs="Times New Roman"/>
              <w:sz w:val="24"/>
              <w:szCs w:val="24"/>
            </w:rPr>
            <w:fldChar w:fldCharType="separate"/>
          </w:r>
          <w:r>
            <w:rPr>
              <w:rFonts w:ascii="Times New Roman" w:hAnsi="Times New Roman" w:cs="Times New Roman"/>
              <w:sz w:val="24"/>
              <w:szCs w:val="24"/>
            </w:rPr>
            <w:t>74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6340F47">
          <w:pPr>
            <w:tabs>
              <w:tab w:val="right" w:leader="dot" w:pos="9004"/>
            </w:tabs>
            <w:spacing w:line="596" w:lineRule="exact"/>
            <w:rPr>
              <w:rFonts w:ascii="Times New Roman" w:hAnsi="Times New Roman" w:cs="Times New Roman"/>
              <w:sz w:val="24"/>
              <w:szCs w:val="24"/>
            </w:rPr>
          </w:pPr>
          <w:r>
            <w:fldChar w:fldCharType="begin"/>
          </w:r>
          <w:r>
            <w:instrText xml:space="preserve"> HYPERLINK \l "_Toc48157876" </w:instrText>
          </w:r>
          <w:r>
            <w:fldChar w:fldCharType="separate"/>
          </w:r>
          <w:r>
            <w:rPr>
              <w:rFonts w:ascii="Times New Roman" w:hAnsi="Times New Roman" w:eastAsia="方正黑体_GBK" w:cs="Times New Roman"/>
              <w:bCs/>
              <w:sz w:val="24"/>
              <w:szCs w:val="24"/>
            </w:rPr>
            <w:t>附件1 主要部门职责分工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_Toc48157876 \h </w:instrText>
          </w:r>
          <w:r>
            <w:rPr>
              <w:rFonts w:ascii="Times New Roman" w:hAnsi="Times New Roman" w:cs="Times New Roman"/>
              <w:sz w:val="24"/>
              <w:szCs w:val="24"/>
            </w:rPr>
            <w:fldChar w:fldCharType="separate"/>
          </w:r>
          <w:r>
            <w:rPr>
              <w:rFonts w:ascii="Times New Roman" w:hAnsi="Times New Roman" w:cs="Times New Roman"/>
              <w:sz w:val="24"/>
              <w:szCs w:val="24"/>
            </w:rPr>
            <w:t>75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2857B0F">
          <w:pPr>
            <w:tabs>
              <w:tab w:val="right" w:leader="dot" w:pos="9004"/>
            </w:tabs>
            <w:spacing w:line="596" w:lineRule="exact"/>
            <w:rPr>
              <w:rFonts w:ascii="Times New Roman" w:hAnsi="Times New Roman" w:cs="Times New Roman"/>
              <w:sz w:val="24"/>
              <w:szCs w:val="24"/>
            </w:rPr>
          </w:pPr>
          <w:r>
            <w:fldChar w:fldCharType="begin"/>
          </w:r>
          <w:r>
            <w:instrText xml:space="preserve"> HYPERLINK \l "_Toc48157877" </w:instrText>
          </w:r>
          <w:r>
            <w:fldChar w:fldCharType="separate"/>
          </w:r>
          <w:r>
            <w:rPr>
              <w:rFonts w:ascii="Times New Roman" w:hAnsi="Times New Roman" w:eastAsia="方正楷体_GBK" w:cs="Times New Roman"/>
              <w:bCs/>
              <w:sz w:val="24"/>
              <w:szCs w:val="24"/>
            </w:rPr>
            <w:t>（一）区纪委监委工作责任</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_Toc48157877 \h </w:instrText>
          </w:r>
          <w:r>
            <w:rPr>
              <w:rFonts w:ascii="Times New Roman" w:hAnsi="Times New Roman" w:cs="Times New Roman"/>
              <w:sz w:val="24"/>
              <w:szCs w:val="24"/>
            </w:rPr>
            <w:fldChar w:fldCharType="separate"/>
          </w:r>
          <w:r>
            <w:rPr>
              <w:rFonts w:ascii="Times New Roman" w:hAnsi="Times New Roman" w:cs="Times New Roman"/>
              <w:sz w:val="24"/>
              <w:szCs w:val="24"/>
            </w:rPr>
            <w:t>75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47CBA43">
          <w:pPr>
            <w:tabs>
              <w:tab w:val="right" w:leader="dot" w:pos="9004"/>
            </w:tabs>
            <w:spacing w:line="596" w:lineRule="exact"/>
            <w:rPr>
              <w:rFonts w:ascii="Times New Roman" w:hAnsi="Times New Roman" w:cs="Times New Roman"/>
              <w:sz w:val="24"/>
              <w:szCs w:val="24"/>
            </w:rPr>
          </w:pPr>
          <w:r>
            <w:fldChar w:fldCharType="begin"/>
          </w:r>
          <w:r>
            <w:instrText xml:space="preserve"> HYPERLINK \l "_Toc48157878" </w:instrText>
          </w:r>
          <w:r>
            <w:fldChar w:fldCharType="separate"/>
          </w:r>
          <w:r>
            <w:rPr>
              <w:rFonts w:ascii="Times New Roman" w:hAnsi="Times New Roman" w:eastAsia="方正楷体_GBK" w:cs="Times New Roman"/>
              <w:bCs/>
              <w:sz w:val="24"/>
              <w:szCs w:val="24"/>
            </w:rPr>
            <w:t>（二）区委组织部工作责任</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_Toc48157878 \h </w:instrText>
          </w:r>
          <w:r>
            <w:rPr>
              <w:rFonts w:ascii="Times New Roman" w:hAnsi="Times New Roman" w:cs="Times New Roman"/>
              <w:sz w:val="24"/>
              <w:szCs w:val="24"/>
            </w:rPr>
            <w:fldChar w:fldCharType="separate"/>
          </w:r>
          <w:r>
            <w:rPr>
              <w:rFonts w:ascii="Times New Roman" w:hAnsi="Times New Roman" w:cs="Times New Roman"/>
              <w:sz w:val="24"/>
              <w:szCs w:val="24"/>
            </w:rPr>
            <w:t>75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BE5D4F8">
          <w:pPr>
            <w:tabs>
              <w:tab w:val="right" w:leader="dot" w:pos="9004"/>
            </w:tabs>
            <w:spacing w:line="596" w:lineRule="exact"/>
            <w:rPr>
              <w:rFonts w:ascii="Times New Roman" w:hAnsi="Times New Roman" w:cs="Times New Roman"/>
              <w:sz w:val="24"/>
              <w:szCs w:val="24"/>
            </w:rPr>
          </w:pPr>
          <w:r>
            <w:fldChar w:fldCharType="begin"/>
          </w:r>
          <w:r>
            <w:instrText xml:space="preserve"> HYPERLINK \l "_Toc48157879" </w:instrText>
          </w:r>
          <w:r>
            <w:fldChar w:fldCharType="separate"/>
          </w:r>
          <w:r>
            <w:rPr>
              <w:rFonts w:ascii="Times New Roman" w:hAnsi="Times New Roman" w:eastAsia="方正楷体_GBK" w:cs="Times New Roman"/>
              <w:bCs/>
              <w:sz w:val="24"/>
              <w:szCs w:val="24"/>
            </w:rPr>
            <w:t>（三）区委宣传部工作责任</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_Toc48157879 \h </w:instrText>
          </w:r>
          <w:r>
            <w:rPr>
              <w:rFonts w:ascii="Times New Roman" w:hAnsi="Times New Roman" w:cs="Times New Roman"/>
              <w:sz w:val="24"/>
              <w:szCs w:val="24"/>
            </w:rPr>
            <w:fldChar w:fldCharType="separate"/>
          </w:r>
          <w:r>
            <w:rPr>
              <w:rFonts w:ascii="Times New Roman" w:hAnsi="Times New Roman" w:cs="Times New Roman"/>
              <w:sz w:val="24"/>
              <w:szCs w:val="24"/>
            </w:rPr>
            <w:t>75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CEC9844">
          <w:pPr>
            <w:tabs>
              <w:tab w:val="right" w:leader="dot" w:pos="9004"/>
            </w:tabs>
            <w:spacing w:line="596" w:lineRule="exact"/>
            <w:rPr>
              <w:rFonts w:ascii="Times New Roman" w:hAnsi="Times New Roman" w:cs="Times New Roman"/>
              <w:sz w:val="24"/>
              <w:szCs w:val="24"/>
            </w:rPr>
          </w:pPr>
          <w:r>
            <w:fldChar w:fldCharType="begin"/>
          </w:r>
          <w:r>
            <w:instrText xml:space="preserve"> HYPERLINK \l "_Toc48157880" </w:instrText>
          </w:r>
          <w:r>
            <w:fldChar w:fldCharType="separate"/>
          </w:r>
          <w:r>
            <w:rPr>
              <w:rFonts w:ascii="Times New Roman" w:hAnsi="Times New Roman" w:eastAsia="方正楷体_GBK" w:cs="Times New Roman"/>
              <w:bCs/>
              <w:sz w:val="24"/>
              <w:szCs w:val="24"/>
            </w:rPr>
            <w:t>（四）区生态环境局工作责任</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_Toc48157880 \h </w:instrText>
          </w:r>
          <w:r>
            <w:rPr>
              <w:rFonts w:ascii="Times New Roman" w:hAnsi="Times New Roman" w:cs="Times New Roman"/>
              <w:sz w:val="24"/>
              <w:szCs w:val="24"/>
            </w:rPr>
            <w:fldChar w:fldCharType="separate"/>
          </w:r>
          <w:r>
            <w:rPr>
              <w:rFonts w:ascii="Times New Roman" w:hAnsi="Times New Roman" w:cs="Times New Roman"/>
              <w:sz w:val="24"/>
              <w:szCs w:val="24"/>
            </w:rPr>
            <w:t>76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46AE96E">
          <w:pPr>
            <w:tabs>
              <w:tab w:val="right" w:leader="dot" w:pos="9004"/>
            </w:tabs>
            <w:spacing w:line="596" w:lineRule="exact"/>
            <w:rPr>
              <w:rFonts w:ascii="Times New Roman" w:hAnsi="Times New Roman" w:cs="Times New Roman"/>
              <w:sz w:val="24"/>
              <w:szCs w:val="24"/>
            </w:rPr>
          </w:pPr>
          <w:r>
            <w:fldChar w:fldCharType="begin"/>
          </w:r>
          <w:r>
            <w:instrText xml:space="preserve"> HYPERLINK \l "_Toc48157881" </w:instrText>
          </w:r>
          <w:r>
            <w:fldChar w:fldCharType="separate"/>
          </w:r>
          <w:r>
            <w:rPr>
              <w:rFonts w:ascii="Times New Roman" w:hAnsi="Times New Roman" w:eastAsia="方正楷体_GBK" w:cs="Times New Roman"/>
              <w:bCs/>
              <w:sz w:val="24"/>
              <w:szCs w:val="24"/>
            </w:rPr>
            <w:t>（五）区发展改革委工作责任</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_Toc48157881 \h </w:instrText>
          </w:r>
          <w:r>
            <w:rPr>
              <w:rFonts w:ascii="Times New Roman" w:hAnsi="Times New Roman" w:cs="Times New Roman"/>
              <w:sz w:val="24"/>
              <w:szCs w:val="24"/>
            </w:rPr>
            <w:fldChar w:fldCharType="separate"/>
          </w:r>
          <w:r>
            <w:rPr>
              <w:rFonts w:ascii="Times New Roman" w:hAnsi="Times New Roman" w:cs="Times New Roman"/>
              <w:sz w:val="24"/>
              <w:szCs w:val="24"/>
            </w:rPr>
            <w:t>76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074326A">
          <w:pPr>
            <w:tabs>
              <w:tab w:val="right" w:leader="dot" w:pos="9004"/>
            </w:tabs>
            <w:spacing w:line="596" w:lineRule="exact"/>
            <w:rPr>
              <w:rFonts w:ascii="Times New Roman" w:hAnsi="Times New Roman" w:cs="Times New Roman"/>
              <w:sz w:val="24"/>
              <w:szCs w:val="24"/>
            </w:rPr>
          </w:pPr>
          <w:r>
            <w:fldChar w:fldCharType="begin"/>
          </w:r>
          <w:r>
            <w:instrText xml:space="preserve"> HYPERLINK \l "_Toc48157882" </w:instrText>
          </w:r>
          <w:r>
            <w:fldChar w:fldCharType="separate"/>
          </w:r>
          <w:r>
            <w:rPr>
              <w:rFonts w:ascii="Times New Roman" w:hAnsi="Times New Roman" w:eastAsia="方正楷体_GBK" w:cs="Times New Roman"/>
              <w:bCs/>
              <w:sz w:val="24"/>
              <w:szCs w:val="24"/>
            </w:rPr>
            <w:t>（六）区财政局工作责任</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_Toc48157882 \h </w:instrText>
          </w:r>
          <w:r>
            <w:rPr>
              <w:rFonts w:ascii="Times New Roman" w:hAnsi="Times New Roman" w:cs="Times New Roman"/>
              <w:sz w:val="24"/>
              <w:szCs w:val="24"/>
            </w:rPr>
            <w:fldChar w:fldCharType="separate"/>
          </w:r>
          <w:r>
            <w:rPr>
              <w:rFonts w:ascii="Times New Roman" w:hAnsi="Times New Roman" w:cs="Times New Roman"/>
              <w:sz w:val="24"/>
              <w:szCs w:val="24"/>
            </w:rPr>
            <w:t>76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EAF35D3">
          <w:pPr>
            <w:tabs>
              <w:tab w:val="right" w:leader="dot" w:pos="9004"/>
            </w:tabs>
            <w:spacing w:line="596" w:lineRule="exact"/>
            <w:rPr>
              <w:rFonts w:ascii="Times New Roman" w:hAnsi="Times New Roman" w:cs="Times New Roman"/>
              <w:sz w:val="24"/>
              <w:szCs w:val="24"/>
            </w:rPr>
          </w:pPr>
          <w:r>
            <w:fldChar w:fldCharType="begin"/>
          </w:r>
          <w:r>
            <w:instrText xml:space="preserve"> HYPERLINK \l "_Toc48157883" </w:instrText>
          </w:r>
          <w:r>
            <w:fldChar w:fldCharType="separate"/>
          </w:r>
          <w:r>
            <w:rPr>
              <w:rFonts w:ascii="Times New Roman" w:hAnsi="Times New Roman" w:eastAsia="方正楷体_GBK" w:cs="Times New Roman"/>
              <w:bCs/>
              <w:sz w:val="24"/>
              <w:szCs w:val="24"/>
            </w:rPr>
            <w:t>（七）区经济信息委工作责任</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_Toc48157883 \h </w:instrText>
          </w:r>
          <w:r>
            <w:rPr>
              <w:rFonts w:ascii="Times New Roman" w:hAnsi="Times New Roman" w:cs="Times New Roman"/>
              <w:sz w:val="24"/>
              <w:szCs w:val="24"/>
            </w:rPr>
            <w:fldChar w:fldCharType="separate"/>
          </w:r>
          <w:r>
            <w:rPr>
              <w:rFonts w:ascii="Times New Roman" w:hAnsi="Times New Roman" w:cs="Times New Roman"/>
              <w:sz w:val="24"/>
              <w:szCs w:val="24"/>
            </w:rPr>
            <w:t>77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79116B4">
          <w:pPr>
            <w:tabs>
              <w:tab w:val="right" w:leader="dot" w:pos="9004"/>
            </w:tabs>
            <w:spacing w:line="596" w:lineRule="exact"/>
            <w:rPr>
              <w:rFonts w:ascii="Times New Roman" w:hAnsi="Times New Roman" w:cs="Times New Roman"/>
              <w:sz w:val="24"/>
              <w:szCs w:val="24"/>
            </w:rPr>
          </w:pPr>
          <w:r>
            <w:fldChar w:fldCharType="begin"/>
          </w:r>
          <w:r>
            <w:instrText xml:space="preserve"> HYPERLINK \l "_Toc48157884" </w:instrText>
          </w:r>
          <w:r>
            <w:fldChar w:fldCharType="separate"/>
          </w:r>
          <w:r>
            <w:rPr>
              <w:rFonts w:ascii="Times New Roman" w:hAnsi="Times New Roman" w:eastAsia="方正楷体_GBK" w:cs="Times New Roman"/>
              <w:bCs/>
              <w:sz w:val="24"/>
              <w:szCs w:val="24"/>
            </w:rPr>
            <w:t>（八）区住房城乡建委工作责任</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_Toc48157884 \h </w:instrText>
          </w:r>
          <w:r>
            <w:rPr>
              <w:rFonts w:ascii="Times New Roman" w:hAnsi="Times New Roman" w:cs="Times New Roman"/>
              <w:sz w:val="24"/>
              <w:szCs w:val="24"/>
            </w:rPr>
            <w:fldChar w:fldCharType="separate"/>
          </w:r>
          <w:r>
            <w:rPr>
              <w:rFonts w:ascii="Times New Roman" w:hAnsi="Times New Roman" w:cs="Times New Roman"/>
              <w:sz w:val="24"/>
              <w:szCs w:val="24"/>
            </w:rPr>
            <w:t>77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9C45F68">
          <w:pPr>
            <w:tabs>
              <w:tab w:val="right" w:leader="dot" w:pos="9004"/>
            </w:tabs>
            <w:spacing w:line="596" w:lineRule="exact"/>
            <w:rPr>
              <w:rFonts w:ascii="Times New Roman" w:hAnsi="Times New Roman" w:cs="Times New Roman"/>
              <w:sz w:val="24"/>
              <w:szCs w:val="24"/>
            </w:rPr>
          </w:pPr>
          <w:r>
            <w:fldChar w:fldCharType="begin"/>
          </w:r>
          <w:r>
            <w:instrText xml:space="preserve"> HYPERLINK \l "_Toc48157885" </w:instrText>
          </w:r>
          <w:r>
            <w:fldChar w:fldCharType="separate"/>
          </w:r>
          <w:r>
            <w:rPr>
              <w:rFonts w:ascii="Times New Roman" w:hAnsi="Times New Roman" w:eastAsia="方正楷体_GBK" w:cs="Times New Roman"/>
              <w:bCs/>
              <w:sz w:val="24"/>
              <w:szCs w:val="24"/>
            </w:rPr>
            <w:t>（九）区农业农村委工作责任</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_Toc48157885 \h </w:instrText>
          </w:r>
          <w:r>
            <w:rPr>
              <w:rFonts w:ascii="Times New Roman" w:hAnsi="Times New Roman" w:cs="Times New Roman"/>
              <w:sz w:val="24"/>
              <w:szCs w:val="24"/>
            </w:rPr>
            <w:fldChar w:fldCharType="separate"/>
          </w:r>
          <w:r>
            <w:rPr>
              <w:rFonts w:ascii="Times New Roman" w:hAnsi="Times New Roman" w:cs="Times New Roman"/>
              <w:sz w:val="24"/>
              <w:szCs w:val="24"/>
            </w:rPr>
            <w:t>77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17760370">
          <w:pPr>
            <w:tabs>
              <w:tab w:val="right" w:leader="dot" w:pos="9004"/>
            </w:tabs>
            <w:spacing w:line="596" w:lineRule="exact"/>
            <w:rPr>
              <w:rFonts w:ascii="Times New Roman" w:hAnsi="Times New Roman" w:cs="Times New Roman"/>
              <w:sz w:val="24"/>
              <w:szCs w:val="24"/>
            </w:rPr>
          </w:pPr>
          <w:r>
            <w:fldChar w:fldCharType="begin"/>
          </w:r>
          <w:r>
            <w:instrText xml:space="preserve"> HYPERLINK \l "_Toc48157886" </w:instrText>
          </w:r>
          <w:r>
            <w:fldChar w:fldCharType="separate"/>
          </w:r>
          <w:r>
            <w:rPr>
              <w:rFonts w:ascii="Times New Roman" w:hAnsi="Times New Roman" w:eastAsia="方正楷体_GBK" w:cs="Times New Roman"/>
              <w:bCs/>
              <w:sz w:val="24"/>
              <w:szCs w:val="24"/>
            </w:rPr>
            <w:t>（十）区交通局工作责任</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_Toc48157886 \h </w:instrText>
          </w:r>
          <w:r>
            <w:rPr>
              <w:rFonts w:ascii="Times New Roman" w:hAnsi="Times New Roman" w:cs="Times New Roman"/>
              <w:sz w:val="24"/>
              <w:szCs w:val="24"/>
            </w:rPr>
            <w:fldChar w:fldCharType="separate"/>
          </w:r>
          <w:r>
            <w:rPr>
              <w:rFonts w:ascii="Times New Roman" w:hAnsi="Times New Roman" w:cs="Times New Roman"/>
              <w:sz w:val="24"/>
              <w:szCs w:val="24"/>
            </w:rPr>
            <w:t>78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2CD22E9">
          <w:pPr>
            <w:tabs>
              <w:tab w:val="right" w:leader="dot" w:pos="9004"/>
            </w:tabs>
            <w:spacing w:line="596" w:lineRule="exact"/>
            <w:rPr>
              <w:rFonts w:ascii="Times New Roman" w:hAnsi="Times New Roman" w:cs="Times New Roman"/>
              <w:sz w:val="24"/>
              <w:szCs w:val="24"/>
            </w:rPr>
          </w:pPr>
          <w:r>
            <w:fldChar w:fldCharType="begin"/>
          </w:r>
          <w:r>
            <w:instrText xml:space="preserve"> HYPERLINK \l "_Toc48157887" </w:instrText>
          </w:r>
          <w:r>
            <w:fldChar w:fldCharType="separate"/>
          </w:r>
          <w:r>
            <w:rPr>
              <w:rFonts w:ascii="Times New Roman" w:hAnsi="Times New Roman" w:eastAsia="方正楷体_GBK" w:cs="Times New Roman"/>
              <w:bCs/>
              <w:sz w:val="24"/>
              <w:szCs w:val="24"/>
            </w:rPr>
            <w:t>（十一）区商务委工作责任</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_Toc48157887 \h </w:instrText>
          </w:r>
          <w:r>
            <w:rPr>
              <w:rFonts w:ascii="Times New Roman" w:hAnsi="Times New Roman" w:cs="Times New Roman"/>
              <w:sz w:val="24"/>
              <w:szCs w:val="24"/>
            </w:rPr>
            <w:fldChar w:fldCharType="separate"/>
          </w:r>
          <w:r>
            <w:rPr>
              <w:rFonts w:ascii="Times New Roman" w:hAnsi="Times New Roman" w:cs="Times New Roman"/>
              <w:sz w:val="24"/>
              <w:szCs w:val="24"/>
            </w:rPr>
            <w:t>78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D12BD58">
          <w:pPr>
            <w:tabs>
              <w:tab w:val="right" w:leader="dot" w:pos="9004"/>
            </w:tabs>
            <w:spacing w:line="596" w:lineRule="exact"/>
            <w:rPr>
              <w:rFonts w:ascii="Times New Roman" w:hAnsi="Times New Roman" w:cs="Times New Roman"/>
              <w:sz w:val="24"/>
              <w:szCs w:val="24"/>
            </w:rPr>
          </w:pPr>
          <w:r>
            <w:fldChar w:fldCharType="begin"/>
          </w:r>
          <w:r>
            <w:instrText xml:space="preserve"> HYPERLINK \l "_Toc48157888" </w:instrText>
          </w:r>
          <w:r>
            <w:fldChar w:fldCharType="separate"/>
          </w:r>
          <w:r>
            <w:rPr>
              <w:rFonts w:ascii="Times New Roman" w:hAnsi="Times New Roman" w:eastAsia="方正楷体_GBK" w:cs="Times New Roman"/>
              <w:bCs/>
              <w:sz w:val="24"/>
              <w:szCs w:val="24"/>
            </w:rPr>
            <w:t>（十二）区城管局工作责任</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_Toc48157888 \h </w:instrText>
          </w:r>
          <w:r>
            <w:rPr>
              <w:rFonts w:ascii="Times New Roman" w:hAnsi="Times New Roman" w:cs="Times New Roman"/>
              <w:sz w:val="24"/>
              <w:szCs w:val="24"/>
            </w:rPr>
            <w:fldChar w:fldCharType="separate"/>
          </w:r>
          <w:r>
            <w:rPr>
              <w:rFonts w:ascii="Times New Roman" w:hAnsi="Times New Roman" w:cs="Times New Roman"/>
              <w:sz w:val="24"/>
              <w:szCs w:val="24"/>
            </w:rPr>
            <w:t>78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6B7499C">
          <w:pPr>
            <w:tabs>
              <w:tab w:val="right" w:leader="dot" w:pos="9004"/>
            </w:tabs>
            <w:spacing w:line="596" w:lineRule="exact"/>
            <w:rPr>
              <w:rFonts w:ascii="Times New Roman" w:hAnsi="Times New Roman" w:cs="Times New Roman"/>
              <w:sz w:val="24"/>
              <w:szCs w:val="24"/>
            </w:rPr>
          </w:pPr>
          <w:r>
            <w:fldChar w:fldCharType="begin"/>
          </w:r>
          <w:r>
            <w:instrText xml:space="preserve"> HYPERLINK \l "_Toc48157889" </w:instrText>
          </w:r>
          <w:r>
            <w:fldChar w:fldCharType="separate"/>
          </w:r>
          <w:r>
            <w:rPr>
              <w:rFonts w:ascii="Times New Roman" w:hAnsi="Times New Roman" w:eastAsia="方正楷体_GBK" w:cs="Times New Roman"/>
              <w:bCs/>
              <w:sz w:val="24"/>
              <w:szCs w:val="24"/>
            </w:rPr>
            <w:t>（十三）区水利局工作责任</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_Toc48157889 \h </w:instrText>
          </w:r>
          <w:r>
            <w:rPr>
              <w:rFonts w:ascii="Times New Roman" w:hAnsi="Times New Roman" w:cs="Times New Roman"/>
              <w:sz w:val="24"/>
              <w:szCs w:val="24"/>
            </w:rPr>
            <w:fldChar w:fldCharType="separate"/>
          </w:r>
          <w:r>
            <w:rPr>
              <w:rFonts w:ascii="Times New Roman" w:hAnsi="Times New Roman" w:cs="Times New Roman"/>
              <w:sz w:val="24"/>
              <w:szCs w:val="24"/>
            </w:rPr>
            <w:t>79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2125B64">
          <w:pPr>
            <w:tabs>
              <w:tab w:val="right" w:leader="dot" w:pos="9004"/>
            </w:tabs>
            <w:spacing w:line="596" w:lineRule="exact"/>
            <w:rPr>
              <w:rFonts w:ascii="Times New Roman" w:hAnsi="Times New Roman" w:cs="Times New Roman"/>
              <w:sz w:val="24"/>
              <w:szCs w:val="24"/>
            </w:rPr>
          </w:pPr>
          <w:r>
            <w:fldChar w:fldCharType="begin"/>
          </w:r>
          <w:r>
            <w:instrText xml:space="preserve"> HYPERLINK \l "_Toc48157890" </w:instrText>
          </w:r>
          <w:r>
            <w:fldChar w:fldCharType="separate"/>
          </w:r>
          <w:r>
            <w:rPr>
              <w:rFonts w:ascii="Times New Roman" w:hAnsi="Times New Roman" w:eastAsia="方正楷体_GBK" w:cs="Times New Roman"/>
              <w:bCs/>
              <w:sz w:val="24"/>
              <w:szCs w:val="24"/>
            </w:rPr>
            <w:t>（十四）区文化旅游委工作责任</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_Toc48157890 \h </w:instrText>
          </w:r>
          <w:r>
            <w:rPr>
              <w:rFonts w:ascii="Times New Roman" w:hAnsi="Times New Roman" w:cs="Times New Roman"/>
              <w:sz w:val="24"/>
              <w:szCs w:val="24"/>
            </w:rPr>
            <w:fldChar w:fldCharType="separate"/>
          </w:r>
          <w:r>
            <w:rPr>
              <w:rFonts w:ascii="Times New Roman" w:hAnsi="Times New Roman" w:cs="Times New Roman"/>
              <w:sz w:val="24"/>
              <w:szCs w:val="24"/>
            </w:rPr>
            <w:t>79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DDD0C02">
          <w:pPr>
            <w:tabs>
              <w:tab w:val="right" w:leader="dot" w:pos="9004"/>
            </w:tabs>
            <w:spacing w:line="596" w:lineRule="exact"/>
            <w:rPr>
              <w:rFonts w:ascii="Times New Roman" w:hAnsi="Times New Roman" w:cs="Times New Roman"/>
              <w:sz w:val="24"/>
              <w:szCs w:val="24"/>
            </w:rPr>
          </w:pPr>
          <w:r>
            <w:fldChar w:fldCharType="begin"/>
          </w:r>
          <w:r>
            <w:instrText xml:space="preserve"> HYPERLINK \l "_Toc48157891" </w:instrText>
          </w:r>
          <w:r>
            <w:fldChar w:fldCharType="separate"/>
          </w:r>
          <w:r>
            <w:rPr>
              <w:rFonts w:ascii="Times New Roman" w:hAnsi="Times New Roman" w:eastAsia="方正楷体_GBK" w:cs="Times New Roman"/>
              <w:bCs/>
              <w:sz w:val="24"/>
              <w:szCs w:val="24"/>
            </w:rPr>
            <w:t>（十五）区统计局工作责任</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_Toc48157891 \h </w:instrText>
          </w:r>
          <w:r>
            <w:rPr>
              <w:rFonts w:ascii="Times New Roman" w:hAnsi="Times New Roman" w:cs="Times New Roman"/>
              <w:sz w:val="24"/>
              <w:szCs w:val="24"/>
            </w:rPr>
            <w:fldChar w:fldCharType="separate"/>
          </w:r>
          <w:r>
            <w:rPr>
              <w:rFonts w:ascii="Times New Roman" w:hAnsi="Times New Roman" w:cs="Times New Roman"/>
              <w:sz w:val="24"/>
              <w:szCs w:val="24"/>
            </w:rPr>
            <w:t>80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158A9FED">
          <w:pPr>
            <w:tabs>
              <w:tab w:val="right" w:leader="dot" w:pos="9004"/>
            </w:tabs>
            <w:spacing w:line="596" w:lineRule="exact"/>
            <w:rPr>
              <w:rFonts w:ascii="Times New Roman" w:hAnsi="Times New Roman" w:cs="Times New Roman"/>
              <w:sz w:val="24"/>
              <w:szCs w:val="24"/>
            </w:rPr>
          </w:pPr>
          <w:r>
            <w:fldChar w:fldCharType="begin"/>
          </w:r>
          <w:r>
            <w:instrText xml:space="preserve"> HYPERLINK \l "_Toc48157892" </w:instrText>
          </w:r>
          <w:r>
            <w:fldChar w:fldCharType="separate"/>
          </w:r>
          <w:r>
            <w:rPr>
              <w:rFonts w:ascii="Times New Roman" w:hAnsi="Times New Roman" w:eastAsia="方正楷体_GBK" w:cs="Times New Roman"/>
              <w:bCs/>
              <w:sz w:val="24"/>
              <w:szCs w:val="24"/>
            </w:rPr>
            <w:t>（十六）区林业局工作责任</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_Toc48157892 \h </w:instrText>
          </w:r>
          <w:r>
            <w:rPr>
              <w:rFonts w:ascii="Times New Roman" w:hAnsi="Times New Roman" w:cs="Times New Roman"/>
              <w:sz w:val="24"/>
              <w:szCs w:val="24"/>
            </w:rPr>
            <w:fldChar w:fldCharType="separate"/>
          </w:r>
          <w:r>
            <w:rPr>
              <w:rFonts w:ascii="Times New Roman" w:hAnsi="Times New Roman" w:cs="Times New Roman"/>
              <w:sz w:val="24"/>
              <w:szCs w:val="24"/>
            </w:rPr>
            <w:t>80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B569BC9">
          <w:pPr>
            <w:tabs>
              <w:tab w:val="right" w:leader="dot" w:pos="9004"/>
            </w:tabs>
            <w:spacing w:line="596" w:lineRule="exact"/>
            <w:rPr>
              <w:rFonts w:ascii="Times New Roman" w:hAnsi="Times New Roman" w:cs="Times New Roman"/>
              <w:sz w:val="24"/>
              <w:szCs w:val="24"/>
            </w:rPr>
          </w:pPr>
          <w:r>
            <w:fldChar w:fldCharType="begin"/>
          </w:r>
          <w:r>
            <w:instrText xml:space="preserve"> HYPERLINK \l "_Toc48157893" </w:instrText>
          </w:r>
          <w:r>
            <w:fldChar w:fldCharType="separate"/>
          </w:r>
          <w:r>
            <w:rPr>
              <w:rFonts w:ascii="Times New Roman" w:hAnsi="Times New Roman" w:eastAsia="方正楷体_GBK" w:cs="Times New Roman"/>
              <w:bCs/>
              <w:sz w:val="24"/>
              <w:szCs w:val="24"/>
            </w:rPr>
            <w:t>（十七）区公安分局工作责任</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_Toc48157893 \h </w:instrText>
          </w:r>
          <w:r>
            <w:rPr>
              <w:rFonts w:ascii="Times New Roman" w:hAnsi="Times New Roman" w:cs="Times New Roman"/>
              <w:sz w:val="24"/>
              <w:szCs w:val="24"/>
            </w:rPr>
            <w:fldChar w:fldCharType="separate"/>
          </w:r>
          <w:r>
            <w:rPr>
              <w:rFonts w:ascii="Times New Roman" w:hAnsi="Times New Roman" w:cs="Times New Roman"/>
              <w:sz w:val="24"/>
              <w:szCs w:val="24"/>
            </w:rPr>
            <w:t>80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C5CAD8B">
          <w:pPr>
            <w:tabs>
              <w:tab w:val="right" w:leader="dot" w:pos="9004"/>
            </w:tabs>
            <w:spacing w:line="596" w:lineRule="exact"/>
            <w:rPr>
              <w:rFonts w:ascii="Times New Roman" w:hAnsi="Times New Roman" w:cs="Times New Roman"/>
              <w:sz w:val="24"/>
              <w:szCs w:val="24"/>
            </w:rPr>
          </w:pPr>
          <w:r>
            <w:fldChar w:fldCharType="begin"/>
          </w:r>
          <w:r>
            <w:instrText xml:space="preserve"> HYPERLINK \l "_Toc48157894" </w:instrText>
          </w:r>
          <w:r>
            <w:fldChar w:fldCharType="separate"/>
          </w:r>
          <w:r>
            <w:rPr>
              <w:rFonts w:ascii="Times New Roman" w:hAnsi="Times New Roman" w:eastAsia="方正楷体_GBK" w:cs="Times New Roman"/>
              <w:bCs/>
              <w:sz w:val="24"/>
              <w:szCs w:val="24"/>
            </w:rPr>
            <w:t>（十八）区规划自然资源局工作责任</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_Toc48157894 \h </w:instrText>
          </w:r>
          <w:r>
            <w:rPr>
              <w:rFonts w:ascii="Times New Roman" w:hAnsi="Times New Roman" w:cs="Times New Roman"/>
              <w:sz w:val="24"/>
              <w:szCs w:val="24"/>
            </w:rPr>
            <w:fldChar w:fldCharType="separate"/>
          </w:r>
          <w:r>
            <w:rPr>
              <w:rFonts w:ascii="Times New Roman" w:hAnsi="Times New Roman" w:cs="Times New Roman"/>
              <w:sz w:val="24"/>
              <w:szCs w:val="24"/>
            </w:rPr>
            <w:t>81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1D5A287">
          <w:pPr>
            <w:tabs>
              <w:tab w:val="right" w:leader="dot" w:pos="9004"/>
            </w:tabs>
            <w:spacing w:line="596" w:lineRule="exact"/>
            <w:rPr>
              <w:rFonts w:ascii="Times New Roman" w:hAnsi="Times New Roman" w:cs="Times New Roman"/>
              <w:sz w:val="24"/>
              <w:szCs w:val="24"/>
            </w:rPr>
          </w:pPr>
          <w:r>
            <w:fldChar w:fldCharType="begin"/>
          </w:r>
          <w:r>
            <w:instrText xml:space="preserve"> HYPERLINK \l "_Toc48157895" </w:instrText>
          </w:r>
          <w:r>
            <w:fldChar w:fldCharType="separate"/>
          </w:r>
          <w:r>
            <w:rPr>
              <w:rFonts w:ascii="Times New Roman" w:hAnsi="Times New Roman" w:eastAsia="方正楷体_GBK" w:cs="Times New Roman"/>
              <w:bCs/>
              <w:sz w:val="24"/>
              <w:szCs w:val="24"/>
            </w:rPr>
            <w:t>（十九）区委党校</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_Toc48157895 \h </w:instrText>
          </w:r>
          <w:r>
            <w:rPr>
              <w:rFonts w:ascii="Times New Roman" w:hAnsi="Times New Roman" w:cs="Times New Roman"/>
              <w:sz w:val="24"/>
              <w:szCs w:val="24"/>
            </w:rPr>
            <w:fldChar w:fldCharType="separate"/>
          </w:r>
          <w:r>
            <w:rPr>
              <w:rFonts w:ascii="Times New Roman" w:hAnsi="Times New Roman" w:cs="Times New Roman"/>
              <w:sz w:val="24"/>
              <w:szCs w:val="24"/>
            </w:rPr>
            <w:t>81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E90B63C">
          <w:pPr>
            <w:tabs>
              <w:tab w:val="right" w:leader="dot" w:pos="9004"/>
            </w:tabs>
            <w:spacing w:line="596" w:lineRule="exact"/>
            <w:rPr>
              <w:rFonts w:ascii="Times New Roman" w:hAnsi="Times New Roman" w:cs="Times New Roman"/>
              <w:sz w:val="24"/>
              <w:szCs w:val="24"/>
            </w:rPr>
          </w:pPr>
          <w:r>
            <w:fldChar w:fldCharType="begin"/>
          </w:r>
          <w:r>
            <w:instrText xml:space="preserve"> HYPERLINK \l "_Toc48157896" </w:instrText>
          </w:r>
          <w:r>
            <w:fldChar w:fldCharType="separate"/>
          </w:r>
          <w:r>
            <w:rPr>
              <w:rFonts w:ascii="Times New Roman" w:hAnsi="Times New Roman" w:eastAsia="方正楷体_GBK" w:cs="Times New Roman"/>
              <w:bCs/>
              <w:sz w:val="24"/>
              <w:szCs w:val="24"/>
            </w:rPr>
            <w:t>（二十）区卫健委工作责任</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_Toc48157896 \h </w:instrText>
          </w:r>
          <w:r>
            <w:rPr>
              <w:rFonts w:ascii="Times New Roman" w:hAnsi="Times New Roman" w:cs="Times New Roman"/>
              <w:sz w:val="24"/>
              <w:szCs w:val="24"/>
            </w:rPr>
            <w:fldChar w:fldCharType="separate"/>
          </w:r>
          <w:r>
            <w:rPr>
              <w:rFonts w:ascii="Times New Roman" w:hAnsi="Times New Roman" w:cs="Times New Roman"/>
              <w:sz w:val="24"/>
              <w:szCs w:val="24"/>
            </w:rPr>
            <w:t>81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6769416">
          <w:pPr>
            <w:tabs>
              <w:tab w:val="right" w:leader="dot" w:pos="9004"/>
            </w:tabs>
            <w:spacing w:line="596" w:lineRule="exact"/>
            <w:rPr>
              <w:rFonts w:ascii="Times New Roman" w:hAnsi="Times New Roman" w:cs="Times New Roman"/>
              <w:sz w:val="24"/>
              <w:szCs w:val="24"/>
            </w:rPr>
          </w:pPr>
          <w:r>
            <w:fldChar w:fldCharType="begin"/>
          </w:r>
          <w:r>
            <w:instrText xml:space="preserve"> HYPERLINK \l "_Toc48157897" </w:instrText>
          </w:r>
          <w:r>
            <w:fldChar w:fldCharType="separate"/>
          </w:r>
          <w:r>
            <w:rPr>
              <w:rFonts w:ascii="Times New Roman" w:hAnsi="Times New Roman" w:eastAsia="方正楷体_GBK" w:cs="Times New Roman"/>
              <w:bCs/>
              <w:sz w:val="24"/>
              <w:szCs w:val="24"/>
            </w:rPr>
            <w:t>（二十一）区应急局工作责任</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_Toc48157897 \h </w:instrText>
          </w:r>
          <w:r>
            <w:rPr>
              <w:rFonts w:ascii="Times New Roman" w:hAnsi="Times New Roman" w:cs="Times New Roman"/>
              <w:sz w:val="24"/>
              <w:szCs w:val="24"/>
            </w:rPr>
            <w:fldChar w:fldCharType="separate"/>
          </w:r>
          <w:r>
            <w:rPr>
              <w:rFonts w:ascii="Times New Roman" w:hAnsi="Times New Roman" w:cs="Times New Roman"/>
              <w:sz w:val="24"/>
              <w:szCs w:val="24"/>
            </w:rPr>
            <w:t>81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9204EC8">
          <w:pPr>
            <w:tabs>
              <w:tab w:val="right" w:leader="dot" w:pos="9004"/>
            </w:tabs>
            <w:spacing w:line="596" w:lineRule="exact"/>
            <w:rPr>
              <w:rFonts w:ascii="Times New Roman" w:hAnsi="Times New Roman" w:cs="Times New Roman"/>
              <w:sz w:val="24"/>
              <w:szCs w:val="24"/>
            </w:rPr>
          </w:pPr>
          <w:r>
            <w:fldChar w:fldCharType="begin"/>
          </w:r>
          <w:r>
            <w:instrText xml:space="preserve"> HYPERLINK \l "_Toc48157898" </w:instrText>
          </w:r>
          <w:r>
            <w:fldChar w:fldCharType="separate"/>
          </w:r>
          <w:r>
            <w:rPr>
              <w:rFonts w:ascii="Times New Roman" w:hAnsi="Times New Roman" w:eastAsia="方正楷体_GBK" w:cs="Times New Roman"/>
              <w:bCs/>
              <w:sz w:val="24"/>
              <w:szCs w:val="24"/>
            </w:rPr>
            <w:t>（二十二）各园区管委会工作责任</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_Toc48157898 \h </w:instrText>
          </w:r>
          <w:r>
            <w:rPr>
              <w:rFonts w:ascii="Times New Roman" w:hAnsi="Times New Roman" w:cs="Times New Roman"/>
              <w:sz w:val="24"/>
              <w:szCs w:val="24"/>
            </w:rPr>
            <w:fldChar w:fldCharType="separate"/>
          </w:r>
          <w:r>
            <w:rPr>
              <w:rFonts w:ascii="Times New Roman" w:hAnsi="Times New Roman" w:cs="Times New Roman"/>
              <w:sz w:val="24"/>
              <w:szCs w:val="24"/>
            </w:rPr>
            <w:t>81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400C245">
          <w:pPr>
            <w:tabs>
              <w:tab w:val="right" w:leader="dot" w:pos="9004"/>
            </w:tabs>
            <w:spacing w:line="596" w:lineRule="exact"/>
            <w:rPr>
              <w:rFonts w:ascii="Times New Roman" w:hAnsi="Times New Roman" w:cs="Times New Roman"/>
              <w:sz w:val="24"/>
              <w:szCs w:val="24"/>
            </w:rPr>
          </w:pPr>
          <w:r>
            <w:fldChar w:fldCharType="begin"/>
          </w:r>
          <w:r>
            <w:instrText xml:space="preserve"> HYPERLINK \l "_Toc48157899" </w:instrText>
          </w:r>
          <w:r>
            <w:fldChar w:fldCharType="separate"/>
          </w:r>
          <w:r>
            <w:rPr>
              <w:rFonts w:ascii="Times New Roman" w:hAnsi="Times New Roman" w:eastAsia="方正楷体_GBK" w:cs="Times New Roman"/>
              <w:bCs/>
              <w:sz w:val="24"/>
              <w:szCs w:val="24"/>
            </w:rPr>
            <w:t>（二十三）各街镇工作责任</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_Toc48157899 \h </w:instrText>
          </w:r>
          <w:r>
            <w:rPr>
              <w:rFonts w:ascii="Times New Roman" w:hAnsi="Times New Roman" w:cs="Times New Roman"/>
              <w:sz w:val="24"/>
              <w:szCs w:val="24"/>
            </w:rPr>
            <w:fldChar w:fldCharType="separate"/>
          </w:r>
          <w:r>
            <w:rPr>
              <w:rFonts w:ascii="Times New Roman" w:hAnsi="Times New Roman" w:cs="Times New Roman"/>
              <w:sz w:val="24"/>
              <w:szCs w:val="24"/>
            </w:rPr>
            <w:t>82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C0BD0F3">
          <w:pPr>
            <w:tabs>
              <w:tab w:val="right" w:leader="dot" w:pos="9004"/>
            </w:tabs>
            <w:spacing w:line="596" w:lineRule="exact"/>
            <w:rPr>
              <w:rFonts w:ascii="Times New Roman" w:hAnsi="Times New Roman" w:cs="Times New Roman"/>
              <w:sz w:val="24"/>
              <w:szCs w:val="24"/>
            </w:rPr>
          </w:pPr>
          <w:r>
            <w:fldChar w:fldCharType="begin"/>
          </w:r>
          <w:r>
            <w:instrText xml:space="preserve"> HYPERLINK \l "_Toc48157900" </w:instrText>
          </w:r>
          <w:r>
            <w:fldChar w:fldCharType="separate"/>
          </w:r>
          <w:r>
            <w:rPr>
              <w:rFonts w:ascii="Times New Roman" w:hAnsi="Times New Roman" w:eastAsia="方正黑体_GBK" w:cs="Times New Roman"/>
              <w:bCs/>
              <w:sz w:val="24"/>
              <w:szCs w:val="24"/>
            </w:rPr>
            <w:t>附件2 北碚区“两山”实践创新基地建设考核指标（2020-2025年）年度分解表</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_Toc48157900 \h </w:instrText>
          </w:r>
          <w:r>
            <w:rPr>
              <w:rFonts w:ascii="Times New Roman" w:hAnsi="Times New Roman" w:cs="Times New Roman"/>
              <w:sz w:val="24"/>
              <w:szCs w:val="24"/>
            </w:rPr>
            <w:fldChar w:fldCharType="separate"/>
          </w:r>
          <w:r>
            <w:rPr>
              <w:rFonts w:ascii="Times New Roman" w:hAnsi="Times New Roman" w:cs="Times New Roman"/>
              <w:sz w:val="24"/>
              <w:szCs w:val="24"/>
            </w:rPr>
            <w:t>83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6A89119">
          <w:pPr>
            <w:tabs>
              <w:tab w:val="right" w:leader="dot" w:pos="9004"/>
            </w:tabs>
            <w:spacing w:line="596" w:lineRule="exact"/>
            <w:rPr>
              <w:rFonts w:ascii="Times New Roman" w:hAnsi="Times New Roman" w:cs="Times New Roman"/>
              <w:sz w:val="24"/>
              <w:szCs w:val="24"/>
            </w:rPr>
          </w:pPr>
          <w:r>
            <w:fldChar w:fldCharType="begin"/>
          </w:r>
          <w:r>
            <w:instrText xml:space="preserve"> HYPERLINK \l "_Toc48157901" </w:instrText>
          </w:r>
          <w:r>
            <w:fldChar w:fldCharType="separate"/>
          </w:r>
          <w:r>
            <w:rPr>
              <w:rFonts w:ascii="Times New Roman" w:hAnsi="Times New Roman" w:eastAsia="方正黑体_GBK" w:cs="Times New Roman"/>
              <w:bCs/>
              <w:sz w:val="24"/>
              <w:szCs w:val="24"/>
            </w:rPr>
            <w:t>附件3 北碚区“两山”实践创新基地建设重点项目</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_Toc48157901 \h </w:instrText>
          </w:r>
          <w:r>
            <w:rPr>
              <w:rFonts w:ascii="Times New Roman" w:hAnsi="Times New Roman" w:cs="Times New Roman"/>
              <w:sz w:val="24"/>
              <w:szCs w:val="24"/>
            </w:rPr>
            <w:fldChar w:fldCharType="separate"/>
          </w:r>
          <w:r>
            <w:rPr>
              <w:rFonts w:ascii="Times New Roman" w:hAnsi="Times New Roman" w:cs="Times New Roman"/>
              <w:sz w:val="24"/>
              <w:szCs w:val="24"/>
            </w:rPr>
            <w:t>85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18EC0A62">
          <w:pPr>
            <w:spacing w:line="596" w:lineRule="exact"/>
            <w:rPr>
              <w:rFonts w:ascii="Times New Roman" w:hAnsi="Times New Roman" w:cs="Times New Roman"/>
              <w:bCs/>
              <w:sz w:val="24"/>
              <w:szCs w:val="24"/>
            </w:rPr>
          </w:pPr>
          <w:r>
            <w:rPr>
              <w:rFonts w:ascii="Times New Roman" w:hAnsi="Times New Roman" w:cs="Times New Roman"/>
              <w:bCs/>
              <w:sz w:val="24"/>
              <w:szCs w:val="24"/>
            </w:rPr>
            <w:fldChar w:fldCharType="end"/>
          </w:r>
        </w:p>
      </w:sdtContent>
    </w:sdt>
    <w:p w14:paraId="6170C978">
      <w:pPr>
        <w:autoSpaceDE w:val="0"/>
        <w:autoSpaceDN w:val="0"/>
        <w:adjustRightInd w:val="0"/>
        <w:spacing w:line="560" w:lineRule="exact"/>
        <w:ind w:right="960" w:firstLine="640"/>
        <w:jc w:val="right"/>
        <w:rPr>
          <w:rFonts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sectPr>
          <w:headerReference r:id="rId11" w:type="default"/>
          <w:footerReference r:id="rId12" w:type="default"/>
          <w:pgSz w:w="11906" w:h="16838"/>
          <w:pgMar w:top="1440" w:right="1446" w:bottom="1440" w:left="1446" w:header="851" w:footer="992" w:gutter="0"/>
          <w:pgNumType w:fmt="upperRoman" w:start="1"/>
          <w:cols w:space="425" w:num="1"/>
          <w:docGrid w:type="lines" w:linePitch="312" w:charSpace="0"/>
        </w:sectPr>
      </w:pPr>
    </w:p>
    <w:p w14:paraId="5ADFF6A2">
      <w:pPr>
        <w:autoSpaceDE w:val="0"/>
        <w:autoSpaceDN w:val="0"/>
        <w:spacing w:line="594" w:lineRule="exact"/>
        <w:ind w:firstLine="640" w:firstLineChars="200"/>
        <w:rPr>
          <w:rFonts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sectPr>
          <w:headerReference r:id="rId13" w:type="default"/>
          <w:footerReference r:id="rId14" w:type="default"/>
          <w:pgSz w:w="11906" w:h="16838"/>
          <w:pgMar w:top="1440" w:right="1446" w:bottom="1440" w:left="1446" w:header="851" w:footer="992" w:gutter="0"/>
          <w:pgNumType w:start="1"/>
          <w:cols w:space="425" w:num="1"/>
          <w:docGrid w:type="lines" w:linePitch="312" w:charSpace="0"/>
        </w:sectPr>
      </w:pPr>
    </w:p>
    <w:p w14:paraId="3265D9F6">
      <w:pPr>
        <w:spacing w:before="100" w:beforeAutospacing="1" w:line="594" w:lineRule="exact"/>
        <w:ind w:firstLine="720" w:firstLineChars="200"/>
        <w:outlineLvl w:val="0"/>
        <w:rPr>
          <w:rFonts w:ascii="方正黑体_GBK" w:eastAsia="方正黑体_GBK"/>
          <w:bCs/>
          <w:sz w:val="36"/>
          <w:szCs w:val="36"/>
        </w:rPr>
      </w:pPr>
      <w:bookmarkStart w:id="9" w:name="_Toc42688076"/>
      <w:bookmarkStart w:id="10" w:name="_Toc48157843"/>
      <w:r>
        <w:rPr>
          <w:rFonts w:hint="eastAsia" w:ascii="方正黑体_GBK" w:eastAsia="方正黑体_GBK"/>
          <w:bCs/>
          <w:sz w:val="36"/>
          <w:szCs w:val="36"/>
        </w:rPr>
        <w:t>一、建设背景与意义</w:t>
      </w:r>
      <w:bookmarkEnd w:id="9"/>
      <w:bookmarkEnd w:id="10"/>
    </w:p>
    <w:p w14:paraId="3891ACF5">
      <w:pPr>
        <w:spacing w:line="594" w:lineRule="exact"/>
        <w:ind w:firstLine="640" w:firstLineChars="200"/>
        <w:outlineLvl w:val="1"/>
        <w:rPr>
          <w:rFonts w:ascii="方正楷体_GBK" w:hAnsi="Times New Roman" w:eastAsia="方正楷体_GBK" w:cs="Times New Roman"/>
          <w:bCs/>
          <w:color w:val="0D0D0D" w:themeColor="text1" w:themeTint="F2"/>
          <w:sz w:val="32"/>
          <w14:textFill>
            <w14:solidFill>
              <w14:schemeClr w14:val="tx1">
                <w14:lumMod w14:val="95000"/>
                <w14:lumOff w14:val="5000"/>
              </w14:schemeClr>
            </w14:solidFill>
          </w14:textFill>
        </w:rPr>
      </w:pPr>
      <w:bookmarkStart w:id="11" w:name="_Toc48157844"/>
      <w:r>
        <w:rPr>
          <w:rFonts w:hint="eastAsia" w:ascii="方正楷体_GBK" w:hAnsi="Times New Roman" w:eastAsia="方正楷体_GBK" w:cs="Times New Roman"/>
          <w:bCs/>
          <w:color w:val="0D0D0D" w:themeColor="text1" w:themeTint="F2"/>
          <w:sz w:val="32"/>
          <w14:textFill>
            <w14:solidFill>
              <w14:schemeClr w14:val="tx1">
                <w14:lumMod w14:val="95000"/>
                <w14:lumOff w14:val="5000"/>
              </w14:schemeClr>
            </w14:solidFill>
          </w14:textFill>
        </w:rPr>
        <w:t>（一）建设背景</w:t>
      </w:r>
      <w:bookmarkEnd w:id="11"/>
    </w:p>
    <w:p w14:paraId="49B5D08C">
      <w:pPr>
        <w:autoSpaceDE w:val="0"/>
        <w:autoSpaceDN w:val="0"/>
        <w:spacing w:line="594" w:lineRule="exact"/>
        <w:ind w:firstLine="640" w:firstLineChars="200"/>
        <w:rPr>
          <w:rFonts w:ascii="方正仿宋_GBK"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t>2005</w:t>
      </w:r>
      <w:r>
        <w:rPr>
          <w:rFonts w:hint="eastAsia"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t>年</w:t>
      </w:r>
      <w:r>
        <w:rPr>
          <w:rFonts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t>8</w:t>
      </w:r>
      <w:r>
        <w:rPr>
          <w:rFonts w:hint="eastAsia"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t>月，时任浙江省委书记的习近平同志在浙江省安吉县天荒坪镇余村考察时，第一次提出“绿水青山就是金山银山”（以下简称“两山论”）的理念。党的十八大以来，以习近平</w:t>
      </w:r>
      <w:r>
        <w:rPr>
          <w:rFonts w:hint="eastAsia" w:ascii="Times New Roman" w:hAnsi="Times New Roman" w:eastAsia="方正仿宋_GBK" w:cs="Times New Roman"/>
          <w:bCs/>
          <w:color w:val="0D0D0D" w:themeColor="text1" w:themeTint="F2"/>
          <w:sz w:val="32"/>
          <w:szCs w:val="36"/>
          <w:lang w:val="en-US" w:eastAsia="zh-CN"/>
          <w14:textFill>
            <w14:solidFill>
              <w14:schemeClr w14:val="tx1">
                <w14:lumMod w14:val="95000"/>
                <w14:lumOff w14:val="5000"/>
              </w14:schemeClr>
            </w14:solidFill>
          </w14:textFill>
        </w:rPr>
        <w:t>同志</w:t>
      </w:r>
      <w:r>
        <w:rPr>
          <w:rFonts w:hint="eastAsia"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t>为核心的党中央高度重视社会主义生态文明建设，以</w:t>
      </w:r>
      <w:r>
        <w:rPr>
          <w:rFonts w:hint="eastAsia" w:ascii="Times New Roman" w:hAnsi="Times New Roman" w:eastAsia="方正仿宋_GBK" w:cs="Times New Roman"/>
          <w:bCs/>
          <w:color w:val="0D0D0D" w:themeColor="text1" w:themeTint="F2"/>
          <w:sz w:val="32"/>
          <w:szCs w:val="36"/>
          <w:lang w:eastAsia="zh-CN"/>
          <w14:textFill>
            <w14:solidFill>
              <w14:schemeClr w14:val="tx1">
                <w14:lumMod w14:val="95000"/>
                <w14:lumOff w14:val="5000"/>
              </w14:schemeClr>
            </w14:solidFill>
          </w14:textFill>
        </w:rPr>
        <w:t>“五位一体”总体布局</w:t>
      </w:r>
      <w:bookmarkStart w:id="166" w:name="_GoBack"/>
      <w:bookmarkEnd w:id="166"/>
      <w:r>
        <w:rPr>
          <w:rFonts w:hint="eastAsia"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t>推进中国特色社会主义事业。习近平总书记在党的十九大报告中，首次将“树立和践行绿水青山就是金山银山的理念”写入了中国共产党的党代会报告，成为新时代中国特色社会主义生态文明建设的思想和基本方略。同时，党的十九大通过的《中国共产党章程（修正案）》，强化和凸显了“增强绿水青山就是金山银山的意识”的表述，“两山论”成为新时代中国特色社会主义生态文明建设的思想和基本方略。“绿水青山就是金山银山”实践创新基地（以下简称“两山”基地）是贯彻落实习近平生态文明思想，将“两山论”理论升格为实践创新而推出的全国“两山”实践平台，旨在创新探索“两山”转化的制度实践和行动实践，总结推广典型经验模式。</w:t>
      </w:r>
      <w:r>
        <w:rPr>
          <w:rFonts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t>2017</w:t>
      </w:r>
      <w:r>
        <w:rPr>
          <w:rFonts w:hint="eastAsia"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t>年以来，生态环境部先后命名三批次共</w:t>
      </w:r>
      <w:r>
        <w:rPr>
          <w:rFonts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t>52</w:t>
      </w:r>
      <w:r>
        <w:rPr>
          <w:rFonts w:hint="eastAsia"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t>个不</w:t>
      </w:r>
      <w:r>
        <w:rPr>
          <w:rFonts w:hint="eastAsia" w:ascii="方正仿宋_GBK"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t>同类型的“两山”基地，这些地区探索形成了一批“两山”实践路径的典型做法和经验，提供了践行习近平生态文明思想的鲜活案例，成为全国践行“两山”理论的标杆样板</w:t>
      </w:r>
      <w:r>
        <w:rPr>
          <w:rFonts w:hint="eastAsia"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t>。</w:t>
      </w:r>
      <w:r>
        <w:rPr>
          <w:rFonts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t>2019</w:t>
      </w:r>
      <w:r>
        <w:rPr>
          <w:rFonts w:hint="eastAsia"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t>年</w:t>
      </w:r>
      <w:r>
        <w:rPr>
          <w:rFonts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t>9</w:t>
      </w:r>
      <w:r>
        <w:rPr>
          <w:rFonts w:hint="eastAsia"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t>月，生态环境部出台</w:t>
      </w:r>
      <w:r>
        <w:rPr>
          <w:rFonts w:hint="eastAsia" w:ascii="方正仿宋_GBK"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t>了《“绿水青山就是金山银山”实践创新基地建设管理规程（试行）》，推动“两山”基地建设规范化管理。</w:t>
      </w:r>
    </w:p>
    <w:p w14:paraId="5D85EB64">
      <w:pPr>
        <w:autoSpaceDE w:val="0"/>
        <w:autoSpaceDN w:val="0"/>
        <w:spacing w:line="594" w:lineRule="exact"/>
        <w:ind w:firstLine="640" w:firstLineChars="200"/>
        <w:rPr>
          <w:rFonts w:ascii="方正仿宋_GBK"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pPr>
      <w:r>
        <w:rPr>
          <w:rFonts w:hint="eastAsia" w:ascii="方正仿宋_GBK"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t>北碚区位于长江上游地区，是重庆主城都市区的重要森林保护区和生态屏障区。党的十八大以来，北碚区高度重视生态文明建设工作，始终坚持“生态优先、绿色发展”基本理念，坚守“既要绿水青山，也要金山银山”，加快转方式、治环境、补短板、促协同各项工作，战略性新兴产业加快发展，城乡生态环境质量大幅提升，</w:t>
      </w:r>
      <w:r>
        <w:rPr>
          <w:rFonts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t>先后荣获了国家园林城区、国家环境保护模范区、国家生态示范区等10余项国家</w:t>
      </w:r>
      <w:r>
        <w:rPr>
          <w:rFonts w:hint="eastAsia" w:ascii="方正仿宋_GBK"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t>级殊荣，</w:t>
      </w:r>
      <w:r>
        <w:rPr>
          <w:rFonts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t>2019年成功创建国家生态文明建设示范区，北碚区用实际行动诠释了协同推进高质量发展与高水平保护的</w:t>
      </w:r>
      <w:r>
        <w:rPr>
          <w:rFonts w:hint="eastAsia"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t>美好前景</w:t>
      </w:r>
      <w:r>
        <w:rPr>
          <w:rFonts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t>。</w:t>
      </w:r>
    </w:p>
    <w:p w14:paraId="13282D17">
      <w:pPr>
        <w:autoSpaceDE w:val="0"/>
        <w:autoSpaceDN w:val="0"/>
        <w:spacing w:line="594" w:lineRule="exact"/>
        <w:ind w:firstLine="640" w:firstLineChars="200"/>
        <w:rPr>
          <w:rFonts w:ascii="方正仿宋_GBK"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t>“十四五”时期是我国迈向社会主义现代化新征程的重要开端，是承上启下由污染防治攻坚战转向美丽中国建设持久战、做好第二个百年奋斗目标征程的重要时期，新时代新使命需要新思路开拓创新，新任务新征程需要高标准严要求。北碚区始终坚持以习近平新时代中国特色社会主义思想为指导，全面贯彻成渝地区双城经济圈建设发展战略和习近平总书记视察重庆重要讲话精神，提高政治站位，强化“四个意识”，学好用好绿水青山就是金山银山的理念，走深走实产业生态化、生态产业化的路径，切实加大保护生态、保障民生的力度，努力建成渝地区双城经济圈高品质生活宜居地示范区、重庆市推进长江经济带绿色发展中发挥示范作用的生态样板区。</w:t>
      </w:r>
    </w:p>
    <w:p w14:paraId="10B69824">
      <w:pPr>
        <w:spacing w:line="594" w:lineRule="exact"/>
        <w:ind w:firstLine="640" w:firstLineChars="200"/>
        <w:outlineLvl w:val="1"/>
        <w:rPr>
          <w:rFonts w:ascii="方正楷体_GBK" w:hAnsi="Times New Roman" w:eastAsia="方正楷体_GBK" w:cs="Times New Roman"/>
          <w:bCs/>
          <w:color w:val="0D0D0D" w:themeColor="text1" w:themeTint="F2"/>
          <w:sz w:val="32"/>
          <w14:textFill>
            <w14:solidFill>
              <w14:schemeClr w14:val="tx1">
                <w14:lumMod w14:val="95000"/>
                <w14:lumOff w14:val="5000"/>
              </w14:schemeClr>
            </w14:solidFill>
          </w14:textFill>
        </w:rPr>
      </w:pPr>
      <w:bookmarkStart w:id="12" w:name="_Toc48157845"/>
      <w:r>
        <w:rPr>
          <w:rFonts w:hint="eastAsia" w:ascii="方正楷体_GBK" w:hAnsi="Times New Roman" w:eastAsia="方正楷体_GBK" w:cs="Times New Roman"/>
          <w:bCs/>
          <w:color w:val="0D0D0D" w:themeColor="text1" w:themeTint="F2"/>
          <w:sz w:val="32"/>
          <w14:textFill>
            <w14:solidFill>
              <w14:schemeClr w14:val="tx1">
                <w14:lumMod w14:val="95000"/>
                <w14:lumOff w14:val="5000"/>
              </w14:schemeClr>
            </w14:solidFill>
          </w14:textFill>
        </w:rPr>
        <w:t>（二）目的意义</w:t>
      </w:r>
      <w:bookmarkEnd w:id="12"/>
    </w:p>
    <w:p w14:paraId="53B59EC5">
      <w:pPr>
        <w:autoSpaceDE w:val="0"/>
        <w:autoSpaceDN w:val="0"/>
        <w:spacing w:line="594" w:lineRule="exact"/>
        <w:ind w:firstLine="643" w:firstLineChars="200"/>
        <w:rPr>
          <w:rFonts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pPr>
      <w:r>
        <w:rPr>
          <w:rFonts w:hint="eastAsia" w:ascii="Times New Roman" w:hAnsi="Times New Roman" w:eastAsia="方正仿宋_GBK" w:cs="Times New Roman"/>
          <w:b/>
          <w:color w:val="0D0D0D" w:themeColor="text1" w:themeTint="F2"/>
          <w:sz w:val="32"/>
          <w:szCs w:val="36"/>
          <w14:textFill>
            <w14:solidFill>
              <w14:schemeClr w14:val="tx1">
                <w14:lumMod w14:val="95000"/>
                <w14:lumOff w14:val="5000"/>
              </w14:schemeClr>
            </w14:solidFill>
          </w14:textFill>
        </w:rPr>
        <w:t>推进</w:t>
      </w:r>
      <w:bookmarkStart w:id="13" w:name="_Hlk44925645"/>
      <w:r>
        <w:rPr>
          <w:rFonts w:hint="eastAsia" w:ascii="Times New Roman" w:hAnsi="Times New Roman" w:eastAsia="方正仿宋_GBK" w:cs="Times New Roman"/>
          <w:b/>
          <w:color w:val="0D0D0D" w:themeColor="text1" w:themeTint="F2"/>
          <w:sz w:val="32"/>
          <w:szCs w:val="36"/>
          <w14:textFill>
            <w14:solidFill>
              <w14:schemeClr w14:val="tx1">
                <w14:lumMod w14:val="95000"/>
                <w14:lumOff w14:val="5000"/>
              </w14:schemeClr>
            </w14:solidFill>
          </w14:textFill>
        </w:rPr>
        <w:t>“两山”基地建设</w:t>
      </w:r>
      <w:bookmarkEnd w:id="13"/>
      <w:r>
        <w:rPr>
          <w:rFonts w:hint="eastAsia" w:ascii="Times New Roman" w:hAnsi="Times New Roman" w:eastAsia="方正仿宋_GBK" w:cs="Times New Roman"/>
          <w:b/>
          <w:color w:val="0D0D0D" w:themeColor="text1" w:themeTint="F2"/>
          <w:sz w:val="32"/>
          <w:szCs w:val="36"/>
          <w14:textFill>
            <w14:solidFill>
              <w14:schemeClr w14:val="tx1">
                <w14:lumMod w14:val="95000"/>
                <w14:lumOff w14:val="5000"/>
              </w14:schemeClr>
            </w14:solidFill>
          </w14:textFill>
        </w:rPr>
        <w:t>是深入贯彻习近平生态文明思想的生动实践。</w:t>
      </w:r>
      <w:r>
        <w:rPr>
          <w:rFonts w:hint="eastAsia"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t>习近平生态文明思想是新时代推进生态文明和美丽中国建设的根本遵循，“两山论”是习近平生态文明思想的核心价值观，为科学认知生态文明、践行生态文明提供了实践范式。习近平总书记两次视察重庆市均指出重庆要建设长江上游重要生态屏障，成为山清水秀美丽之地。开展“两山”基地建设是北碚区深学笃用习近平生态文明思想、深入贯彻“绿水青山就是金山银山”理念，正确处理好生态环境保护和发展的关系，探索生态产品价值实现方式，将生态资源优势转变为经济发展优势，推动建设山清水秀美丽北碚的具体路径。</w:t>
      </w:r>
    </w:p>
    <w:p w14:paraId="124B4353">
      <w:pPr>
        <w:autoSpaceDE w:val="0"/>
        <w:autoSpaceDN w:val="0"/>
        <w:spacing w:line="594" w:lineRule="exact"/>
        <w:ind w:firstLine="643" w:firstLineChars="200"/>
        <w:rPr>
          <w:rFonts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pPr>
      <w:r>
        <w:rPr>
          <w:rFonts w:hint="eastAsia" w:ascii="Times New Roman" w:hAnsi="Times New Roman" w:eastAsia="方正仿宋_GBK" w:cs="Times New Roman"/>
          <w:b/>
          <w:color w:val="0D0D0D" w:themeColor="text1" w:themeTint="F2"/>
          <w:sz w:val="32"/>
          <w:szCs w:val="36"/>
          <w14:textFill>
            <w14:solidFill>
              <w14:schemeClr w14:val="tx1">
                <w14:lumMod w14:val="95000"/>
                <w14:lumOff w14:val="5000"/>
              </w14:schemeClr>
            </w14:solidFill>
          </w14:textFill>
        </w:rPr>
        <w:t>推进“两山”基地建设是落实发展战略实现高质量绿色发展的内在需求。</w:t>
      </w:r>
      <w:r>
        <w:rPr>
          <w:rFonts w:hint="eastAsia"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t>习近平总书记对重庆提出了“两点”定位、“两地”“两高”目标、发挥“三个作用”和营造良好政治生态重要指示要求。北碚区是重庆两江新区开发建设主战场之一，是重庆市的科教文化高地、高新产业基地、都市生态屏障区和对外开放的重要门户，生态环境重要性突出，生态环境保护任务艰巨。推进“两山”基地建设，有利于北碚区紧密对接西部大开发、长江经济带、成渝地区双城经济圈等区域发展战略，加快培育高质量发展的新动力源，全面协同推进经济高质量发展和生态环境高水平保护，助推长江上游重要生态屏障建设，助推建成全面体现新发展理念和重庆发挥“三个作用”的先行示范区。</w:t>
      </w:r>
    </w:p>
    <w:p w14:paraId="09B33237">
      <w:pPr>
        <w:autoSpaceDE w:val="0"/>
        <w:autoSpaceDN w:val="0"/>
        <w:spacing w:line="594" w:lineRule="exact"/>
        <w:ind w:firstLine="643" w:firstLineChars="200"/>
        <w:rPr>
          <w:rFonts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pPr>
      <w:r>
        <w:rPr>
          <w:rFonts w:hint="eastAsia" w:ascii="Times New Roman" w:hAnsi="Times New Roman" w:eastAsia="方正仿宋_GBK" w:cs="Times New Roman"/>
          <w:b/>
          <w:color w:val="0D0D0D" w:themeColor="text1" w:themeTint="F2"/>
          <w:sz w:val="32"/>
          <w:szCs w:val="36"/>
          <w14:textFill>
            <w14:solidFill>
              <w14:schemeClr w14:val="tx1">
                <w14:lumMod w14:val="95000"/>
                <w14:lumOff w14:val="5000"/>
              </w14:schemeClr>
            </w14:solidFill>
          </w14:textFill>
        </w:rPr>
        <w:t>推进“两山”基地建设是顺应我区群众热切期盼增进民生福祉的善治德政。</w:t>
      </w:r>
      <w:r>
        <w:rPr>
          <w:rFonts w:hint="eastAsia" w:ascii="Times New Roman" w:hAnsi="Times New Roman" w:eastAsia="方正仿宋_GBK" w:cs="Times New Roman"/>
          <w:bCs/>
          <w:color w:val="0D0D0D" w:themeColor="text1" w:themeTint="F2"/>
          <w:sz w:val="32"/>
          <w:szCs w:val="36"/>
          <w14:textFill>
            <w14:solidFill>
              <w14:schemeClr w14:val="tx1">
                <w14:lumMod w14:val="95000"/>
                <w14:lumOff w14:val="5000"/>
              </w14:schemeClr>
            </w14:solidFill>
          </w14:textFill>
        </w:rPr>
        <w:t>习近平总书记指出：“环境就是民生，青山就是美丽，蓝天也是幸福。要像保护眼睛一样保护生态环境，像对待生命一样对待生态环境”，“良好生态环境是最公平的公共产品，是最普惠的民生福祉”。北碚区坚持以人民为中心的发展理念，以增强人民群众获得感为导向，推进“两山”基地建设，坚持不懈做好改善环境养护绿水青山、做实项目转化绿水青山、惠及民生共享绿水青山等工作，让绿水青山成永恒本色，将生态优势转化为生态红利，推动实现“产业兴、百姓富、生态美”，是顺应群众热切期盼增进民生福祉的善治德政。</w:t>
      </w:r>
    </w:p>
    <w:p w14:paraId="331169FF">
      <w:pPr>
        <w:spacing w:line="594" w:lineRule="exact"/>
        <w:ind w:firstLine="720" w:firstLineChars="200"/>
        <w:outlineLvl w:val="0"/>
        <w:rPr>
          <w:rFonts w:ascii="方正黑体_GBK" w:eastAsia="方正黑体_GBK"/>
          <w:bCs/>
          <w:sz w:val="36"/>
          <w:szCs w:val="36"/>
        </w:rPr>
      </w:pPr>
      <w:bookmarkStart w:id="14" w:name="_Toc48157846"/>
      <w:r>
        <w:rPr>
          <w:rFonts w:hint="eastAsia" w:ascii="方正黑体_GBK" w:eastAsia="方正黑体_GBK"/>
          <w:bCs/>
          <w:sz w:val="36"/>
          <w:szCs w:val="36"/>
        </w:rPr>
        <w:t>二、区域概况</w:t>
      </w:r>
      <w:bookmarkEnd w:id="14"/>
    </w:p>
    <w:p w14:paraId="34730141">
      <w:pPr>
        <w:spacing w:line="594" w:lineRule="exact"/>
        <w:ind w:firstLine="640" w:firstLineChars="200"/>
        <w:outlineLvl w:val="1"/>
        <w:rPr>
          <w:rFonts w:ascii="方正楷体_GBK" w:hAnsi="Times New Roman" w:eastAsia="方正楷体_GBK" w:cs="Times New Roman"/>
          <w:bCs/>
          <w:color w:val="0D0D0D" w:themeColor="text1" w:themeTint="F2"/>
          <w:sz w:val="32"/>
          <w14:textFill>
            <w14:solidFill>
              <w14:schemeClr w14:val="tx1">
                <w14:lumMod w14:val="95000"/>
                <w14:lumOff w14:val="5000"/>
              </w14:schemeClr>
            </w14:solidFill>
          </w14:textFill>
        </w:rPr>
      </w:pPr>
      <w:bookmarkStart w:id="15" w:name="_Toc42688078"/>
      <w:bookmarkStart w:id="16" w:name="_Toc48157847"/>
      <w:r>
        <w:rPr>
          <w:rFonts w:hint="eastAsia" w:ascii="方正楷体_GBK" w:hAnsi="Times New Roman" w:eastAsia="方正楷体_GBK" w:cs="Times New Roman"/>
          <w:bCs/>
          <w:color w:val="0D0D0D" w:themeColor="text1" w:themeTint="F2"/>
          <w:sz w:val="32"/>
          <w14:textFill>
            <w14:solidFill>
              <w14:schemeClr w14:val="tx1">
                <w14:lumMod w14:val="95000"/>
                <w14:lumOff w14:val="5000"/>
              </w14:schemeClr>
            </w14:solidFill>
          </w14:textFill>
        </w:rPr>
        <w:t>（一）区位概况</w:t>
      </w:r>
      <w:bookmarkEnd w:id="15"/>
      <w:bookmarkEnd w:id="16"/>
    </w:p>
    <w:p w14:paraId="1B4BC77C">
      <w:pPr>
        <w:autoSpaceDE w:val="0"/>
        <w:autoSpaceDN w:val="0"/>
        <w:spacing w:line="594"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北碚区</w:t>
      </w:r>
      <w:r>
        <w:rPr>
          <w:rFonts w:hint="eastAsia" w:ascii="Times New Roman" w:hAnsi="Times New Roman" w:eastAsia="方正仿宋_GBK" w:cs="Times New Roman"/>
          <w:sz w:val="32"/>
          <w:szCs w:val="32"/>
        </w:rPr>
        <w:t>是直辖市重庆主城都市区中心城区之一，</w:t>
      </w:r>
      <w:r>
        <w:rPr>
          <w:rFonts w:ascii="Times New Roman" w:hAnsi="Times New Roman" w:eastAsia="方正仿宋_GBK" w:cs="Times New Roman"/>
          <w:sz w:val="32"/>
          <w:szCs w:val="32"/>
        </w:rPr>
        <w:t>位于重庆市中心城区西北部，</w:t>
      </w:r>
      <w:r>
        <w:rPr>
          <w:rFonts w:hint="eastAsia" w:ascii="Times New Roman" w:hAnsi="Times New Roman" w:eastAsia="方正仿宋_GBK" w:cs="Times New Roman"/>
          <w:sz w:val="32"/>
          <w:szCs w:val="32"/>
        </w:rPr>
        <w:t>距重庆市中心</w:t>
      </w:r>
      <w:r>
        <w:rPr>
          <w:rFonts w:ascii="Times New Roman" w:hAnsi="Times New Roman" w:eastAsia="方正仿宋_GBK" w:cs="Times New Roman"/>
          <w:sz w:val="32"/>
          <w:szCs w:val="32"/>
        </w:rPr>
        <w:t>24公里，北碚地处东经106°18′02″～106°40′57″，北纬29°37′～30°05′08″，幅员面积755平方千米。全区南北相距最长33.2km，东西相距最宽24km，</w:t>
      </w:r>
      <w:r>
        <w:rPr>
          <w:rFonts w:hint="eastAsia" w:ascii="Times New Roman" w:hAnsi="Times New Roman" w:eastAsia="方正仿宋_GBK" w:cs="Times New Roman"/>
          <w:sz w:val="32"/>
          <w:szCs w:val="32"/>
        </w:rPr>
        <w:t>幅员面积</w:t>
      </w:r>
      <w:r>
        <w:rPr>
          <w:rFonts w:ascii="Times New Roman" w:hAnsi="Times New Roman" w:eastAsia="方正仿宋_GBK" w:cs="Times New Roman"/>
          <w:sz w:val="32"/>
          <w:szCs w:val="32"/>
        </w:rPr>
        <w:t>755平方千米，东邻渝北区，南接沙坪坝区，西靠</w:t>
      </w:r>
      <w:r>
        <w:rPr>
          <w:rFonts w:hint="eastAsia" w:ascii="Times New Roman" w:hAnsi="Times New Roman" w:eastAsia="方正仿宋_GBK" w:cs="Times New Roman"/>
          <w:sz w:val="32"/>
          <w:szCs w:val="32"/>
        </w:rPr>
        <w:t>璧山</w:t>
      </w:r>
      <w:r>
        <w:rPr>
          <w:rFonts w:ascii="Times New Roman" w:hAnsi="Times New Roman" w:eastAsia="方正仿宋_GBK" w:cs="Times New Roman"/>
          <w:sz w:val="32"/>
          <w:szCs w:val="32"/>
        </w:rPr>
        <w:t>区，北接壤合川区，是重庆联接川北的大门。</w:t>
      </w:r>
      <w:bookmarkStart w:id="17" w:name="_Toc48157848"/>
    </w:p>
    <w:p w14:paraId="5350BFCD">
      <w:pPr>
        <w:autoSpaceDE w:val="0"/>
        <w:autoSpaceDN w:val="0"/>
        <w:spacing w:line="594" w:lineRule="exact"/>
        <w:ind w:firstLine="640" w:firstLineChars="200"/>
        <w:rPr>
          <w:rFonts w:ascii="方正楷体_GBK" w:hAnsi="Times New Roman" w:eastAsia="方正楷体_GBK" w:cs="Times New Roman"/>
          <w:bCs/>
          <w:color w:val="0D0D0D" w:themeColor="text1" w:themeTint="F2"/>
          <w:sz w:val="32"/>
          <w14:textFill>
            <w14:solidFill>
              <w14:schemeClr w14:val="tx1">
                <w14:lumMod w14:val="95000"/>
                <w14:lumOff w14:val="5000"/>
              </w14:schemeClr>
            </w14:solidFill>
          </w14:textFill>
        </w:rPr>
      </w:pPr>
      <w:r>
        <w:rPr>
          <w:rFonts w:hint="eastAsia" w:ascii="方正楷体_GBK" w:hAnsi="Times New Roman" w:eastAsia="方正楷体_GBK" w:cs="Times New Roman"/>
          <w:bCs/>
          <w:color w:val="0D0D0D" w:themeColor="text1" w:themeTint="F2"/>
          <w:sz w:val="32"/>
          <w14:textFill>
            <w14:solidFill>
              <w14:schemeClr w14:val="tx1">
                <w14:lumMod w14:val="95000"/>
                <w14:lumOff w14:val="5000"/>
              </w14:schemeClr>
            </w14:solidFill>
          </w14:textFill>
        </w:rPr>
        <w:t>（二）交通概况</w:t>
      </w:r>
    </w:p>
    <w:p w14:paraId="703C0F00">
      <w:pPr>
        <w:autoSpaceDE w:val="0"/>
        <w:autoSpaceDN w:val="0"/>
        <w:spacing w:line="594"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北碚区现代交通体系发达，</w:t>
      </w:r>
      <w:r>
        <w:rPr>
          <w:rFonts w:ascii="Times New Roman" w:hAnsi="Times New Roman" w:eastAsia="方正仿宋_GBK" w:cs="Times New Roman"/>
          <w:sz w:val="32"/>
          <w:szCs w:val="32"/>
        </w:rPr>
        <w:t>是重庆进出川北的咽喉要地，</w:t>
      </w:r>
      <w:r>
        <w:rPr>
          <w:rFonts w:hint="eastAsia" w:ascii="Times New Roman" w:hAnsi="Times New Roman" w:eastAsia="方正仿宋_GBK" w:cs="Times New Roman"/>
          <w:sz w:val="32"/>
          <w:szCs w:val="32"/>
        </w:rPr>
        <w:t>距重庆江北国际机场</w:t>
      </w:r>
      <w:r>
        <w:rPr>
          <w:rFonts w:ascii="Times New Roman" w:hAnsi="Times New Roman" w:eastAsia="方正仿宋_GBK" w:cs="Times New Roman"/>
          <w:sz w:val="32"/>
          <w:szCs w:val="32"/>
        </w:rPr>
        <w:t>27公里</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嘉陵江黄金水道纵贯南北，</w:t>
      </w:r>
      <w:r>
        <w:rPr>
          <w:rFonts w:hint="eastAsia" w:ascii="Times New Roman" w:hAnsi="Times New Roman" w:eastAsia="方正仿宋_GBK" w:cs="Times New Roman"/>
          <w:sz w:val="32"/>
          <w:szCs w:val="32"/>
        </w:rPr>
        <w:t>建有航电枢纽1座、港口码头8个、渡口1处。</w:t>
      </w:r>
      <w:r>
        <w:rPr>
          <w:rFonts w:ascii="Times New Roman" w:hAnsi="Times New Roman" w:eastAsia="方正仿宋_GBK" w:cs="Times New Roman"/>
          <w:sz w:val="32"/>
          <w:szCs w:val="32"/>
        </w:rPr>
        <w:t>境内有</w:t>
      </w:r>
      <w:r>
        <w:rPr>
          <w:rFonts w:hint="eastAsia" w:ascii="Times New Roman" w:hAnsi="Times New Roman" w:eastAsia="方正仿宋_GBK" w:cs="Times New Roman"/>
          <w:sz w:val="32"/>
          <w:szCs w:val="32"/>
        </w:rPr>
        <w:t>渝怀、渝利、兰渝等</w:t>
      </w:r>
      <w:r>
        <w:rPr>
          <w:rFonts w:ascii="Times New Roman" w:hAnsi="Times New Roman" w:eastAsia="方正仿宋_GBK" w:cs="Times New Roman"/>
          <w:sz w:val="32"/>
          <w:szCs w:val="32"/>
        </w:rPr>
        <w:t>9条铁路干线</w:t>
      </w:r>
      <w:r>
        <w:rPr>
          <w:rFonts w:hint="eastAsia" w:ascii="Times New Roman" w:hAnsi="Times New Roman" w:eastAsia="方正仿宋_GBK" w:cs="Times New Roman"/>
          <w:sz w:val="32"/>
          <w:szCs w:val="32"/>
        </w:rPr>
        <w:t>，打通了北碚区的东、南、西、北四面。绕城高速、渝武高速、渝广高速、中环快速路穿境而过。重庆市轻轨六号线在北碚共设</w:t>
      </w:r>
      <w:r>
        <w:rPr>
          <w:rFonts w:ascii="Times New Roman" w:hAnsi="Times New Roman" w:eastAsia="方正仿宋_GBK" w:cs="Times New Roman"/>
          <w:sz w:val="32"/>
          <w:szCs w:val="32"/>
        </w:rPr>
        <w:t>7个站点，全长约23公里</w:t>
      </w:r>
      <w:r>
        <w:rPr>
          <w:rFonts w:hint="eastAsia" w:ascii="Times New Roman" w:hAnsi="Times New Roman" w:eastAsia="方正仿宋_GBK" w:cs="Times New Roman"/>
          <w:sz w:val="32"/>
          <w:szCs w:val="32"/>
        </w:rPr>
        <w:t>。</w:t>
      </w:r>
    </w:p>
    <w:p w14:paraId="34DC85BB">
      <w:pPr>
        <w:autoSpaceDE w:val="0"/>
        <w:autoSpaceDN w:val="0"/>
        <w:spacing w:line="594" w:lineRule="exact"/>
        <w:ind w:firstLine="640" w:firstLineChars="200"/>
        <w:rPr>
          <w:rFonts w:ascii="Times New Roman" w:hAnsi="Times New Roman" w:eastAsia="方正仿宋_GBK" w:cs="Times New Roman"/>
          <w:sz w:val="32"/>
          <w:szCs w:val="32"/>
        </w:rPr>
      </w:pPr>
    </w:p>
    <w:p w14:paraId="442C5FD9">
      <w:pPr>
        <w:autoSpaceDE w:val="0"/>
        <w:autoSpaceDN w:val="0"/>
        <w:ind w:firstLine="420" w:firstLineChars="200"/>
        <w:jc w:val="center"/>
        <w:rPr>
          <w:rFonts w:ascii="Times New Roman" w:hAnsi="Times New Roman" w:eastAsia="方正仿宋_GBK" w:cs="Times New Roman"/>
          <w:sz w:val="32"/>
          <w:szCs w:val="32"/>
        </w:rPr>
      </w:pPr>
      <w:r>
        <w:drawing>
          <wp:inline distT="0" distB="0" distL="0" distR="0">
            <wp:extent cx="5048250" cy="40646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063733" cy="4077277"/>
                    </a:xfrm>
                    <a:prstGeom prst="rect">
                      <a:avLst/>
                    </a:prstGeom>
                    <a:noFill/>
                    <a:ln>
                      <a:noFill/>
                    </a:ln>
                  </pic:spPr>
                </pic:pic>
              </a:graphicData>
            </a:graphic>
          </wp:inline>
        </w:drawing>
      </w:r>
    </w:p>
    <w:p w14:paraId="45788C25">
      <w:pPr>
        <w:autoSpaceDE w:val="0"/>
        <w:autoSpaceDN w:val="0"/>
        <w:adjustRightInd w:val="0"/>
        <w:snapToGrid w:val="0"/>
        <w:spacing w:after="156" w:afterLines="50"/>
        <w:jc w:val="center"/>
        <w:rPr>
          <w:rFonts w:ascii="Times New Roman" w:hAnsi="Times New Roman" w:eastAsia="方正仿宋_GBK" w:cs="Times New Roman"/>
          <w:b/>
          <w:bCs/>
          <w:sz w:val="24"/>
          <w:szCs w:val="24"/>
        </w:rPr>
      </w:pPr>
      <w:r>
        <w:rPr>
          <w:rFonts w:hint="eastAsia" w:ascii="Times New Roman" w:hAnsi="Times New Roman" w:eastAsia="方正仿宋_GBK" w:cs="Times New Roman"/>
          <w:b/>
          <w:bCs/>
          <w:sz w:val="24"/>
          <w:szCs w:val="24"/>
        </w:rPr>
        <w:t>图1</w:t>
      </w:r>
      <w:r>
        <w:rPr>
          <w:rFonts w:ascii="Times New Roman" w:hAnsi="Times New Roman" w:eastAsia="方正仿宋_GBK" w:cs="Times New Roman"/>
          <w:b/>
          <w:bCs/>
          <w:sz w:val="24"/>
          <w:szCs w:val="24"/>
        </w:rPr>
        <w:t xml:space="preserve">  </w:t>
      </w:r>
      <w:r>
        <w:rPr>
          <w:rFonts w:hint="eastAsia" w:ascii="Times New Roman" w:hAnsi="Times New Roman" w:eastAsia="方正仿宋_GBK" w:cs="Times New Roman"/>
          <w:b/>
          <w:bCs/>
          <w:sz w:val="24"/>
          <w:szCs w:val="24"/>
        </w:rPr>
        <w:t>北碚区区位图</w:t>
      </w:r>
    </w:p>
    <w:bookmarkEnd w:id="17"/>
    <w:p w14:paraId="10AFBEE5">
      <w:pPr>
        <w:spacing w:line="594" w:lineRule="exact"/>
        <w:ind w:firstLine="640" w:firstLineChars="200"/>
        <w:outlineLvl w:val="1"/>
        <w:rPr>
          <w:rFonts w:ascii="方正楷体_GBK" w:hAnsi="Times New Roman" w:eastAsia="方正楷体_GBK" w:cs="Times New Roman"/>
          <w:bCs/>
          <w:color w:val="0D0D0D" w:themeColor="text1" w:themeTint="F2"/>
          <w:sz w:val="32"/>
          <w14:textFill>
            <w14:solidFill>
              <w14:schemeClr w14:val="tx1">
                <w14:lumMod w14:val="95000"/>
                <w14:lumOff w14:val="5000"/>
              </w14:schemeClr>
            </w14:solidFill>
          </w14:textFill>
        </w:rPr>
      </w:pPr>
      <w:bookmarkStart w:id="18" w:name="_Toc42688079"/>
      <w:bookmarkStart w:id="19" w:name="_Toc48157849"/>
      <w:r>
        <w:rPr>
          <w:rFonts w:hint="eastAsia" w:ascii="方正楷体_GBK" w:hAnsi="Times New Roman" w:eastAsia="方正楷体_GBK" w:cs="Times New Roman"/>
          <w:bCs/>
          <w:color w:val="0D0D0D" w:themeColor="text1" w:themeTint="F2"/>
          <w:sz w:val="32"/>
          <w14:textFill>
            <w14:solidFill>
              <w14:schemeClr w14:val="tx1">
                <w14:lumMod w14:val="95000"/>
                <w14:lumOff w14:val="5000"/>
              </w14:schemeClr>
            </w14:solidFill>
          </w14:textFill>
        </w:rPr>
        <w:t>（三）自然状况</w:t>
      </w:r>
      <w:bookmarkEnd w:id="18"/>
      <w:bookmarkEnd w:id="19"/>
    </w:p>
    <w:p w14:paraId="2337A0F9">
      <w:pPr>
        <w:autoSpaceDE w:val="0"/>
        <w:autoSpaceDN w:val="0"/>
        <w:spacing w:line="594"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北碚</w:t>
      </w:r>
      <w:r>
        <w:rPr>
          <w:rFonts w:hint="eastAsia" w:ascii="Times New Roman" w:hAnsi="Times New Roman" w:eastAsia="方正仿宋_GBK" w:cs="Times New Roman"/>
          <w:sz w:val="32"/>
          <w:szCs w:val="32"/>
        </w:rPr>
        <w:t>区</w:t>
      </w:r>
      <w:r>
        <w:rPr>
          <w:rFonts w:ascii="Times New Roman" w:hAnsi="Times New Roman" w:eastAsia="方正仿宋_GBK" w:cs="Times New Roman"/>
          <w:sz w:val="32"/>
          <w:szCs w:val="32"/>
        </w:rPr>
        <w:t>生态环境优良丰富，缙云山、中梁山、铜锣山、云雾山贯穿辖区，</w:t>
      </w:r>
      <w:r>
        <w:rPr>
          <w:rFonts w:hint="eastAsia" w:ascii="Times New Roman" w:hAnsi="Times New Roman" w:eastAsia="方正仿宋_GBK" w:cs="Times New Roman"/>
          <w:sz w:val="32"/>
          <w:szCs w:val="32"/>
        </w:rPr>
        <w:t>有缙云山国家自然保护区、茅庵自然保护区、小三峡自然保护区、金刀峡自然保护区、观音峡国家森林公园、茅庵森林公园及缙云山—钓鱼台风景名胜区等重点生态功能区，</w:t>
      </w:r>
      <w:r>
        <w:rPr>
          <w:rFonts w:ascii="Times New Roman" w:hAnsi="Times New Roman" w:eastAsia="方正仿宋_GBK" w:cs="Times New Roman"/>
          <w:sz w:val="32"/>
          <w:szCs w:val="32"/>
        </w:rPr>
        <w:t>森林覆盖率达53.13%，是国内驰名的园林城区和人居环境范例区</w:t>
      </w:r>
      <w:r>
        <w:rPr>
          <w:rFonts w:hint="eastAsia" w:ascii="Times New Roman" w:hAnsi="Times New Roman" w:eastAsia="方正仿宋_GBK" w:cs="Times New Roman"/>
          <w:sz w:val="32"/>
          <w:szCs w:val="32"/>
        </w:rPr>
        <w:t>，是重庆主城都市区重要森林保护区和生态屏障区。</w:t>
      </w:r>
    </w:p>
    <w:p w14:paraId="3C60F32B">
      <w:pPr>
        <w:autoSpaceDE w:val="0"/>
        <w:autoSpaceDN w:val="0"/>
        <w:spacing w:line="594"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北碚全区地处四川盆地东部平行岭谷区，地貌发育受地质构造控制，背斜发育形成完整的山脉，海拔一般为</w:t>
      </w:r>
      <w:r>
        <w:rPr>
          <w:rFonts w:ascii="Times New Roman" w:hAnsi="Times New Roman" w:eastAsia="方正仿宋_GBK" w:cs="Times New Roman"/>
          <w:sz w:val="32"/>
          <w:szCs w:val="32"/>
        </w:rPr>
        <w:t>600-1000米，呈东北向延伸，与构造走向一致。向斜发育成丘陵、平坝，海拔220-500米。</w:t>
      </w:r>
      <w:r>
        <w:rPr>
          <w:rFonts w:hint="eastAsia" w:ascii="Times New Roman" w:hAnsi="Times New Roman" w:eastAsia="方正仿宋_GBK" w:cs="Times New Roman"/>
          <w:sz w:val="32"/>
          <w:szCs w:val="32"/>
        </w:rPr>
        <w:t>北碚区地势东北高西南低，境内最高海拔</w:t>
      </w:r>
      <w:r>
        <w:rPr>
          <w:rFonts w:ascii="Times New Roman" w:hAnsi="Times New Roman" w:eastAsia="方正仿宋_GBK" w:cs="Times New Roman"/>
          <w:sz w:val="32"/>
          <w:szCs w:val="32"/>
        </w:rPr>
        <w:t>1316米，最低海拔175米。</w:t>
      </w:r>
    </w:p>
    <w:p w14:paraId="22F9EBFA">
      <w:pPr>
        <w:autoSpaceDE w:val="0"/>
        <w:autoSpaceDN w:val="0"/>
        <w:ind w:firstLine="420" w:firstLineChars="200"/>
        <w:jc w:val="center"/>
        <w:rPr>
          <w:rFonts w:ascii="Times New Roman" w:hAnsi="Times New Roman" w:eastAsia="方正仿宋_GBK" w:cs="Times New Roman"/>
          <w:sz w:val="32"/>
          <w:szCs w:val="32"/>
        </w:rPr>
      </w:pPr>
      <w:r>
        <w:drawing>
          <wp:inline distT="0" distB="0" distL="0" distR="0">
            <wp:extent cx="4486910" cy="5593080"/>
            <wp:effectExtent l="0" t="0" r="889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8" cstate="print">
                      <a:extLst>
                        <a:ext uri="{28A0092B-C50C-407E-A947-70E740481C1C}">
                          <a14:useLocalDpi xmlns:a14="http://schemas.microsoft.com/office/drawing/2010/main" val="0"/>
                        </a:ext>
                      </a:extLst>
                    </a:blip>
                    <a:srcRect l="366" t="5363" r="-366" b="2602"/>
                    <a:stretch>
                      <a:fillRect/>
                    </a:stretch>
                  </pic:blipFill>
                  <pic:spPr>
                    <a:xfrm>
                      <a:off x="0" y="0"/>
                      <a:ext cx="4488105" cy="5595089"/>
                    </a:xfrm>
                    <a:prstGeom prst="rect">
                      <a:avLst/>
                    </a:prstGeom>
                    <a:noFill/>
                    <a:ln>
                      <a:noFill/>
                    </a:ln>
                  </pic:spPr>
                </pic:pic>
              </a:graphicData>
            </a:graphic>
          </wp:inline>
        </w:drawing>
      </w:r>
    </w:p>
    <w:p w14:paraId="2323A16A">
      <w:pPr>
        <w:autoSpaceDE w:val="0"/>
        <w:autoSpaceDN w:val="0"/>
        <w:adjustRightInd w:val="0"/>
        <w:snapToGrid w:val="0"/>
        <w:spacing w:after="156" w:afterLines="50"/>
        <w:jc w:val="center"/>
        <w:rPr>
          <w:rFonts w:ascii="Times New Roman" w:hAnsi="Times New Roman" w:eastAsia="方正仿宋_GBK" w:cs="Times New Roman"/>
          <w:b/>
          <w:bCs/>
          <w:sz w:val="24"/>
          <w:szCs w:val="24"/>
        </w:rPr>
      </w:pPr>
      <w:r>
        <w:rPr>
          <w:rFonts w:hint="eastAsia" w:ascii="Times New Roman" w:hAnsi="Times New Roman" w:eastAsia="方正仿宋_GBK" w:cs="Times New Roman"/>
          <w:b/>
          <w:bCs/>
          <w:sz w:val="24"/>
          <w:szCs w:val="24"/>
        </w:rPr>
        <w:t>图</w:t>
      </w:r>
      <w:r>
        <w:rPr>
          <w:rFonts w:ascii="Times New Roman" w:hAnsi="Times New Roman" w:eastAsia="方正仿宋_GBK" w:cs="Times New Roman"/>
          <w:b/>
          <w:bCs/>
          <w:sz w:val="24"/>
          <w:szCs w:val="24"/>
        </w:rPr>
        <w:t xml:space="preserve">2  </w:t>
      </w:r>
      <w:r>
        <w:rPr>
          <w:rFonts w:hint="eastAsia" w:ascii="Times New Roman" w:hAnsi="Times New Roman" w:eastAsia="方正仿宋_GBK" w:cs="Times New Roman"/>
          <w:b/>
          <w:bCs/>
          <w:sz w:val="24"/>
          <w:szCs w:val="24"/>
        </w:rPr>
        <w:t>北碚区森林资源图</w:t>
      </w:r>
    </w:p>
    <w:p w14:paraId="233769C0">
      <w:pPr>
        <w:autoSpaceDE w:val="0"/>
        <w:autoSpaceDN w:val="0"/>
        <w:spacing w:line="594"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北碚区全域属于长江流域，嘉陵江由北而南纵贯全境，有黑水滩河、梁滩河、璧北河、土主河、麻柳河、马鞍溪、明家溪、车盘溪、底洞沟、山王沟等大小河流</w:t>
      </w:r>
      <w:r>
        <w:rPr>
          <w:rFonts w:ascii="Times New Roman" w:hAnsi="Times New Roman" w:eastAsia="方正仿宋_GBK" w:cs="Times New Roman"/>
          <w:sz w:val="32"/>
          <w:szCs w:val="32"/>
        </w:rPr>
        <w:t>113条</w:t>
      </w:r>
      <w:r>
        <w:rPr>
          <w:rFonts w:hint="eastAsia" w:ascii="Times New Roman" w:hAnsi="Times New Roman" w:eastAsia="方正仿宋_GBK" w:cs="Times New Roman"/>
          <w:sz w:val="32"/>
          <w:szCs w:val="32"/>
        </w:rPr>
        <w:t>，其中，流域面积</w:t>
      </w:r>
      <w:r>
        <w:rPr>
          <w:rFonts w:ascii="Times New Roman" w:hAnsi="Times New Roman" w:eastAsia="方正仿宋_GBK" w:cs="Times New Roman"/>
          <w:sz w:val="32"/>
          <w:szCs w:val="32"/>
        </w:rPr>
        <w:t>50</w:t>
      </w:r>
      <w:r>
        <w:rPr>
          <w:rFonts w:hint="eastAsia" w:ascii="Times New Roman" w:hAnsi="Times New Roman" w:eastAsia="方正仿宋_GBK" w:cs="Times New Roman"/>
          <w:sz w:val="32"/>
          <w:szCs w:val="32"/>
        </w:rPr>
        <w:t>平方公里</w:t>
      </w:r>
      <w:r>
        <w:rPr>
          <w:rFonts w:ascii="Times New Roman" w:hAnsi="Times New Roman" w:eastAsia="方正仿宋_GBK" w:cs="Times New Roman"/>
          <w:sz w:val="32"/>
          <w:szCs w:val="32"/>
        </w:rPr>
        <w:t>以上的河流</w:t>
      </w:r>
      <w:r>
        <w:rPr>
          <w:rFonts w:hint="eastAsia" w:ascii="Times New Roman" w:hAnsi="Times New Roman" w:eastAsia="方正仿宋_GBK" w:cs="Times New Roman"/>
          <w:sz w:val="32"/>
          <w:szCs w:val="32"/>
        </w:rPr>
        <w:t>5条。北碚区水资源丰富，全区多年平均水资源总量为</w:t>
      </w:r>
      <w:r>
        <w:rPr>
          <w:rFonts w:ascii="Times New Roman" w:hAnsi="Times New Roman" w:eastAsia="方正仿宋_GBK" w:cs="Times New Roman"/>
          <w:sz w:val="32"/>
          <w:szCs w:val="32"/>
        </w:rPr>
        <w:t>4.29</w:t>
      </w:r>
      <w:r>
        <w:rPr>
          <w:rFonts w:hint="eastAsia" w:ascii="Times New Roman" w:hAnsi="Times New Roman" w:eastAsia="方正仿宋_GBK" w:cs="Times New Roman"/>
          <w:sz w:val="32"/>
          <w:szCs w:val="32"/>
        </w:rPr>
        <w:t>亿</w:t>
      </w:r>
      <w:r>
        <w:rPr>
          <w:rFonts w:ascii="Times New Roman" w:hAnsi="Times New Roman" w:eastAsia="方正仿宋_GBK" w:cs="Times New Roman"/>
          <w:sz w:val="32"/>
          <w:szCs w:val="32"/>
        </w:rPr>
        <w:t>立方米，多年平均过境水量为699.43亿立方米。</w:t>
      </w:r>
    </w:p>
    <w:p w14:paraId="5A3A092B">
      <w:pPr>
        <w:autoSpaceDE w:val="0"/>
        <w:autoSpaceDN w:val="0"/>
        <w:ind w:firstLine="482" w:firstLineChars="200"/>
        <w:jc w:val="center"/>
        <w:rPr>
          <w:rFonts w:ascii="Times New Roman" w:hAnsi="Times New Roman" w:eastAsia="方正仿宋_GBK" w:cs="Times New Roman"/>
          <w:b/>
          <w:bCs/>
          <w:sz w:val="24"/>
          <w:szCs w:val="24"/>
        </w:rPr>
      </w:pPr>
    </w:p>
    <w:p w14:paraId="564B1D14">
      <w:pPr>
        <w:autoSpaceDE w:val="0"/>
        <w:autoSpaceDN w:val="0"/>
        <w:ind w:firstLine="420" w:firstLineChars="200"/>
        <w:jc w:val="center"/>
        <w:rPr>
          <w:rFonts w:ascii="Times New Roman" w:hAnsi="Times New Roman" w:eastAsia="方正仿宋_GBK" w:cs="Times New Roman"/>
          <w:sz w:val="32"/>
          <w:szCs w:val="32"/>
          <w:vertAlign w:val="subscript"/>
        </w:rPr>
      </w:pPr>
      <w:r>
        <w:drawing>
          <wp:inline distT="0" distB="0" distL="0" distR="0">
            <wp:extent cx="4534535" cy="5669915"/>
            <wp:effectExtent l="0" t="0" r="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9" cstate="print">
                      <a:extLst>
                        <a:ext uri="{28A0092B-C50C-407E-A947-70E740481C1C}">
                          <a14:useLocalDpi xmlns:a14="http://schemas.microsoft.com/office/drawing/2010/main" val="0"/>
                        </a:ext>
                      </a:extLst>
                    </a:blip>
                    <a:srcRect l="109" t="5238" r="155" b="2680"/>
                    <a:stretch>
                      <a:fillRect/>
                    </a:stretch>
                  </pic:blipFill>
                  <pic:spPr>
                    <a:xfrm>
                      <a:off x="0" y="0"/>
                      <a:ext cx="4546686" cy="5685229"/>
                    </a:xfrm>
                    <a:prstGeom prst="rect">
                      <a:avLst/>
                    </a:prstGeom>
                    <a:noFill/>
                    <a:ln>
                      <a:noFill/>
                    </a:ln>
                  </pic:spPr>
                </pic:pic>
              </a:graphicData>
            </a:graphic>
          </wp:inline>
        </w:drawing>
      </w:r>
    </w:p>
    <w:p w14:paraId="49AFE15A">
      <w:pPr>
        <w:autoSpaceDE w:val="0"/>
        <w:autoSpaceDN w:val="0"/>
        <w:adjustRightInd w:val="0"/>
        <w:snapToGrid w:val="0"/>
        <w:spacing w:after="156" w:afterLines="50"/>
        <w:jc w:val="center"/>
        <w:rPr>
          <w:rFonts w:ascii="Times New Roman" w:hAnsi="Times New Roman" w:eastAsia="方正仿宋_GBK" w:cs="Times New Roman"/>
          <w:b/>
          <w:bCs/>
          <w:sz w:val="24"/>
          <w:szCs w:val="24"/>
        </w:rPr>
      </w:pPr>
      <w:r>
        <w:rPr>
          <w:rFonts w:hint="eastAsia" w:ascii="Times New Roman" w:hAnsi="Times New Roman" w:eastAsia="方正仿宋_GBK" w:cs="Times New Roman"/>
          <w:b/>
          <w:bCs/>
          <w:sz w:val="24"/>
          <w:szCs w:val="24"/>
        </w:rPr>
        <w:t>图</w:t>
      </w:r>
      <w:r>
        <w:rPr>
          <w:rFonts w:ascii="Times New Roman" w:hAnsi="Times New Roman" w:eastAsia="方正仿宋_GBK" w:cs="Times New Roman"/>
          <w:b/>
          <w:bCs/>
          <w:sz w:val="24"/>
          <w:szCs w:val="24"/>
        </w:rPr>
        <w:t xml:space="preserve">3  </w:t>
      </w:r>
      <w:r>
        <w:rPr>
          <w:rFonts w:hint="eastAsia" w:ascii="Times New Roman" w:hAnsi="Times New Roman" w:eastAsia="方正仿宋_GBK" w:cs="Times New Roman"/>
          <w:b/>
          <w:bCs/>
          <w:sz w:val="24"/>
          <w:szCs w:val="24"/>
        </w:rPr>
        <w:t>北碚区地形图</w:t>
      </w:r>
    </w:p>
    <w:p w14:paraId="021A315E">
      <w:pPr>
        <w:autoSpaceDE w:val="0"/>
        <w:autoSpaceDN w:val="0"/>
        <w:spacing w:line="594"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北碚区属亚热带湿润气候，具有较明显的气候垂直带谱结构。年平均气温18.9度，夏热冬暖，春长秋短，四季分明，雨量时空分配不均，降水多集中在5-9月，气温高，日照少，雨季长，湿度大，霜雪少，基本上无低温冻害，时有洪灾，伏旱发生率达93%。</w:t>
      </w:r>
    </w:p>
    <w:p w14:paraId="3CBA49EE">
      <w:pPr>
        <w:spacing w:line="594" w:lineRule="exact"/>
        <w:ind w:firstLine="640" w:firstLineChars="200"/>
        <w:outlineLvl w:val="1"/>
        <w:rPr>
          <w:rFonts w:ascii="方正楷体_GBK" w:hAnsi="Times New Roman" w:eastAsia="方正楷体_GBK" w:cs="Times New Roman"/>
          <w:bCs/>
          <w:color w:val="0D0D0D" w:themeColor="text1" w:themeTint="F2"/>
          <w:sz w:val="32"/>
          <w14:textFill>
            <w14:solidFill>
              <w14:schemeClr w14:val="tx1">
                <w14:lumMod w14:val="95000"/>
                <w14:lumOff w14:val="5000"/>
              </w14:schemeClr>
            </w14:solidFill>
          </w14:textFill>
        </w:rPr>
      </w:pPr>
      <w:bookmarkStart w:id="20" w:name="_Toc42688080"/>
      <w:bookmarkStart w:id="21" w:name="_Toc48157850"/>
      <w:r>
        <w:rPr>
          <w:rFonts w:hint="eastAsia" w:ascii="方正楷体_GBK" w:hAnsi="Times New Roman" w:eastAsia="方正楷体_GBK" w:cs="Times New Roman"/>
          <w:bCs/>
          <w:color w:val="0D0D0D" w:themeColor="text1" w:themeTint="F2"/>
          <w:sz w:val="32"/>
          <w14:textFill>
            <w14:solidFill>
              <w14:schemeClr w14:val="tx1">
                <w14:lumMod w14:val="95000"/>
                <w14:lumOff w14:val="5000"/>
              </w14:schemeClr>
            </w14:solidFill>
          </w14:textFill>
        </w:rPr>
        <w:t>（四）资源状况</w:t>
      </w:r>
      <w:bookmarkEnd w:id="20"/>
      <w:bookmarkEnd w:id="21"/>
    </w:p>
    <w:p w14:paraId="5BBB825D">
      <w:pPr>
        <w:spacing w:line="594" w:lineRule="exact"/>
        <w:ind w:firstLine="640"/>
        <w:rPr>
          <w:rFonts w:eastAsia="方正仿宋_GBK"/>
          <w:bCs/>
          <w:color w:val="000000"/>
          <w:sz w:val="32"/>
          <w:szCs w:val="32"/>
        </w:rPr>
      </w:pPr>
      <w:r>
        <w:rPr>
          <w:rFonts w:hint="eastAsia" w:eastAsia="方正仿宋_GBK"/>
          <w:bCs/>
          <w:color w:val="000000"/>
          <w:sz w:val="32"/>
          <w:szCs w:val="32"/>
        </w:rPr>
        <w:t>北碚区矿产资源种类较丰富，辖区内共发现矿种23种。其中，能源矿产4种，金属矿产3种，非金属矿产14种，水气矿产2种。矿产资源主要特点是所有矿产均为沉积型，非金属矿产种类和资源多，共伴生矿产多。矿产主要分布在背斜轴部及其两翼。优势矿产为煤、石膏、石灰岩、砂岩、地热等，潜力矿产有白云岩、膨润土、硫铁矿、矿泉水等，各类矿产均有不同程度开采。</w:t>
      </w:r>
    </w:p>
    <w:p w14:paraId="0CF8A403">
      <w:pPr>
        <w:spacing w:line="594" w:lineRule="exact"/>
        <w:ind w:firstLine="640"/>
        <w:rPr>
          <w:rFonts w:eastAsia="方正仿宋_GBK"/>
          <w:bCs/>
          <w:color w:val="000000"/>
          <w:sz w:val="32"/>
          <w:szCs w:val="32"/>
        </w:rPr>
      </w:pPr>
      <w:r>
        <w:rPr>
          <w:rFonts w:hint="eastAsia" w:eastAsia="方正仿宋_GBK"/>
          <w:bCs/>
          <w:color w:val="000000"/>
          <w:sz w:val="32"/>
          <w:szCs w:val="32"/>
        </w:rPr>
        <w:t>北碚区动植物资源多样，有脊椎动物5纲19目53科262种，无脊椎动物有5纲89属137种。天然生长的森林植被有7个植被型，维管束植物有246科992属1966种，是重庆市植物独特资源种类最多的地区之一。全区</w:t>
      </w:r>
      <w:r>
        <w:rPr>
          <w:rFonts w:eastAsia="方正仿宋_GBK"/>
          <w:bCs/>
          <w:color w:val="000000"/>
          <w:sz w:val="32"/>
          <w:szCs w:val="32"/>
        </w:rPr>
        <w:t>现有34种国家</w:t>
      </w:r>
      <w:r>
        <w:rPr>
          <w:rFonts w:hint="eastAsia" w:eastAsia="方正仿宋_GBK"/>
          <w:bCs/>
          <w:color w:val="000000"/>
          <w:sz w:val="32"/>
          <w:szCs w:val="32"/>
        </w:rPr>
        <w:t>重点</w:t>
      </w:r>
      <w:r>
        <w:rPr>
          <w:rFonts w:eastAsia="方正仿宋_GBK"/>
          <w:bCs/>
          <w:color w:val="000000"/>
          <w:sz w:val="32"/>
          <w:szCs w:val="32"/>
        </w:rPr>
        <w:t>保护植物、11种国家重点保护动物</w:t>
      </w:r>
      <w:r>
        <w:rPr>
          <w:rFonts w:hint="eastAsia" w:eastAsia="方正仿宋_GBK"/>
          <w:bCs/>
          <w:color w:val="000000"/>
          <w:sz w:val="32"/>
          <w:szCs w:val="32"/>
        </w:rPr>
        <w:t>，淡水藻种类占全国8</w:t>
      </w:r>
      <w:r>
        <w:rPr>
          <w:rFonts w:eastAsia="方正仿宋_GBK"/>
          <w:bCs/>
          <w:color w:val="000000"/>
          <w:sz w:val="32"/>
          <w:szCs w:val="32"/>
        </w:rPr>
        <w:t>0</w:t>
      </w:r>
      <w:r>
        <w:rPr>
          <w:rFonts w:hint="eastAsia" w:eastAsia="方正仿宋_GBK"/>
          <w:bCs/>
          <w:color w:val="000000"/>
          <w:sz w:val="32"/>
          <w:szCs w:val="32"/>
        </w:rPr>
        <w:t>%以上</w:t>
      </w:r>
      <w:r>
        <w:rPr>
          <w:rFonts w:eastAsia="方正仿宋_GBK"/>
          <w:bCs/>
          <w:color w:val="000000"/>
          <w:sz w:val="32"/>
          <w:szCs w:val="32"/>
        </w:rPr>
        <w:t>。</w:t>
      </w:r>
    </w:p>
    <w:p w14:paraId="56688B8A">
      <w:pPr>
        <w:spacing w:line="594" w:lineRule="exact"/>
        <w:ind w:firstLine="640" w:firstLineChars="200"/>
        <w:rPr>
          <w:rFonts w:ascii="Times New Roman" w:hAnsi="Times New Roman" w:eastAsia="方正仿宋_GBK" w:cs="Times New Roman"/>
          <w:kern w:val="0"/>
          <w:sz w:val="32"/>
          <w:szCs w:val="32"/>
        </w:rPr>
      </w:pPr>
      <w:r>
        <w:rPr>
          <w:rFonts w:hint="eastAsia" w:ascii="Times New Roman" w:hAnsi="Times New Roman" w:eastAsia="方正仿宋_GBK" w:cs="Times New Roman"/>
          <w:color w:val="0D0D0D" w:themeColor="text1" w:themeTint="F2"/>
          <w:sz w:val="32"/>
          <w:szCs w:val="36"/>
          <w14:textFill>
            <w14:solidFill>
              <w14:schemeClr w14:val="tx1">
                <w14:lumMod w14:val="95000"/>
                <w14:lumOff w14:val="5000"/>
              </w14:schemeClr>
            </w14:solidFill>
          </w14:textFill>
        </w:rPr>
        <w:t>北碚人文资源特色显著，有青山、秀水、奇峡、美泉、名城，享有“都市花园”的美誉，是全国首批风景名胜区、全国优秀旅游城市、国家园林城区。巴渝文化、抗战文化、红色文化等在此交融发展，</w:t>
      </w:r>
      <w:r>
        <w:rPr>
          <w:rFonts w:ascii="Times New Roman" w:hAnsi="Times New Roman" w:eastAsia="方正仿宋_GBK" w:cs="Times New Roman"/>
          <w:color w:val="0D0D0D" w:themeColor="text1" w:themeTint="F2"/>
          <w:sz w:val="32"/>
          <w:szCs w:val="36"/>
          <w14:textFill>
            <w14:solidFill>
              <w14:schemeClr w14:val="tx1">
                <w14:lumMod w14:val="95000"/>
                <w14:lumOff w14:val="5000"/>
              </w14:schemeClr>
            </w14:solidFill>
          </w14:textFill>
        </w:rPr>
        <w:t>人文景观和抗战遗址</w:t>
      </w:r>
      <w:r>
        <w:rPr>
          <w:rFonts w:hint="eastAsia" w:ascii="Times New Roman" w:hAnsi="Times New Roman" w:eastAsia="方正仿宋_GBK" w:cs="Times New Roman"/>
          <w:color w:val="0D0D0D" w:themeColor="text1" w:themeTint="F2"/>
          <w:sz w:val="32"/>
          <w:szCs w:val="36"/>
          <w14:textFill>
            <w14:solidFill>
              <w14:schemeClr w14:val="tx1">
                <w14:lumMod w14:val="95000"/>
                <w14:lumOff w14:val="5000"/>
              </w14:schemeClr>
            </w14:solidFill>
          </w14:textFill>
        </w:rPr>
        <w:t>达</w:t>
      </w:r>
      <w:r>
        <w:rPr>
          <w:rFonts w:ascii="Times New Roman" w:hAnsi="Times New Roman" w:eastAsia="方正仿宋_GBK" w:cs="Times New Roman"/>
          <w:color w:val="0D0D0D" w:themeColor="text1" w:themeTint="F2"/>
          <w:sz w:val="32"/>
          <w:szCs w:val="36"/>
          <w14:textFill>
            <w14:solidFill>
              <w14:schemeClr w14:val="tx1">
                <w14:lumMod w14:val="95000"/>
                <w14:lumOff w14:val="5000"/>
              </w14:schemeClr>
            </w14:solidFill>
          </w14:textFill>
        </w:rPr>
        <w:t>104处</w:t>
      </w:r>
      <w:r>
        <w:rPr>
          <w:rFonts w:hint="eastAsia" w:ascii="Times New Roman" w:hAnsi="Times New Roman" w:eastAsia="方正仿宋_GBK" w:cs="Times New Roman"/>
          <w:color w:val="0D0D0D" w:themeColor="text1" w:themeTint="F2"/>
          <w:sz w:val="32"/>
          <w:szCs w:val="36"/>
          <w14:textFill>
            <w14:solidFill>
              <w14:schemeClr w14:val="tx1">
                <w14:lumMod w14:val="95000"/>
                <w14:lumOff w14:val="5000"/>
              </w14:schemeClr>
            </w14:solidFill>
          </w14:textFill>
        </w:rPr>
        <w:t>。</w:t>
      </w:r>
      <w:r>
        <w:rPr>
          <w:rFonts w:hint="eastAsia" w:ascii="Times New Roman" w:hAnsi="Times New Roman" w:eastAsia="方正仿宋_GBK" w:cs="Times New Roman"/>
          <w:kern w:val="0"/>
          <w:sz w:val="32"/>
          <w:szCs w:val="32"/>
        </w:rPr>
        <w:t>全区拥有国家A级旅游景区6个（其中4A级景区4个，3A级1个，2A级1个），全国农业旅游示范点2个（金果园、花漾栖谷），有悦榕庄、柏联、心景、两江云顶等知名品牌和星级饭店8家，有全国第二大综合性自然博物馆—重庆自然博物馆。</w:t>
      </w:r>
    </w:p>
    <w:p w14:paraId="3F50244A">
      <w:pPr>
        <w:ind w:firstLine="420" w:firstLineChars="200"/>
        <w:jc w:val="center"/>
        <w:rPr>
          <w:rFonts w:ascii="Times New Roman" w:hAnsi="Times New Roman" w:eastAsia="方正仿宋_GBK" w:cs="Times New Roman"/>
          <w:kern w:val="0"/>
          <w:sz w:val="32"/>
          <w:szCs w:val="32"/>
        </w:rPr>
      </w:pPr>
      <w:r>
        <w:rPr>
          <w:vertAlign w:val="subscript"/>
        </w:rPr>
        <w:drawing>
          <wp:inline distT="0" distB="0" distL="0" distR="0">
            <wp:extent cx="4796790" cy="5690870"/>
            <wp:effectExtent l="0" t="0" r="381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7" cstate="print">
                      <a:extLst>
                        <a:ext uri="{28A0092B-C50C-407E-A947-70E740481C1C}">
                          <a14:useLocalDpi xmlns:a14="http://schemas.microsoft.com/office/drawing/2010/main" val="0"/>
                        </a:ext>
                      </a:extLst>
                    </a:blip>
                    <a:srcRect t="726" b="-1"/>
                    <a:stretch>
                      <a:fillRect/>
                    </a:stretch>
                  </pic:blipFill>
                  <pic:spPr>
                    <a:xfrm>
                      <a:off x="0" y="0"/>
                      <a:ext cx="4804594" cy="5700182"/>
                    </a:xfrm>
                    <a:prstGeom prst="rect">
                      <a:avLst/>
                    </a:prstGeom>
                    <a:noFill/>
                    <a:ln>
                      <a:noFill/>
                    </a:ln>
                  </pic:spPr>
                </pic:pic>
              </a:graphicData>
            </a:graphic>
          </wp:inline>
        </w:drawing>
      </w:r>
    </w:p>
    <w:p w14:paraId="70A69F46">
      <w:pPr>
        <w:autoSpaceDE w:val="0"/>
        <w:autoSpaceDN w:val="0"/>
        <w:adjustRightInd w:val="0"/>
        <w:snapToGrid w:val="0"/>
        <w:spacing w:after="156" w:afterLines="50"/>
        <w:jc w:val="center"/>
        <w:rPr>
          <w:rFonts w:ascii="Times New Roman" w:hAnsi="Times New Roman" w:eastAsia="方正仿宋_GBK" w:cs="Times New Roman"/>
          <w:b/>
          <w:bCs/>
          <w:sz w:val="24"/>
          <w:szCs w:val="24"/>
        </w:rPr>
      </w:pPr>
      <w:r>
        <w:rPr>
          <w:rFonts w:hint="eastAsia" w:ascii="Times New Roman" w:hAnsi="Times New Roman" w:eastAsia="方正仿宋_GBK" w:cs="Times New Roman"/>
          <w:b/>
          <w:bCs/>
          <w:sz w:val="24"/>
          <w:szCs w:val="24"/>
        </w:rPr>
        <w:t>图</w:t>
      </w:r>
      <w:r>
        <w:rPr>
          <w:rFonts w:ascii="Times New Roman" w:hAnsi="Times New Roman" w:eastAsia="方正仿宋_GBK" w:cs="Times New Roman"/>
          <w:b/>
          <w:bCs/>
          <w:sz w:val="24"/>
          <w:szCs w:val="24"/>
        </w:rPr>
        <w:t xml:space="preserve">4  </w:t>
      </w:r>
      <w:r>
        <w:rPr>
          <w:rFonts w:hint="eastAsia" w:ascii="Times New Roman" w:hAnsi="Times New Roman" w:eastAsia="方正仿宋_GBK" w:cs="Times New Roman"/>
          <w:b/>
          <w:bCs/>
          <w:sz w:val="24"/>
          <w:szCs w:val="24"/>
        </w:rPr>
        <w:t>北碚区旅游资源分布图</w:t>
      </w:r>
    </w:p>
    <w:p w14:paraId="5C901A46">
      <w:pPr>
        <w:spacing w:line="594" w:lineRule="exact"/>
        <w:ind w:firstLine="640" w:firstLineChars="200"/>
        <w:outlineLvl w:val="1"/>
        <w:rPr>
          <w:rFonts w:ascii="方正楷体_GBK" w:hAnsi="Times New Roman" w:eastAsia="方正楷体_GBK" w:cs="Times New Roman"/>
          <w:bCs/>
          <w:color w:val="0D0D0D" w:themeColor="text1" w:themeTint="F2"/>
          <w:sz w:val="32"/>
          <w14:textFill>
            <w14:solidFill>
              <w14:schemeClr w14:val="tx1">
                <w14:lumMod w14:val="95000"/>
                <w14:lumOff w14:val="5000"/>
              </w14:schemeClr>
            </w14:solidFill>
          </w14:textFill>
        </w:rPr>
      </w:pPr>
      <w:bookmarkStart w:id="22" w:name="_Toc42688081"/>
      <w:bookmarkStart w:id="23" w:name="_Toc48157851"/>
      <w:r>
        <w:rPr>
          <w:rFonts w:hint="eastAsia" w:ascii="方正楷体_GBK" w:hAnsi="Times New Roman" w:eastAsia="方正楷体_GBK" w:cs="Times New Roman"/>
          <w:bCs/>
          <w:color w:val="0D0D0D" w:themeColor="text1" w:themeTint="F2"/>
          <w:sz w:val="32"/>
          <w14:textFill>
            <w14:solidFill>
              <w14:schemeClr w14:val="tx1">
                <w14:lumMod w14:val="95000"/>
                <w14:lumOff w14:val="5000"/>
              </w14:schemeClr>
            </w14:solidFill>
          </w14:textFill>
        </w:rPr>
        <w:t>（五）经济社会状况</w:t>
      </w:r>
      <w:bookmarkEnd w:id="22"/>
      <w:bookmarkEnd w:id="23"/>
    </w:p>
    <w:p w14:paraId="7B605681">
      <w:pPr>
        <w:spacing w:line="594" w:lineRule="exact"/>
        <w:ind w:firstLine="640" w:firstLineChars="200"/>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pPr>
      <w:bookmarkStart w:id="24" w:name="_Hlk37513308"/>
      <w:r>
        <w:rPr>
          <w:rFonts w:hint="eastAsia" w:ascii="Times New Roman" w:hAnsi="Times New Roman" w:eastAsia="方正仿宋_GBK" w:cs="Times New Roman"/>
          <w:color w:val="0D0D0D" w:themeColor="text1" w:themeTint="F2"/>
          <w:sz w:val="32"/>
          <w:szCs w:val="36"/>
          <w14:textFill>
            <w14:solidFill>
              <w14:schemeClr w14:val="tx1">
                <w14:lumMod w14:val="95000"/>
                <w14:lumOff w14:val="5000"/>
              </w14:schemeClr>
            </w14:solidFill>
          </w14:textFill>
        </w:rPr>
        <w:t>“十三五”以来，</w:t>
      </w:r>
      <w:bookmarkEnd w:id="24"/>
      <w:r>
        <w:rPr>
          <w:rFonts w:hint="eastAsia" w:ascii="Times New Roman" w:hAnsi="Times New Roman" w:eastAsia="方正仿宋_GBK" w:cs="Times New Roman"/>
          <w:color w:val="0D0D0D" w:themeColor="text1" w:themeTint="F2"/>
          <w:sz w:val="32"/>
          <w:szCs w:val="36"/>
          <w14:textFill>
            <w14:solidFill>
              <w14:schemeClr w14:val="tx1">
                <w14:lumMod w14:val="95000"/>
                <w14:lumOff w14:val="5000"/>
              </w14:schemeClr>
            </w14:solidFill>
          </w14:textFill>
        </w:rPr>
        <w:t>北碚经济社会持续向好，高质量发展蹄疾步稳，人民群众获得感有新的提升。2</w:t>
      </w:r>
      <w:r>
        <w:rPr>
          <w:rFonts w:ascii="Times New Roman" w:hAnsi="Times New Roman" w:eastAsia="方正仿宋_GBK" w:cs="Times New Roman"/>
          <w:color w:val="0D0D0D" w:themeColor="text1" w:themeTint="F2"/>
          <w:sz w:val="32"/>
          <w:szCs w:val="36"/>
          <w14:textFill>
            <w14:solidFill>
              <w14:schemeClr w14:val="tx1">
                <w14:lumMod w14:val="95000"/>
                <w14:lumOff w14:val="5000"/>
              </w14:schemeClr>
            </w14:solidFill>
          </w14:textFill>
        </w:rPr>
        <w:t>019</w:t>
      </w:r>
      <w:r>
        <w:rPr>
          <w:rFonts w:hint="eastAsia" w:ascii="Times New Roman" w:hAnsi="Times New Roman" w:eastAsia="方正仿宋_GBK" w:cs="Times New Roman"/>
          <w:color w:val="0D0D0D" w:themeColor="text1" w:themeTint="F2"/>
          <w:sz w:val="32"/>
          <w:szCs w:val="36"/>
          <w14:textFill>
            <w14:solidFill>
              <w14:schemeClr w14:val="tx1">
                <w14:lumMod w14:val="95000"/>
                <w14:lumOff w14:val="5000"/>
              </w14:schemeClr>
            </w14:solidFill>
          </w14:textFill>
        </w:rPr>
        <w:t>年实现地区生产总值</w:t>
      </w:r>
      <w:r>
        <w:rPr>
          <w:rFonts w:ascii="Times New Roman" w:hAnsi="Times New Roman" w:eastAsia="方正仿宋_GBK" w:cs="Times New Roman"/>
          <w:color w:val="0D0D0D" w:themeColor="text1" w:themeTint="F2"/>
          <w:sz w:val="32"/>
          <w:szCs w:val="36"/>
          <w14:textFill>
            <w14:solidFill>
              <w14:schemeClr w14:val="tx1">
                <w14:lumMod w14:val="95000"/>
                <w14:lumOff w14:val="5000"/>
              </w14:schemeClr>
            </w14:solidFill>
          </w14:textFill>
        </w:rPr>
        <w:t>605.94亿元</w:t>
      </w:r>
      <w:r>
        <w:rPr>
          <w:rFonts w:hint="eastAsia" w:ascii="Times New Roman" w:hAnsi="Times New Roman" w:eastAsia="方正仿宋_GBK" w:cs="Times New Roman"/>
          <w:color w:val="0D0D0D" w:themeColor="text1" w:themeTint="F2"/>
          <w:sz w:val="32"/>
          <w:szCs w:val="36"/>
          <w14:textFill>
            <w14:solidFill>
              <w14:schemeClr w14:val="tx1">
                <w14:lumMod w14:val="95000"/>
                <w14:lumOff w14:val="5000"/>
              </w14:schemeClr>
            </w14:solidFill>
          </w14:textFill>
        </w:rPr>
        <w:t>，</w:t>
      </w:r>
      <w:bookmarkStart w:id="25" w:name="_Hlk37513352"/>
      <w:r>
        <w:rPr>
          <w:rFonts w:hint="eastAsia" w:ascii="Times New Roman" w:hAnsi="Times New Roman" w:eastAsia="方正仿宋_GBK" w:cs="Times New Roman"/>
          <w:color w:val="0D0D0D" w:themeColor="text1" w:themeTint="F2"/>
          <w:sz w:val="32"/>
          <w:szCs w:val="36"/>
          <w14:textFill>
            <w14:solidFill>
              <w14:schemeClr w14:val="tx1">
                <w14:lumMod w14:val="95000"/>
                <w14:lumOff w14:val="5000"/>
              </w14:schemeClr>
            </w14:solidFill>
          </w14:textFill>
        </w:rPr>
        <w:t>三次产业</w:t>
      </w:r>
      <w:bookmarkEnd w:id="25"/>
      <w:r>
        <w:rPr>
          <w:rFonts w:hint="eastAsia" w:ascii="Times New Roman" w:hAnsi="Times New Roman" w:eastAsia="方正仿宋_GBK" w:cs="Times New Roman"/>
          <w:color w:val="0D0D0D" w:themeColor="text1" w:themeTint="F2"/>
          <w:sz w:val="32"/>
          <w:szCs w:val="36"/>
          <w14:textFill>
            <w14:solidFill>
              <w14:schemeClr w14:val="tx1">
                <w14:lumMod w14:val="95000"/>
                <w14:lumOff w14:val="5000"/>
              </w14:schemeClr>
            </w14:solidFill>
          </w14:textFill>
        </w:rPr>
        <w:t>比为</w:t>
      </w:r>
      <w:bookmarkStart w:id="26" w:name="_Hlk37513365"/>
      <w:r>
        <w:rPr>
          <w:rFonts w:hint="eastAsia" w:ascii="Times New Roman" w:hAnsi="Times New Roman" w:eastAsia="方正仿宋_GBK" w:cs="Times New Roman"/>
          <w:color w:val="0D0D0D" w:themeColor="text1" w:themeTint="F2"/>
          <w:sz w:val="32"/>
          <w:szCs w:val="36"/>
          <w14:textFill>
            <w14:solidFill>
              <w14:schemeClr w14:val="tx1">
                <w14:lumMod w14:val="95000"/>
                <w14:lumOff w14:val="5000"/>
              </w14:schemeClr>
            </w14:solidFill>
          </w14:textFill>
        </w:rPr>
        <w:t>2.62:51.15:</w:t>
      </w:r>
      <w:bookmarkEnd w:id="26"/>
      <w:r>
        <w:rPr>
          <w:rFonts w:hint="eastAsia" w:ascii="Times New Roman" w:hAnsi="Times New Roman" w:eastAsia="方正仿宋_GBK" w:cs="Times New Roman"/>
          <w:color w:val="0D0D0D" w:themeColor="text1" w:themeTint="F2"/>
          <w:sz w:val="32"/>
          <w:szCs w:val="36"/>
          <w14:textFill>
            <w14:solidFill>
              <w14:schemeClr w14:val="tx1">
                <w14:lumMod w14:val="95000"/>
                <w14:lumOff w14:val="5000"/>
              </w14:schemeClr>
            </w14:solidFill>
          </w14:textFill>
        </w:rPr>
        <w:t>46.23，战略新兴产业产值占全区规上工业产值</w:t>
      </w:r>
      <w:r>
        <w:rPr>
          <w:rFonts w:ascii="Times New Roman" w:hAnsi="Times New Roman" w:eastAsia="方正仿宋_GBK" w:cs="Times New Roman"/>
          <w:color w:val="0D0D0D" w:themeColor="text1" w:themeTint="F2"/>
          <w:sz w:val="32"/>
          <w:szCs w:val="36"/>
          <w14:textFill>
            <w14:solidFill>
              <w14:schemeClr w14:val="tx1">
                <w14:lumMod w14:val="95000"/>
                <w14:lumOff w14:val="5000"/>
              </w14:schemeClr>
            </w14:solidFill>
          </w14:textFill>
        </w:rPr>
        <w:t>63.7%。</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全区创新氛围浓厚，</w:t>
      </w:r>
      <w:r>
        <w:rPr>
          <w:rFonts w:hint="eastAsia" w:ascii="Times New Roman" w:hAnsi="Times New Roman" w:eastAsia="方正仿宋_GBK" w:cs="Times New Roman"/>
          <w:color w:val="0D0D0D" w:themeColor="text1" w:themeTint="F2"/>
          <w:sz w:val="32"/>
          <w:szCs w:val="36"/>
          <w14:textFill>
            <w14:solidFill>
              <w14:schemeClr w14:val="tx1">
                <w14:lumMod w14:val="95000"/>
                <w14:lumOff w14:val="5000"/>
              </w14:schemeClr>
            </w14:solidFill>
          </w14:textFill>
        </w:rPr>
        <w:t>重庆市工业互联网产业生态园、市级智能传感器特色产业基地落户北碚，</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科技研发平台达到</w:t>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92个</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w:t>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市科创板挂牌上市企业达到7家</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。全区脱贫攻坚成果持续巩固，贫困人口基本医疗保险参保率、贫困学生资助率均达到</w:t>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100%，现行标准下农村贫困人口全部脱贫。</w:t>
      </w:r>
    </w:p>
    <w:p w14:paraId="47F7C8AB">
      <w:pPr>
        <w:spacing w:line="594" w:lineRule="exact"/>
        <w:ind w:firstLine="720" w:firstLineChars="200"/>
        <w:outlineLvl w:val="0"/>
        <w:rPr>
          <w:rFonts w:ascii="方正黑体_GBK" w:eastAsia="方正黑体_GBK"/>
          <w:bCs/>
          <w:sz w:val="36"/>
          <w:szCs w:val="36"/>
        </w:rPr>
      </w:pPr>
      <w:bookmarkStart w:id="27" w:name="_Toc48157852"/>
      <w:r>
        <w:rPr>
          <w:rFonts w:hint="eastAsia" w:ascii="方正黑体_GBK" w:eastAsia="方正黑体_GBK"/>
          <w:bCs/>
          <w:sz w:val="36"/>
          <w:szCs w:val="36"/>
        </w:rPr>
        <w:t>三、“两山”实践探索成效与问题分析</w:t>
      </w:r>
      <w:bookmarkEnd w:id="27"/>
    </w:p>
    <w:p w14:paraId="7079FCFB">
      <w:pPr>
        <w:spacing w:line="594" w:lineRule="exact"/>
        <w:ind w:firstLine="640" w:firstLineChars="200"/>
        <w:outlineLvl w:val="1"/>
        <w:rPr>
          <w:rFonts w:ascii="方正楷体_GBK" w:hAnsi="Times New Roman" w:eastAsia="方正楷体_GBK" w:cs="Times New Roman"/>
          <w:bCs/>
          <w:color w:val="0D0D0D" w:themeColor="text1" w:themeTint="F2"/>
          <w:sz w:val="32"/>
          <w14:textFill>
            <w14:solidFill>
              <w14:schemeClr w14:val="tx1">
                <w14:lumMod w14:val="95000"/>
                <w14:lumOff w14:val="5000"/>
              </w14:schemeClr>
            </w14:solidFill>
          </w14:textFill>
        </w:rPr>
      </w:pPr>
      <w:bookmarkStart w:id="28" w:name="_Toc48157853"/>
      <w:r>
        <w:rPr>
          <w:rFonts w:hint="eastAsia" w:ascii="方正楷体_GBK" w:hAnsi="Times New Roman" w:eastAsia="方正楷体_GBK" w:cs="Times New Roman"/>
          <w:bCs/>
          <w:color w:val="0D0D0D" w:themeColor="text1" w:themeTint="F2"/>
          <w:sz w:val="32"/>
          <w14:textFill>
            <w14:solidFill>
              <w14:schemeClr w14:val="tx1">
                <w14:lumMod w14:val="95000"/>
                <w14:lumOff w14:val="5000"/>
              </w14:schemeClr>
            </w14:solidFill>
          </w14:textFill>
        </w:rPr>
        <w:t>（一）“两山”实践探索进展与成效</w:t>
      </w:r>
      <w:bookmarkEnd w:id="28"/>
    </w:p>
    <w:p w14:paraId="1F1CFD18">
      <w:pPr>
        <w:spacing w:line="594" w:lineRule="exact"/>
        <w:ind w:firstLine="643" w:firstLineChars="200"/>
        <w:outlineLvl w:val="2"/>
        <w:rPr>
          <w:rFonts w:ascii="Times New Roman" w:hAnsi="Times New Roman" w:eastAsia="方正仿宋_GBK" w:cs="Times New Roman"/>
          <w:b/>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
          <w:bCs/>
          <w:color w:val="0D0D0D" w:themeColor="text1" w:themeTint="F2"/>
          <w:sz w:val="32"/>
          <w:szCs w:val="32"/>
          <w14:textFill>
            <w14:solidFill>
              <w14:schemeClr w14:val="tx1">
                <w14:lumMod w14:val="95000"/>
                <w14:lumOff w14:val="5000"/>
              </w14:schemeClr>
            </w14:solidFill>
          </w14:textFill>
        </w:rPr>
        <w:t>1.生态人文历史悠久，生态建设底蕴深远厚重</w:t>
      </w:r>
    </w:p>
    <w:p w14:paraId="661A9115">
      <w:pPr>
        <w:spacing w:line="594" w:lineRule="exact"/>
        <w:ind w:firstLine="640" w:firstLineChars="200"/>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人在天地之间，与万物同流”，习近平总书记指出：“中华文明历来强调天人合一、尊重自然。”唐宋时期的北碚是渝州属地，缙云山（古名“巴山”）的雄奇和嘉陵江的俊秀吸引了众多文人雅士，写出了众多关于北碚山水的惊艳诗篇。20世纪三四十年代，老舍、郭沫若、晏阳初、陶行知、顾毓琇等各界名流留下墨宝近200件，历史沿存下无数的文物史料和重要物资都在这座小城中得到了尽可能的保护和存续。《屈原》《四世同堂》《雅舍小品》等传世名作、《全民总动员》《塞上风云》等优秀剧目为中国现代文学史留下了丰硕的文化遗产。</w:t>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全区有卢作孚纪念馆、重庆自然博物馆、四世同堂纪念馆，梁实秋、晏阳初旧居，张自忠烈士陵园，复旦大学、西部科学院旧址等历史人文景观和抗战遗址104处，巴渝文化、抗战文化、宗教文化、温泉文化、高校文化与生态资源</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在此完美融合。自上世纪70年代，生态文化破茧而出；党</w:t>
      </w:r>
      <w:r>
        <w:rPr>
          <w:rFonts w:hint="eastAsia" w:ascii="Times New Roman" w:hAnsi="Times New Roman" w:eastAsia="方正仿宋_GBK" w:cs="Times New Roman"/>
          <w:color w:val="0D0D0D" w:themeColor="text1" w:themeTint="F2"/>
          <w:sz w:val="32"/>
          <w:szCs w:val="32"/>
          <w:lang w:val="en-US" w:eastAsia="zh-CN"/>
          <w14:textFill>
            <w14:solidFill>
              <w14:schemeClr w14:val="tx1">
                <w14:lumMod w14:val="95000"/>
                <w14:lumOff w14:val="5000"/>
              </w14:schemeClr>
            </w14:solidFill>
          </w14:textFill>
        </w:rPr>
        <w:t>的</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十八大之后，北碚区的生态文化展翅高飞，进入2020年，在全市实施国家级生态文明区创建的宏大事业中，全区</w:t>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形成了</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北碚独树一帜的</w:t>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可持续发展生态文明观</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w:t>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在生态中感受文化，在文化中体现生态，人与自然和谐共生。</w:t>
      </w:r>
    </w:p>
    <w:p w14:paraId="5F39E9D2">
      <w:pPr>
        <w:spacing w:line="594" w:lineRule="exact"/>
        <w:ind w:firstLine="640" w:firstLineChars="200"/>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pPr>
    </w:p>
    <w:p w14:paraId="5C2B62EA">
      <w:pPr>
        <w:spacing w:line="594" w:lineRule="exact"/>
        <w:ind w:firstLine="640" w:firstLineChars="200"/>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2018年6月，北碚区全面实施围绕缙云山自然保护区生态环境综合整治的“铁腕治山行动”，在环境综合整治的同时探索“生态美、百姓富”的高质量发展之路，以“作出示范、打造样板”和“形成可复制、可推广的经验”为要求，坚持“跳出缙云看困局”，累计投入资金15.8亿元，拆除建构筑物53.1万平方米，栽种植物74.6万株（棵），覆土复耕复绿36.5万平方米，340宗问题已完成整改333宗，整改完成率达97.9%。同时，</w:t>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在全国率先开展自然保护区原住民生态搬迁试点，</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通过搬迁补偿、异地迁建、生态赎买、纳入城镇社保体系、开通入学绿色通道、举办就业技能专题培训、增设公益服务岗位、建立利益联结机制等方式，切实实现综合整治成果共享，筑牢主城生态屏障，谱写生态建设新篇章。</w:t>
      </w:r>
    </w:p>
    <w:p w14:paraId="555B22CE">
      <w:pPr>
        <w:spacing w:line="594" w:lineRule="exact"/>
        <w:ind w:firstLine="643" w:firstLineChars="200"/>
        <w:outlineLvl w:val="2"/>
        <w:rPr>
          <w:rFonts w:ascii="Times New Roman" w:hAnsi="Times New Roman" w:eastAsia="方正仿宋_GBK" w:cs="Times New Roman"/>
          <w:b/>
          <w:bCs/>
          <w:color w:val="0D0D0D" w:themeColor="text1" w:themeTint="F2"/>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b/>
          <w:bCs/>
          <w:color w:val="0D0D0D" w:themeColor="text1" w:themeTint="F2"/>
          <w:sz w:val="32"/>
          <w:szCs w:val="32"/>
          <w14:textFill>
            <w14:solidFill>
              <w14:schemeClr w14:val="tx1">
                <w14:lumMod w14:val="95000"/>
                <w14:lumOff w14:val="5000"/>
              </w14:schemeClr>
            </w14:solidFill>
          </w14:textFill>
        </w:rPr>
        <w:t>2</w:t>
      </w:r>
      <w:r>
        <w:rPr>
          <w:rFonts w:ascii="Times New Roman" w:hAnsi="Times New Roman" w:eastAsia="方正仿宋_GBK" w:cs="Times New Roman"/>
          <w:b/>
          <w:bCs/>
          <w:color w:val="0D0D0D" w:themeColor="text1" w:themeTint="F2"/>
          <w:sz w:val="32"/>
          <w:szCs w:val="32"/>
          <w14:textFill>
            <w14:solidFill>
              <w14:schemeClr w14:val="tx1">
                <w14:lumMod w14:val="95000"/>
                <w14:lumOff w14:val="5000"/>
              </w14:schemeClr>
            </w14:solidFill>
          </w14:textFill>
        </w:rPr>
        <w:t>.区委区府高度重视，</w:t>
      </w:r>
      <w:r>
        <w:rPr>
          <w:rFonts w:hint="eastAsia" w:ascii="Times New Roman" w:hAnsi="Times New Roman" w:eastAsia="方正仿宋_GBK" w:cs="Times New Roman"/>
          <w:b/>
          <w:bCs/>
          <w:color w:val="0D0D0D" w:themeColor="text1" w:themeTint="F2"/>
          <w:sz w:val="32"/>
          <w:szCs w:val="32"/>
          <w14:textFill>
            <w14:solidFill>
              <w14:schemeClr w14:val="tx1">
                <w14:lumMod w14:val="95000"/>
                <w14:lumOff w14:val="5000"/>
              </w14:schemeClr>
            </w14:solidFill>
          </w14:textFill>
        </w:rPr>
        <w:t>“两山”基地建设基础扎实</w:t>
      </w:r>
    </w:p>
    <w:p w14:paraId="039A5E55">
      <w:pPr>
        <w:spacing w:line="594" w:lineRule="exact"/>
        <w:ind w:firstLine="640" w:firstLineChars="200"/>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多年来，北碚区历届区委、区政府始终坚持“生态优先、绿色发展”的基本理念，积极推进绿水青水的培育和生态产品的开发利用，坚守发展与生态两条底线，全区上下认真学习贯彻习近平生态文明思想和总书记视察重庆提出的“深入抓好生态文明建设”“加强生态保护与修复”重要指示精神，全区干部群众思想不断提升、认识不断深化，“两山论”“两化路”深入人心，“生态优先、绿色发展”凝聚共识，保护生态环境成为行动自觉。在“绿水青山就是金山银山”理念的指引下，全区国土生态空间不断优化，生态安全得到保障，自然生态修复工程不断推进，绿水青山蓄积的生态优势逐步显现，生态环境状况指数（</w:t>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EI</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）常年保持</w:t>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60</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以上并逐步提升。成功创建了</w:t>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2所国家级绿色学校、1个国家级环境教育基地、14所市级绿色学校、2个市级环境教育基地、27所区级绿</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色学校，从“自然北碚”“生态北碚”到创建成为“国家生态文明建设示范区”，为“两山”基地建设工作奠定了广泛的群众基础。</w:t>
      </w:r>
    </w:p>
    <w:p w14:paraId="637C790D">
      <w:pPr>
        <w:spacing w:line="594" w:lineRule="exact"/>
        <w:ind w:firstLine="643" w:firstLineChars="200"/>
        <w:outlineLvl w:val="2"/>
        <w:rPr>
          <w:rFonts w:ascii="Times New Roman" w:hAnsi="Times New Roman" w:eastAsia="方正仿宋_GBK" w:cs="Times New Roman"/>
          <w:b/>
          <w:bCs/>
          <w:color w:val="0D0D0D" w:themeColor="text1" w:themeTint="F2"/>
          <w:sz w:val="32"/>
          <w:szCs w:val="32"/>
          <w14:textFill>
            <w14:solidFill>
              <w14:schemeClr w14:val="tx1">
                <w14:lumMod w14:val="95000"/>
                <w14:lumOff w14:val="5000"/>
              </w14:schemeClr>
            </w14:solidFill>
          </w14:textFill>
        </w:rPr>
      </w:pPr>
      <w:bookmarkStart w:id="29" w:name="_Toc37070738"/>
      <w:r>
        <w:rPr>
          <w:rFonts w:hint="eastAsia" w:ascii="Times New Roman" w:hAnsi="Times New Roman" w:eastAsia="方正仿宋_GBK" w:cs="Times New Roman"/>
          <w:b/>
          <w:bCs/>
          <w:color w:val="0D0D0D" w:themeColor="text1" w:themeTint="F2"/>
          <w:sz w:val="32"/>
          <w:szCs w:val="32"/>
          <w14:textFill>
            <w14:solidFill>
              <w14:schemeClr w14:val="tx1">
                <w14:lumMod w14:val="95000"/>
                <w14:lumOff w14:val="5000"/>
              </w14:schemeClr>
            </w14:solidFill>
          </w14:textFill>
        </w:rPr>
        <w:t>3</w:t>
      </w:r>
      <w:r>
        <w:rPr>
          <w:rFonts w:ascii="Times New Roman" w:hAnsi="Times New Roman" w:eastAsia="方正仿宋_GBK" w:cs="Times New Roman"/>
          <w:b/>
          <w:bCs/>
          <w:color w:val="0D0D0D" w:themeColor="text1" w:themeTint="F2"/>
          <w:sz w:val="32"/>
          <w:szCs w:val="32"/>
          <w14:textFill>
            <w14:solidFill>
              <w14:schemeClr w14:val="tx1">
                <w14:lumMod w14:val="95000"/>
                <w14:lumOff w14:val="5000"/>
              </w14:schemeClr>
            </w14:solidFill>
          </w14:textFill>
        </w:rPr>
        <w:t>.污染防治</w:t>
      </w:r>
      <w:r>
        <w:rPr>
          <w:rFonts w:hint="eastAsia" w:ascii="Times New Roman" w:hAnsi="Times New Roman" w:eastAsia="方正仿宋_GBK" w:cs="Times New Roman"/>
          <w:b/>
          <w:bCs/>
          <w:color w:val="0D0D0D" w:themeColor="text1" w:themeTint="F2"/>
          <w:sz w:val="32"/>
          <w:szCs w:val="32"/>
          <w14:textFill>
            <w14:solidFill>
              <w14:schemeClr w14:val="tx1">
                <w14:lumMod w14:val="95000"/>
                <w14:lumOff w14:val="5000"/>
              </w14:schemeClr>
            </w14:solidFill>
          </w14:textFill>
        </w:rPr>
        <w:t>深入推进</w:t>
      </w:r>
      <w:r>
        <w:rPr>
          <w:rFonts w:ascii="Times New Roman" w:hAnsi="Times New Roman" w:eastAsia="方正仿宋_GBK" w:cs="Times New Roman"/>
          <w:b/>
          <w:bCs/>
          <w:color w:val="0D0D0D" w:themeColor="text1" w:themeTint="F2"/>
          <w:sz w:val="32"/>
          <w:szCs w:val="32"/>
          <w14:textFill>
            <w14:solidFill>
              <w14:schemeClr w14:val="tx1">
                <w14:lumMod w14:val="95000"/>
                <w14:lumOff w14:val="5000"/>
              </w14:schemeClr>
            </w14:solidFill>
          </w14:textFill>
        </w:rPr>
        <w:t>，</w:t>
      </w:r>
      <w:r>
        <w:rPr>
          <w:rFonts w:hint="eastAsia" w:ascii="Times New Roman" w:hAnsi="Times New Roman" w:eastAsia="方正仿宋_GBK" w:cs="Times New Roman"/>
          <w:b/>
          <w:bCs/>
          <w:color w:val="0D0D0D" w:themeColor="text1" w:themeTint="F2"/>
          <w:sz w:val="32"/>
          <w:szCs w:val="32"/>
          <w14:textFill>
            <w14:solidFill>
              <w14:schemeClr w14:val="tx1">
                <w14:lumMod w14:val="95000"/>
                <w14:lumOff w14:val="5000"/>
              </w14:schemeClr>
            </w14:solidFill>
          </w14:textFill>
        </w:rPr>
        <w:t>机制体制政策不断完善</w:t>
      </w:r>
    </w:p>
    <w:bookmarkEnd w:id="29"/>
    <w:p w14:paraId="429D9511">
      <w:pPr>
        <w:spacing w:line="594" w:lineRule="exact"/>
        <w:ind w:firstLine="640" w:firstLineChars="200"/>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统筹“建、治、管、改”，</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“碧水、蓝天、绿地、田园、宁静”五大环保行动同步实施，全区</w:t>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污染防治攻坚战</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取得明显战果</w:t>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。2019年全年空气质量优良天数320天，空气质量综合指数4.06，两项指标均居</w:t>
      </w:r>
      <w:bookmarkStart w:id="30" w:name="_Hlk45651969"/>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主城</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都市区</w:t>
      </w:r>
      <w:bookmarkEnd w:id="30"/>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中心城</w:t>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区第一。在全国率先建设大气污染源人工智能识别系统，推进智慧河流和污染源在线监控平台建设。建立全市首个湖库水质自动监测站，水环境质量逐步提升。全面落实</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河长制</w:t>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，开展污水偷排直排乱排专项整治。城市和农村饮用水水源地达标率均为100%，在</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主城都市区</w:t>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率先实现全境河流水质达标。全面完成</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马鞍溪、马河溪、山王溪、双凤溪</w:t>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等4条城市建成区黑臭水体整治任务并启动</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了“黑臭水体治理提升暨清水绿岸”项目建设。在全市率先完成污染地块风险管控试点，建立健全了用地土壤污染风险管控和修复名录制度和工业企业原址再开发利用联合监管机制，强化了工业企业原址再利用地块管理，土壤环境质量逐步改善。中央生态环境保护督察问题整改落地落实。全部完成第一轮中央生态环境保护督察反馈问题年度整改任务，一批群众反映突出的生态环境问题得到解决。全区以国家生态文明建设示范区创建为抓手，持续深入开展生态文明体制改革工作。严格落实环评审批、污染物排放许可等制度，</w:t>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在全市率先建立梁滩河流域横向生态补偿机制</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。建立完善自然资源资产管理机制，全面推广河长制，率先在全市试点推广林长制。完善生态环保执法体系，健全了考核评价与责任追究、生态</w:t>
      </w:r>
      <w:r>
        <w:rPr>
          <w:rFonts w:hint="eastAsia" w:ascii="Times New Roman" w:hAnsi="Times New Roman" w:eastAsia="方正仿宋_GBK" w:cs="Times New Roman"/>
          <w:color w:val="0D0D0D" w:themeColor="text1" w:themeTint="F2"/>
          <w:sz w:val="32"/>
          <w:szCs w:val="32"/>
          <w:lang w:eastAsia="zh-CN"/>
          <w14:textFill>
            <w14:solidFill>
              <w14:schemeClr w14:val="tx1">
                <w14:lumMod w14:val="95000"/>
                <w14:lumOff w14:val="5000"/>
              </w14:schemeClr>
            </w14:solidFill>
          </w14:textFill>
        </w:rPr>
        <w:t>环保督察</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、自然资源资产离任审计等制度。</w:t>
      </w:r>
    </w:p>
    <w:p w14:paraId="2898F450">
      <w:pPr>
        <w:spacing w:line="594" w:lineRule="exact"/>
        <w:ind w:firstLine="643" w:firstLineChars="200"/>
        <w:outlineLvl w:val="2"/>
        <w:rPr>
          <w:rFonts w:ascii="Times New Roman" w:hAnsi="Times New Roman" w:eastAsia="方正仿宋_GBK" w:cs="Times New Roman"/>
          <w:b/>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
          <w:bCs/>
          <w:color w:val="0D0D0D" w:themeColor="text1" w:themeTint="F2"/>
          <w:sz w:val="32"/>
          <w:szCs w:val="32"/>
          <w14:textFill>
            <w14:solidFill>
              <w14:schemeClr w14:val="tx1">
                <w14:lumMod w14:val="95000"/>
                <w14:lumOff w14:val="5000"/>
              </w14:schemeClr>
            </w14:solidFill>
          </w14:textFill>
        </w:rPr>
        <w:t>4.</w:t>
      </w:r>
      <w:r>
        <w:rPr>
          <w:rFonts w:hint="eastAsia" w:ascii="Times New Roman" w:hAnsi="Times New Roman" w:eastAsia="方正仿宋_GBK" w:cs="Times New Roman"/>
          <w:b/>
          <w:bCs/>
          <w:color w:val="0D0D0D" w:themeColor="text1" w:themeTint="F2"/>
          <w:sz w:val="32"/>
          <w:szCs w:val="32"/>
          <w14:textFill>
            <w14:solidFill>
              <w14:schemeClr w14:val="tx1">
                <w14:lumMod w14:val="95000"/>
                <w14:lumOff w14:val="5000"/>
              </w14:schemeClr>
            </w14:solidFill>
          </w14:textFill>
        </w:rPr>
        <w:t>产业格局日益成熟，生态经济质量</w:t>
      </w:r>
      <w:r>
        <w:rPr>
          <w:rFonts w:ascii="Times New Roman" w:hAnsi="Times New Roman" w:eastAsia="方正仿宋_GBK" w:cs="Times New Roman"/>
          <w:b/>
          <w:bCs/>
          <w:color w:val="0D0D0D" w:themeColor="text1" w:themeTint="F2"/>
          <w:sz w:val="32"/>
          <w:szCs w:val="32"/>
          <w14:textFill>
            <w14:solidFill>
              <w14:schemeClr w14:val="tx1">
                <w14:lumMod w14:val="95000"/>
                <w14:lumOff w14:val="5000"/>
              </w14:schemeClr>
            </w14:solidFill>
          </w14:textFill>
        </w:rPr>
        <w:t>稳步提升</w:t>
      </w:r>
    </w:p>
    <w:p w14:paraId="31B06B77">
      <w:pPr>
        <w:spacing w:line="594" w:lineRule="exact"/>
        <w:ind w:firstLine="640" w:firstLineChars="200"/>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北碚区委、区政府始终坚持以供给侧结构性改革为主线，</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以将</w:t>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北碚建设成为重庆主城西北部的重要增长极、重庆市全面小康社会先行区和国家可持续发展先进示范区</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为</w:t>
      </w:r>
      <w:r>
        <w:rPr>
          <w:rFonts w:hint="eastAsia" w:ascii="Times New Roman" w:hAnsi="Times New Roman" w:eastAsia="方正仿宋_GBK" w:cs="Times New Roman"/>
          <w:color w:val="0D0D0D" w:themeColor="text1" w:themeTint="F2"/>
          <w:sz w:val="32"/>
          <w:szCs w:val="32"/>
          <w:lang w:val="en-US" w:eastAsia="zh-CN"/>
          <w14:textFill>
            <w14:solidFill>
              <w14:schemeClr w14:val="tx1">
                <w14:lumMod w14:val="95000"/>
                <w14:lumOff w14:val="5000"/>
              </w14:schemeClr>
            </w14:solidFill>
          </w14:textFill>
        </w:rPr>
        <w:t>己</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任</w:t>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，深化“三园两城”</w:t>
      </w:r>
      <w:r>
        <w:rPr>
          <w:rFonts w:ascii="Times New Roman" w:hAnsi="Times New Roman" w:eastAsia="方正仿宋_GBK"/>
          <w:color w:val="0D0D0D" w:themeColor="text1" w:themeTint="F2"/>
          <w:sz w:val="32"/>
          <w:szCs w:val="32"/>
          <w:vertAlign w:val="superscript"/>
          <w14:textFill>
            <w14:solidFill>
              <w14:schemeClr w14:val="tx1">
                <w14:lumMod w14:val="95000"/>
                <w14:lumOff w14:val="5000"/>
              </w14:schemeClr>
            </w14:solidFill>
          </w14:textFill>
        </w:rPr>
        <w:footnoteReference w:id="0"/>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发展格局，聚焦创新发展，</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已基本形成“一院”（中国工业互联网研究院重庆分院）、“三中心”（国家工业大数据制造业创新中心、国家工业大数据重庆分中心、国家级工业互联网平台应用创新体验中心）、“两平台”（航天云网工业互联网应用平台、国信优易产业应用决策大数据平台）、“两总部”（优易数据西南总部、云制造产业线下综合服务西南总部）、“两基地”（航天科工重庆云制造产业基地、西南大数据创新创业基地）和若干上下游企业的工业互联网产业生态格局，战略新兴产业产值占全区规上工业产值</w:t>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63.7%</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，大数据智能化领域企业产值增长</w:t>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15%</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w:t>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同时全区大力发展现代物流、全域旅游、康养度假、生态农业、文旅项目等产业</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，旅游总收入、旅游项目投资额等位列重庆主城都市区前列，农产品加工产值和“二品一标”等产品认证数量逐年提升，创建为全国优秀旅游城市。加快培育现代服务业，2</w:t>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019</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年服务业规（限）上企业达到305家。休闲度假旅游业集聚发展，2</w:t>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019</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年全年接待过夜游客人数达到</w:t>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345.48</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万人次，</w:t>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旅游实际收入</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达</w:t>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109.01</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亿元，分别同比</w:t>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增长15.02%</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w:t>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36.14%</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，全区经济结构不断优化、生态经济贡献日益增加，北碚昂首阔步踏上</w:t>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“两化路”</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w:t>
      </w:r>
    </w:p>
    <w:p w14:paraId="3349961D">
      <w:pPr>
        <w:spacing w:line="594" w:lineRule="exact"/>
        <w:ind w:firstLine="640" w:firstLineChars="200"/>
        <w:outlineLvl w:val="1"/>
        <w:rPr>
          <w:rFonts w:ascii="方正楷体_GBK" w:hAnsi="Times New Roman" w:eastAsia="方正楷体_GBK" w:cs="Times New Roman"/>
          <w:bCs/>
          <w:color w:val="0D0D0D" w:themeColor="text1" w:themeTint="F2"/>
          <w:sz w:val="32"/>
          <w14:textFill>
            <w14:solidFill>
              <w14:schemeClr w14:val="tx1">
                <w14:lumMod w14:val="95000"/>
                <w14:lumOff w14:val="5000"/>
              </w14:schemeClr>
            </w14:solidFill>
          </w14:textFill>
        </w:rPr>
      </w:pPr>
      <w:bookmarkStart w:id="31" w:name="_Toc48157854"/>
      <w:r>
        <w:rPr>
          <w:rFonts w:hint="eastAsia" w:ascii="方正楷体_GBK" w:hAnsi="Times New Roman" w:eastAsia="方正楷体_GBK" w:cs="Times New Roman"/>
          <w:bCs/>
          <w:color w:val="0D0D0D" w:themeColor="text1" w:themeTint="F2"/>
          <w:sz w:val="32"/>
          <w14:textFill>
            <w14:solidFill>
              <w14:schemeClr w14:val="tx1">
                <w14:lumMod w14:val="95000"/>
                <w14:lumOff w14:val="5000"/>
              </w14:schemeClr>
            </w14:solidFill>
          </w14:textFill>
        </w:rPr>
        <w:t>（二）存在主要问题和挑战分析</w:t>
      </w:r>
      <w:bookmarkEnd w:id="31"/>
    </w:p>
    <w:p w14:paraId="09AA7D32">
      <w:pPr>
        <w:spacing w:line="594" w:lineRule="exact"/>
        <w:ind w:firstLine="643" w:firstLineChars="200"/>
        <w:outlineLvl w:val="2"/>
        <w:rPr>
          <w:rFonts w:ascii="Times New Roman" w:hAnsi="Times New Roman" w:eastAsia="方正仿宋_GBK" w:cs="Times New Roman"/>
          <w:b/>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
          <w:bCs/>
          <w:color w:val="0D0D0D" w:themeColor="text1" w:themeTint="F2"/>
          <w:sz w:val="32"/>
          <w:szCs w:val="32"/>
          <w14:textFill>
            <w14:solidFill>
              <w14:schemeClr w14:val="tx1">
                <w14:lumMod w14:val="95000"/>
                <w14:lumOff w14:val="5000"/>
              </w14:schemeClr>
            </w14:solidFill>
          </w14:textFill>
        </w:rPr>
        <w:t>1.绿水青山的基础优势仍然不牢固</w:t>
      </w:r>
    </w:p>
    <w:p w14:paraId="2D1D7154">
      <w:pPr>
        <w:spacing w:line="594" w:lineRule="exact"/>
        <w:ind w:firstLine="640" w:firstLineChars="200"/>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近年来，全区呈现</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夏季</w:t>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臭氧与</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秋冬季</w:t>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细颗粒物复合型污染趋势，氮氧化物</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w:t>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挥发性有机物</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等</w:t>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大气复合污染前体物减排需进一步深化。梁滩河</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等跨界河流联防联控联治有待强化，上游区县输入性</w:t>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污染未</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得到有效</w:t>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控制，</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导致</w:t>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部分断面水质不能稳定达标，且持续稳定改善的潜力收窄、难度增加。北碚</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区</w:t>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作为重庆城市化向北</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发展</w:t>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和新产业发展的重要区域，区域功能面临调整与转变，生态安全保障和生态空间</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管控面临</w:t>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新</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的</w:t>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挑战</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w:t>
      </w:r>
    </w:p>
    <w:p w14:paraId="4A03BDB7">
      <w:pPr>
        <w:spacing w:line="594" w:lineRule="exact"/>
        <w:ind w:firstLine="643" w:firstLineChars="200"/>
        <w:outlineLvl w:val="2"/>
        <w:rPr>
          <w:rFonts w:ascii="Times New Roman" w:hAnsi="Times New Roman" w:eastAsia="方正仿宋_GBK" w:cs="Times New Roman"/>
          <w:b/>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
          <w:bCs/>
          <w:color w:val="0D0D0D" w:themeColor="text1" w:themeTint="F2"/>
          <w:sz w:val="32"/>
          <w:szCs w:val="32"/>
          <w14:textFill>
            <w14:solidFill>
              <w14:schemeClr w14:val="tx1">
                <w14:lumMod w14:val="95000"/>
                <w14:lumOff w14:val="5000"/>
              </w14:schemeClr>
            </w14:solidFill>
          </w14:textFill>
        </w:rPr>
        <w:t>2.协同推进经济发展与生态环保面临挑战</w:t>
      </w:r>
    </w:p>
    <w:p w14:paraId="2579F83B">
      <w:pPr>
        <w:spacing w:line="594" w:lineRule="exact"/>
        <w:ind w:firstLine="640" w:firstLineChars="200"/>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北碚区纳入重庆市“四山”管控区和生态保护红线的范围较大，</w:t>
      </w:r>
      <w:bookmarkStart w:id="32" w:name="_Hlk36663425"/>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在“生态优先”底线必须收得牢的前提要求下，导致资源限制多、可用资源少的问题逐步凸显</w:t>
      </w:r>
      <w:bookmarkEnd w:id="32"/>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。全区</w:t>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总体上仍处于工业化</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w:t>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城镇化快速发展阶段，城乡基础设施建设等需求依然较强</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，开发建设</w:t>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导致的生态环境压力</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将长期</w:t>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处于高位平台期。</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由于新冠肺炎疫情的影响和国内外复杂形势，北碚区经济运行不确定不稳定因素明显增多。与国内先进地区相比，产业绿色示范性不足，部分产业存在清洁生产水平偏低的问题，全区产业结构调整还有较大空间。随着复工复产和基础设施建设推进，可能对生态环境带来反弹压力。</w:t>
      </w:r>
    </w:p>
    <w:p w14:paraId="3B6D8049">
      <w:pPr>
        <w:spacing w:line="594" w:lineRule="exact"/>
        <w:ind w:firstLine="643" w:firstLineChars="200"/>
        <w:outlineLvl w:val="2"/>
        <w:rPr>
          <w:rFonts w:ascii="Times New Roman" w:hAnsi="Times New Roman" w:eastAsia="方正仿宋_GBK" w:cs="Times New Roman"/>
          <w:b/>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
          <w:bCs/>
          <w:color w:val="0D0D0D" w:themeColor="text1" w:themeTint="F2"/>
          <w:sz w:val="32"/>
          <w:szCs w:val="32"/>
          <w14:textFill>
            <w14:solidFill>
              <w14:schemeClr w14:val="tx1">
                <w14:lumMod w14:val="95000"/>
                <w14:lumOff w14:val="5000"/>
              </w14:schemeClr>
            </w14:solidFill>
          </w14:textFill>
        </w:rPr>
        <w:t>3.生态价值和潜力挖掘</w:t>
      </w:r>
      <w:r>
        <w:rPr>
          <w:rFonts w:hint="eastAsia" w:ascii="Times New Roman" w:hAnsi="Times New Roman" w:eastAsia="方正仿宋_GBK" w:cs="Times New Roman"/>
          <w:b/>
          <w:bCs/>
          <w:color w:val="0D0D0D" w:themeColor="text1" w:themeTint="F2"/>
          <w:sz w:val="32"/>
          <w:szCs w:val="32"/>
          <w14:textFill>
            <w14:solidFill>
              <w14:schemeClr w14:val="tx1">
                <w14:lumMod w14:val="95000"/>
                <w14:lumOff w14:val="5000"/>
              </w14:schemeClr>
            </w14:solidFill>
          </w14:textFill>
        </w:rPr>
        <w:t>有待进一步强化</w:t>
      </w:r>
    </w:p>
    <w:p w14:paraId="25346B72">
      <w:pPr>
        <w:spacing w:line="594" w:lineRule="exact"/>
        <w:ind w:firstLine="640" w:firstLineChars="200"/>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全区</w:t>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农产品加工</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龙头企业数量偏少、规模偏小，</w:t>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农产品加工企业多数从事原料初加工，产业链条短，产品附加值低</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，企业</w:t>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自主创新和自我发展能力普遍较弱</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。北碚区旅游</w:t>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景区数量虽居于重庆</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主城</w:t>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都市</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区</w:t>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前列，但品牌影响力</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有限</w:t>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，生态服务产品</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的内容、文化内涵、开发层次有待提高。全区</w:t>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生态产品等具有直接市场的价值占总价值比重</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不高</w:t>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美好生态还未完全转化为“经济要素”，</w:t>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生态产品价值实现</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的平台搭建尚不稳固</w:t>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，绿水青山向金山银山转化</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的通道仍需拓展</w:t>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w:t>
      </w:r>
    </w:p>
    <w:p w14:paraId="1E5A466A">
      <w:pPr>
        <w:spacing w:line="594" w:lineRule="exact"/>
        <w:ind w:firstLine="643" w:firstLineChars="200"/>
        <w:outlineLvl w:val="2"/>
        <w:rPr>
          <w:rFonts w:ascii="方正仿宋_GBK" w:hAnsi="Times New Roman" w:eastAsia="方正仿宋_GBK" w:cs="Times New Roman"/>
          <w:b/>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
          <w:bCs/>
          <w:color w:val="0D0D0D" w:themeColor="text1" w:themeTint="F2"/>
          <w:sz w:val="32"/>
          <w:szCs w:val="32"/>
          <w14:textFill>
            <w14:solidFill>
              <w14:schemeClr w14:val="tx1">
                <w14:lumMod w14:val="95000"/>
                <w14:lumOff w14:val="5000"/>
              </w14:schemeClr>
            </w14:solidFill>
          </w14:textFill>
        </w:rPr>
        <w:t>4.</w:t>
      </w:r>
      <w:r>
        <w:rPr>
          <w:rFonts w:hint="eastAsia" w:ascii="方正仿宋_GBK" w:hAnsi="Times New Roman" w:eastAsia="方正仿宋_GBK" w:cs="Times New Roman"/>
          <w:b/>
          <w:bCs/>
          <w:color w:val="0D0D0D" w:themeColor="text1" w:themeTint="F2"/>
          <w:sz w:val="32"/>
          <w:szCs w:val="32"/>
          <w14:textFill>
            <w14:solidFill>
              <w14:schemeClr w14:val="tx1">
                <w14:lumMod w14:val="95000"/>
                <w14:lumOff w14:val="5000"/>
              </w14:schemeClr>
            </w14:solidFill>
          </w14:textFill>
        </w:rPr>
        <w:t>“两山”转化支撑要素有待进一步完善</w:t>
      </w:r>
    </w:p>
    <w:p w14:paraId="5A4DBA6F">
      <w:pPr>
        <w:spacing w:line="594" w:lineRule="exact"/>
        <w:ind w:firstLine="640" w:firstLineChars="200"/>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区内部分新兴行业发展面临创新能力不足、高端技术人才缺乏等问题，在高技术前沿领域进行拓展的难度较大。研发经费数量投入高，但专利申请量、授权量、发明量均不占优势，创新能力不强，创新活力不足，科技成果产出不多。</w:t>
      </w:r>
      <w:r>
        <w:rPr>
          <w:rFonts w:hint="eastAsia" w:ascii="方正仿宋_GBK" w:hAnsi="Times New Roman" w:eastAsia="方正仿宋_GBK" w:cs="Times New Roman"/>
          <w:color w:val="0D0D0D" w:themeColor="text1" w:themeTint="F2"/>
          <w:sz w:val="32"/>
          <w:szCs w:val="32"/>
          <w14:textFill>
            <w14:solidFill>
              <w14:schemeClr w14:val="tx1">
                <w14:lumMod w14:val="95000"/>
                <w14:lumOff w14:val="5000"/>
              </w14:schemeClr>
            </w14:solidFill>
          </w14:textFill>
        </w:rPr>
        <w:t>与“两山”基地建设相关的各类机制政策“碎片化”，长效制度有待完善。</w:t>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具有国际影响力的城市荣誉</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较少</w:t>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，绿水青山</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的生态</w:t>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优势转化成对</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经济、</w:t>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人口、物流、</w:t>
      </w:r>
      <w:r>
        <w:rPr>
          <w:rFonts w:hint="eastAsia" w:ascii="方正仿宋_GBK" w:hAnsi="Times New Roman" w:eastAsia="方正仿宋_GBK" w:cs="Times New Roman"/>
          <w:color w:val="0D0D0D" w:themeColor="text1" w:themeTint="F2"/>
          <w:sz w:val="32"/>
          <w:szCs w:val="32"/>
          <w14:textFill>
            <w14:solidFill>
              <w14:schemeClr w14:val="tx1">
                <w14:lumMod w14:val="95000"/>
                <w14:lumOff w14:val="5000"/>
              </w14:schemeClr>
            </w14:solidFill>
          </w14:textFill>
        </w:rPr>
        <w:t>信息的吸引力和带动经济发展的生态产品、生态资本、生态产业的能力</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有待进一步强化</w:t>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未能有效形成对“两山”转化的系统性支撑。</w:t>
      </w:r>
    </w:p>
    <w:p w14:paraId="70239DDD">
      <w:pPr>
        <w:spacing w:line="594" w:lineRule="exact"/>
        <w:ind w:firstLine="640" w:firstLineChars="200"/>
        <w:outlineLvl w:val="1"/>
        <w:rPr>
          <w:rFonts w:ascii="方正楷体_GBK" w:hAnsi="Times New Roman" w:eastAsia="方正楷体_GBK" w:cs="Times New Roman"/>
          <w:bCs/>
          <w:color w:val="0D0D0D" w:themeColor="text1" w:themeTint="F2"/>
          <w:sz w:val="32"/>
          <w14:textFill>
            <w14:solidFill>
              <w14:schemeClr w14:val="tx1">
                <w14:lumMod w14:val="95000"/>
                <w14:lumOff w14:val="5000"/>
              </w14:schemeClr>
            </w14:solidFill>
          </w14:textFill>
        </w:rPr>
      </w:pPr>
      <w:bookmarkStart w:id="33" w:name="_Toc48157855"/>
      <w:r>
        <w:rPr>
          <w:rFonts w:hint="eastAsia" w:ascii="方正楷体_GBK" w:hAnsi="Times New Roman" w:eastAsia="方正楷体_GBK" w:cs="Times New Roman"/>
          <w:bCs/>
          <w:color w:val="0D0D0D" w:themeColor="text1" w:themeTint="F2"/>
          <w:sz w:val="32"/>
          <w14:textFill>
            <w14:solidFill>
              <w14:schemeClr w14:val="tx1">
                <w14:lumMod w14:val="95000"/>
                <w14:lumOff w14:val="5000"/>
              </w14:schemeClr>
            </w14:solidFill>
          </w14:textFill>
        </w:rPr>
        <w:t>（三）凝练总结已有的典型案例</w:t>
      </w:r>
      <w:bookmarkEnd w:id="33"/>
    </w:p>
    <w:p w14:paraId="37809301">
      <w:pPr>
        <w:spacing w:line="594" w:lineRule="exact"/>
        <w:ind w:firstLine="643" w:firstLineChars="200"/>
        <w:outlineLvl w:val="2"/>
        <w:rPr>
          <w:rFonts w:ascii="Times New Roman" w:hAnsi="Times New Roman" w:eastAsia="方正仿宋_GBK" w:cs="Times New Roman"/>
          <w:b/>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
          <w:bCs/>
          <w:color w:val="0D0D0D" w:themeColor="text1" w:themeTint="F2"/>
          <w:sz w:val="32"/>
          <w:szCs w:val="32"/>
          <w14:textFill>
            <w14:solidFill>
              <w14:schemeClr w14:val="tx1">
                <w14:lumMod w14:val="95000"/>
                <w14:lumOff w14:val="5000"/>
              </w14:schemeClr>
            </w14:solidFill>
          </w14:textFill>
        </w:rPr>
        <w:t>1.推动自然资本保值增值——缙云山山体保护与整体开发</w:t>
      </w:r>
    </w:p>
    <w:p w14:paraId="418C2D12">
      <w:pPr>
        <w:spacing w:line="594"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r>
        <w:rPr>
          <w:rFonts w:hint="eastAsia" w:ascii="楷体" w:hAnsi="楷体" w:eastAsia="楷体" w:cs="Times New Roman"/>
          <w:bCs/>
          <w:sz w:val="32"/>
          <w:szCs w:val="32"/>
        </w:rPr>
        <w:t>区域概况</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r>
        <w:rPr>
          <w:rFonts w:hint="eastAsia" w:ascii="Times New Roman" w:hAnsi="Times New Roman" w:eastAsia="方正仿宋_GBK" w:cs="Times New Roman"/>
          <w:bCs/>
          <w:sz w:val="32"/>
          <w:szCs w:val="32"/>
        </w:rPr>
        <w:t>“君问归期未有期，巴山夜雨涨秋池”，晚唐诗人李商隐《夜雨寄北》中的“巴山”“秋池”便是指的今天的缙云山和黛湖。在嘉陵江温塘峡畔，七千万年前“燕山运动”造就的“背斜”山岭，山间白云缭绕，似雾非雾，似烟非烟，磅礴郁积，气象万千。早晚霞云，姹紫嫣红，五彩缤纷。古人称“赤多白少为缙”，故名缙云山。</w:t>
      </w:r>
    </w:p>
    <w:p w14:paraId="5B595C19">
      <w:pPr>
        <w:jc w:val="center"/>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drawing>
          <wp:inline distT="0" distB="0" distL="0" distR="0">
            <wp:extent cx="5723890" cy="3224530"/>
            <wp:effectExtent l="0" t="0" r="0"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0" cstate="email"/>
                    <a:srcRect/>
                    <a:stretch>
                      <a:fillRect/>
                    </a:stretch>
                  </pic:blipFill>
                  <pic:spPr>
                    <a:xfrm>
                      <a:off x="0" y="0"/>
                      <a:ext cx="5723890" cy="3224530"/>
                    </a:xfrm>
                    <a:prstGeom prst="rect">
                      <a:avLst/>
                    </a:prstGeom>
                  </pic:spPr>
                </pic:pic>
              </a:graphicData>
            </a:graphic>
          </wp:inline>
        </w:drawing>
      </w:r>
    </w:p>
    <w:p w14:paraId="05D43908">
      <w:pPr>
        <w:autoSpaceDE w:val="0"/>
        <w:autoSpaceDN w:val="0"/>
        <w:adjustRightInd w:val="0"/>
        <w:snapToGrid w:val="0"/>
        <w:spacing w:after="156" w:afterLines="50"/>
        <w:jc w:val="center"/>
        <w:rPr>
          <w:rFonts w:ascii="Times New Roman" w:hAnsi="Times New Roman" w:eastAsia="方正仿宋_GBK" w:cs="Times New Roman"/>
          <w:b/>
          <w:bCs/>
          <w:sz w:val="24"/>
          <w:szCs w:val="24"/>
        </w:rPr>
      </w:pPr>
      <w:r>
        <w:rPr>
          <w:rFonts w:hint="eastAsia" w:ascii="Times New Roman" w:hAnsi="Times New Roman" w:eastAsia="方正仿宋_GBK" w:cs="Times New Roman"/>
          <w:b/>
          <w:bCs/>
          <w:sz w:val="24"/>
          <w:szCs w:val="24"/>
        </w:rPr>
        <w:t>图</w:t>
      </w:r>
      <w:r>
        <w:rPr>
          <w:rFonts w:ascii="Times New Roman" w:hAnsi="Times New Roman" w:eastAsia="方正仿宋_GBK" w:cs="Times New Roman"/>
          <w:b/>
          <w:bCs/>
          <w:sz w:val="24"/>
          <w:szCs w:val="24"/>
        </w:rPr>
        <w:t xml:space="preserve">5  </w:t>
      </w:r>
      <w:r>
        <w:rPr>
          <w:rFonts w:hint="eastAsia" w:ascii="Times New Roman" w:hAnsi="Times New Roman" w:eastAsia="方正仿宋_GBK" w:cs="Times New Roman"/>
          <w:b/>
          <w:bCs/>
          <w:sz w:val="24"/>
          <w:szCs w:val="24"/>
        </w:rPr>
        <w:t>嘉陵江温塘峡</w:t>
      </w:r>
    </w:p>
    <w:p w14:paraId="35E650F3">
      <w:pPr>
        <w:spacing w:line="594"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缙云山是我国长江中上游地区亚热带常绿阔叶林类型生态系统保持最好的区域，森林覆盖率达96.6%，</w:t>
      </w:r>
      <w:r>
        <w:rPr>
          <w:rFonts w:hint="eastAsia" w:ascii="方正仿宋_GBK" w:hAnsi="Times New Roman" w:eastAsia="方正仿宋_GBK" w:cs="Times New Roman"/>
          <w:bCs/>
          <w:sz w:val="32"/>
          <w:szCs w:val="32"/>
        </w:rPr>
        <w:t>是长江中上游地区宝贵的植物种基因库，</w:t>
      </w:r>
      <w:r>
        <w:rPr>
          <w:rFonts w:ascii="Times New Roman" w:hAnsi="Times New Roman" w:eastAsia="方正仿宋_GBK" w:cs="Times New Roman"/>
          <w:bCs/>
          <w:sz w:val="32"/>
          <w:szCs w:val="32"/>
        </w:rPr>
        <w:t>生长着1700多种亚热带植物，珍稀濒危植物繁多，有国家级保护珍稀植物珙桐、银杉、红豆杉</w:t>
      </w:r>
      <w:r>
        <w:rPr>
          <w:rFonts w:hint="eastAsia" w:ascii="Times New Roman" w:hAnsi="Times New Roman" w:eastAsia="方正仿宋_GBK" w:cs="Times New Roman"/>
          <w:bCs/>
          <w:sz w:val="32"/>
          <w:szCs w:val="32"/>
        </w:rPr>
        <w:t>、桫椤等</w:t>
      </w:r>
      <w:r>
        <w:rPr>
          <w:rFonts w:ascii="Times New Roman" w:hAnsi="Times New Roman" w:eastAsia="方正仿宋_GBK" w:cs="Times New Roman"/>
          <w:bCs/>
          <w:sz w:val="32"/>
          <w:szCs w:val="32"/>
        </w:rPr>
        <w:t>51</w:t>
      </w:r>
      <w:r>
        <w:rPr>
          <w:rFonts w:hint="eastAsia" w:ascii="Times New Roman" w:hAnsi="Times New Roman" w:eastAsia="方正仿宋_GBK" w:cs="Times New Roman"/>
          <w:bCs/>
          <w:sz w:val="32"/>
          <w:szCs w:val="32"/>
        </w:rPr>
        <w:t>种，</w:t>
      </w:r>
      <w:r>
        <w:rPr>
          <w:rFonts w:ascii="Times New Roman" w:hAnsi="Times New Roman" w:eastAsia="方正仿宋_GBK" w:cs="Times New Roman"/>
          <w:bCs/>
          <w:sz w:val="32"/>
          <w:szCs w:val="32"/>
        </w:rPr>
        <w:t>缙云槭、缙云四照花、缙云黄芩等特色植物38种</w:t>
      </w:r>
      <w:r>
        <w:rPr>
          <w:rFonts w:hint="eastAsia" w:ascii="Times New Roman" w:hAnsi="Times New Roman" w:eastAsia="方正仿宋_GBK" w:cs="Times New Roman"/>
          <w:bCs/>
          <w:sz w:val="32"/>
          <w:szCs w:val="32"/>
        </w:rPr>
        <w:t>。作为全国唯一一个建在城市中心的山地型国家级自然保护区——缙云山国家级自然保护区如同一座绿色长城拱卫着重庆中心城区，成为重庆主城都市区的天然生态屏障。</w:t>
      </w:r>
    </w:p>
    <w:p w14:paraId="763ADC9B">
      <w:pPr>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drawing>
          <wp:inline distT="0" distB="0" distL="0" distR="0">
            <wp:extent cx="5723890" cy="3207385"/>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7" cstate="print"/>
                    <a:stretch>
                      <a:fillRect/>
                    </a:stretch>
                  </pic:blipFill>
                  <pic:spPr>
                    <a:xfrm>
                      <a:off x="0" y="0"/>
                      <a:ext cx="5723890" cy="3207385"/>
                    </a:xfrm>
                    <a:prstGeom prst="rect">
                      <a:avLst/>
                    </a:prstGeom>
                  </pic:spPr>
                </pic:pic>
              </a:graphicData>
            </a:graphic>
          </wp:inline>
        </w:drawing>
      </w:r>
    </w:p>
    <w:p w14:paraId="1ADF7D21">
      <w:pPr>
        <w:autoSpaceDE w:val="0"/>
        <w:autoSpaceDN w:val="0"/>
        <w:adjustRightInd w:val="0"/>
        <w:snapToGrid w:val="0"/>
        <w:spacing w:after="156" w:afterLines="50"/>
        <w:jc w:val="center"/>
        <w:rPr>
          <w:rFonts w:ascii="Times New Roman" w:hAnsi="Times New Roman" w:eastAsia="方正仿宋_GBK" w:cs="Times New Roman"/>
          <w:b/>
          <w:bCs/>
          <w:sz w:val="24"/>
          <w:szCs w:val="24"/>
        </w:rPr>
      </w:pPr>
      <w:r>
        <w:rPr>
          <w:rFonts w:hint="eastAsia" w:ascii="Times New Roman" w:hAnsi="Times New Roman" w:eastAsia="方正仿宋_GBK" w:cs="Times New Roman"/>
          <w:b/>
          <w:bCs/>
          <w:sz w:val="24"/>
          <w:szCs w:val="24"/>
        </w:rPr>
        <w:t>图</w:t>
      </w:r>
      <w:r>
        <w:rPr>
          <w:rFonts w:ascii="Times New Roman" w:hAnsi="Times New Roman" w:eastAsia="方正仿宋_GBK" w:cs="Times New Roman"/>
          <w:b/>
          <w:bCs/>
          <w:sz w:val="24"/>
          <w:szCs w:val="24"/>
        </w:rPr>
        <w:t xml:space="preserve">6  </w:t>
      </w:r>
      <w:r>
        <w:rPr>
          <w:rFonts w:hint="eastAsia" w:ascii="Times New Roman" w:hAnsi="Times New Roman" w:eastAsia="方正仿宋_GBK" w:cs="Times New Roman"/>
          <w:b/>
          <w:bCs/>
          <w:sz w:val="24"/>
          <w:szCs w:val="24"/>
        </w:rPr>
        <w:t>缙云山林海</w:t>
      </w:r>
    </w:p>
    <w:p w14:paraId="65C48899">
      <w:pPr>
        <w:spacing w:line="594" w:lineRule="exact"/>
        <w:ind w:firstLine="482" w:firstLineChars="200"/>
        <w:jc w:val="center"/>
        <w:rPr>
          <w:rFonts w:ascii="Times New Roman" w:hAnsi="Times New Roman" w:eastAsia="方正仿宋_GBK" w:cs="Times New Roman"/>
          <w:b/>
          <w:sz w:val="24"/>
          <w:szCs w:val="24"/>
        </w:rPr>
      </w:pPr>
      <w:r>
        <w:rPr>
          <w:rFonts w:ascii="Times New Roman" w:hAnsi="Times New Roman" w:eastAsia="方正仿宋_GBK" w:cs="Times New Roman"/>
          <w:b/>
          <w:sz w:val="24"/>
          <w:szCs w:val="24"/>
        </w:rPr>
        <mc:AlternateContent>
          <mc:Choice Requires="wpg">
            <w:drawing>
              <wp:anchor distT="0" distB="0" distL="114300" distR="114300" simplePos="0" relativeHeight="251659264" behindDoc="0" locked="0" layoutInCell="1" allowOverlap="1">
                <wp:simplePos x="0" y="0"/>
                <wp:positionH relativeFrom="column">
                  <wp:posOffset>-241935</wp:posOffset>
                </wp:positionH>
                <wp:positionV relativeFrom="paragraph">
                  <wp:posOffset>125730</wp:posOffset>
                </wp:positionV>
                <wp:extent cx="6448425" cy="1733550"/>
                <wp:effectExtent l="0" t="0" r="9525" b="0"/>
                <wp:wrapNone/>
                <wp:docPr id="16" name="组合 5"/>
                <wp:cNvGraphicFramePr/>
                <a:graphic xmlns:a="http://schemas.openxmlformats.org/drawingml/2006/main">
                  <a:graphicData uri="http://schemas.microsoft.com/office/word/2010/wordprocessingGroup">
                    <wpg:wgp>
                      <wpg:cNvGrpSpPr/>
                      <wpg:grpSpPr>
                        <a:xfrm>
                          <a:off x="0" y="0"/>
                          <a:ext cx="6448425" cy="1733550"/>
                          <a:chOff x="0" y="0"/>
                          <a:chExt cx="14194801" cy="3191878"/>
                        </a:xfrm>
                      </wpg:grpSpPr>
                      <pic:pic xmlns:pic="http://schemas.openxmlformats.org/drawingml/2006/picture">
                        <pic:nvPicPr>
                          <pic:cNvPr id="18" name="Picture 8"/>
                          <pic:cNvPicPr>
                            <a:picLocks noChangeAspect="1" noChangeArrowheads="1"/>
                          </pic:cNvPicPr>
                        </pic:nvPicPr>
                        <pic:blipFill>
                          <a:blip r:embed="rId17" cstate="email"/>
                          <a:srcRect/>
                          <a:stretch>
                            <a:fillRect/>
                          </a:stretch>
                        </pic:blipFill>
                        <pic:spPr>
                          <a:xfrm>
                            <a:off x="4397056" y="0"/>
                            <a:ext cx="4798135" cy="3177873"/>
                          </a:xfrm>
                          <a:prstGeom prst="rect">
                            <a:avLst/>
                          </a:prstGeom>
                          <a:noFill/>
                        </pic:spPr>
                      </pic:pic>
                      <wpg:grpSp>
                        <wpg:cNvPr id="19" name="组合 19"/>
                        <wpg:cNvGrpSpPr/>
                        <wpg:grpSpPr>
                          <a:xfrm>
                            <a:off x="0" y="1"/>
                            <a:ext cx="14194801" cy="3191877"/>
                            <a:chOff x="0" y="1"/>
                            <a:chExt cx="14194801" cy="3191877"/>
                          </a:xfrm>
                        </wpg:grpSpPr>
                        <pic:pic xmlns:pic="http://schemas.openxmlformats.org/drawingml/2006/picture">
                          <pic:nvPicPr>
                            <pic:cNvPr id="20" name="Picture 10"/>
                            <pic:cNvPicPr>
                              <a:picLocks noChangeAspect="1" noChangeArrowheads="1"/>
                            </pic:cNvPicPr>
                          </pic:nvPicPr>
                          <pic:blipFill>
                            <a:blip r:embed="rId17" cstate="email"/>
                            <a:srcRect/>
                            <a:stretch>
                              <a:fillRect/>
                            </a:stretch>
                          </pic:blipFill>
                          <pic:spPr>
                            <a:xfrm>
                              <a:off x="0" y="1"/>
                              <a:ext cx="4366118" cy="3177873"/>
                            </a:xfrm>
                            <a:prstGeom prst="rect">
                              <a:avLst/>
                            </a:prstGeom>
                            <a:noFill/>
                          </pic:spPr>
                        </pic:pic>
                        <pic:pic xmlns:pic="http://schemas.openxmlformats.org/drawingml/2006/picture">
                          <pic:nvPicPr>
                            <pic:cNvPr id="21" name="Picture 4"/>
                            <pic:cNvPicPr>
                              <a:picLocks noChangeAspect="1" noChangeArrowheads="1"/>
                            </pic:cNvPicPr>
                          </pic:nvPicPr>
                          <pic:blipFill>
                            <a:blip r:embed="rId17" cstate="email"/>
                            <a:srcRect/>
                            <a:stretch>
                              <a:fillRect/>
                            </a:stretch>
                          </pic:blipFill>
                          <pic:spPr>
                            <a:xfrm>
                              <a:off x="9250457" y="1"/>
                              <a:ext cx="4944344" cy="3191877"/>
                            </a:xfrm>
                            <a:prstGeom prst="rect">
                              <a:avLst/>
                            </a:prstGeom>
                            <a:noFill/>
                          </pic:spPr>
                        </pic:pic>
                      </wpg:grpSp>
                    </wpg:wgp>
                  </a:graphicData>
                </a:graphic>
              </wp:anchor>
            </w:drawing>
          </mc:Choice>
          <mc:Fallback>
            <w:pict>
              <v:group id="组合 5" o:spid="_x0000_s1026" o:spt="203" style="position:absolute;left:0pt;margin-left:-19.05pt;margin-top:9.9pt;height:136.5pt;width:507.75pt;z-index:251659264;mso-width-relative:page;mso-height-relative:page;" coordsize="14194801,3191878" o:gfxdata="UEsDBAoAAAAAAIdO4kAAAAAAAAAAAAAAAAAEAAAAZHJzL1BLAwQUAAAACACHTuJAm3UuKdoAAAAK&#10;AQAADwAAAGRycy9kb3ducmV2LnhtbE2PQUvDQBCF74L/YRnBW7tJqjaJ2RQp6qkUbAXxts1Ok9Ds&#10;bMhuk/bfO570OLyPN98rVhfbiREH3zpSEM8jEEiVMy3VCj73b7MUhA+ajO4coYIreliVtzeFzo2b&#10;6APHXagFl5DPtYImhD6X0lcNWu3nrkfi7OgGqwOfQy3NoCcut51MouhJWt0Sf2h0j+sGq9PubBW8&#10;T3p6WcSv4+Z0XF+/94/br02MSt3fxdEziICX8AfDrz6rQ8lOB3cm40WnYLZIY0Y5yHgCA9ly+QDi&#10;oCDJkhRkWcj/E8ofUEsDBBQAAAAIAIdO4kAgRg8o9gIAACMLAAAOAAAAZHJzL2Uyb0RvYy54bWzt&#10;Vktu2zAQ3RfoHQjtG1mWZFmC7aBomqBA0Br9HIChqA8qiQRJW86+iy57n56n6DU6Q0l2bAdtkCbt&#10;JgvL5JAzevP4ZsTZ6aauyJorXYpm7ngnI4fwhom0bPK58+nj+YupQ7ShTUor0fC5c821c7p4/mzW&#10;yoSPRSGqlCsCQRqdtHLuFMbIxHU1K3hN9YmQvIHFTKiaGpiq3E0VbSF6Xbnj0WjitkKlUgnGtQbr&#10;Wbfo9BHVXQKKLCsZPxNsVfPGdFEVr6iBlHRRSu0sLNos48y8yzLNDanmDmRq7BNeAuMrfLqLGU1y&#10;RWVRsh4CvQuEg5xqWjbw0m2oM2ooWanyKFRdMiW0yMwJE7XbJWIZgSy80QE3F0qspM0lT9pcbkmH&#10;gzpg/d5h2dv1UpEyBSVMHNLQGk785/cvP759JSGS08o8gT0XSn6QS9Ub8m6G+W4yVeM/ZEI2ltbr&#10;La18YwgD4yQIpsE4dAiDNS/y/TDsiWcFnM6RHyte955e4MXBdOR1rr4Xe9NoirDc4c0uAtzikSVL&#10;4NcTBaMjov4sT/AyK8WBdozWrJclW6pucoMsKJKOLFjG7cTCQg/c1LlQxHIp2GdNGvGqoE3OX2oJ&#10;kgQWwH0wKSXagtNUoxlz249ip3swrqpSnpdVhbzj+GFLh6iE11ccFKHepMg8NAMDqoDqLivERxOt&#10;2HtIoxsbxQ0r0JwBpt4O56OHBZvADjNmp0FL6HGgnsCPo1EIOjzWUBDFU8/vNeR7UTSN/D0hANlK&#10;mwsuaoIDQA8I4RBpQteXGrECpmELmhuBHA58d4gsVADY6d7K6pGLLh501BedF2NW96o6Kx6aDFV3&#10;W+1E3fkdlF3v+Puys67/u+zG0Lb3y86znWS/Yp7qzhbk3esOWMXO3Ilj0E/gTyaeB30Ou/Y/qDg8&#10;Q/g9fu8eY/O1H7pl37sDzPxJQ3/Vu+NxOArC6FYlxUHgB8GgJPyI73eTXWN+kN69uxNA08dWCncn&#10;2/77ex5ezm7O7a7d3Xbx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7I9uTsQAAABgBAAAZAAAAZHJzL19yZWxzL2Uyb0RvYy54bWwucmVsc4XP&#10;vQrCMBDA8V3wHcLt9loHEWnaRYRCcZD6ACG9tsHmgySKfXszWhAcj+N+f66s33pmL/JBWcOhyHJg&#10;ZKTtlRk53LvL7ggsRGF6MVtDHBYKUFfbTXmjWcR0FCblAkuKCRymGN0JMciJtAiZdWTSZrBei5hG&#10;P6IT8iFGwn2eH9B/G1CtTNb0HHzTF8C6xaXyf9sOg5J0tvKpycQfCVQ6tRMo/EiRQ5bh9d62gFWJ&#10;q3+qD1BLAwQUAAAACACHTuJA2Tk3hxMBAABIAgAAEwAAAFtDb250ZW50X1R5cGVzXS54bWyVkk1O&#10;wzAQhfdI3MHyFsUOXSCEmnRBChILqFA5gGVPEpf4Rx4T2tvjpK0EVVqJpT3zvXlv7PliazrSQ0Dt&#10;bEFvWU4JWOmUtk1BP9ZP2T0lGIVVonMWCroDpIvy+mq+3nlAkmiLBW1j9A+co2zBCGTOg02V2gUj&#10;YjqGhnshP0UDfJbnd1w6G8HGLA4atJxXUIuvLpLlNl3vnWw8NJQ87huHWQXVZhAYC3ySeVk9TyJs&#10;4xs6jQTo8IQR3ndaipgWwnurTsJkhyAskWMPttrjTUp7ZsJQ+Zvj94AD95ZeIGgFZCVCfBUmpeUq&#10;IFfu2wbo2WWRwaXBzNW1lsCqgFXC3qE/ujqnDjNXOflf8eVIHbX5+A/KH1BLAQIUABQAAAAIAIdO&#10;4kDZOTeHEwEAAEgCAAATAAAAAAAAAAEAIAAAAHkGAABbQ29udGVudF9UeXBlc10ueG1sUEsBAhQA&#10;CgAAAAAAh07iQAAAAAAAAAAAAAAAAAYAAAAAAAAAAAAQAAAASwQAAF9yZWxzL1BLAQIUABQAAAAI&#10;AIdO4kCKFGY80QAAAJQBAAALAAAAAAAAAAEAIAAAAG8EAABfcmVscy8ucmVsc1BLAQIUAAoAAAAA&#10;AIdO4kAAAAAAAAAAAAAAAAAEAAAAAAAAAAAAEAAAAAAAAABkcnMvUEsBAhQACgAAAAAAh07iQAAA&#10;AAAAAAAAAAAAAAoAAAAAAAAAAAAQAAAAaQUAAGRycy9fcmVscy9QSwECFAAUAAAACACHTuJAeyPb&#10;k7EAAAAYAQAAGQAAAAAAAAABACAAAACRBQAAZHJzL19yZWxzL2Uyb0RvYy54bWwucmVsc1BLAQIU&#10;ABQAAAAIAIdO4kCbdS4p2gAAAAoBAAAPAAAAAAAAAAEAIAAAACIAAABkcnMvZG93bnJldi54bWxQ&#10;SwECFAAUAAAACACHTuJAIEYPKPYCAAAjCwAADgAAAAAAAAABACAAAAApAQAAZHJzL2Uyb0RvYy54&#10;bWxQSwUGAAAAAAgACADYAQAAvQcAAAAA&#10;">
                <o:lock v:ext="edit" aspectratio="f"/>
                <v:shape id="Picture 8" o:spid="_x0000_s1026" o:spt="75" type="#_x0000_t75" style="position:absolute;left:4397056;top:0;height:3177873;width:4798135;" filled="f" o:preferrelative="t" stroked="f" coordsize="21600,21600" o:gfxdata="UEsDBAoAAAAAAIdO4kAAAAAAAAAAAAAAAAAEAAAAZHJzL1BLAwQUAAAACACHTuJAmP5GZ7sAAADb&#10;AAAADwAAAGRycy9kb3ducmV2LnhtbEWPT2/CMAzF70h8h8hIu0HKpE2jI60QEho78u/uNV5T1jil&#10;CZR9e3yYtJut9/zez8vy7lt1oz42gQ3MZxko4irYhmsDx8Nm+gYqJmSLbWAy8EsRymI8WmJuw8A7&#10;uu1TrSSEY44GXEpdrnWsHHmMs9ARi/Ydeo9J1r7WtsdBwn2rn7PsVXtsWBocdrR2VP3sr97AenW6&#10;nD/wy7nz8KK133R8WHwa8zSZZ++gEt3Tv/nvemsFX2DlFxlA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P5GZ7sAAADb&#10;AAAADwAAAAAAAAABACAAAAAiAAAAZHJzL2Rvd25yZXYueG1sUEsBAhQAFAAAAAgAh07iQDMvBZ47&#10;AAAAOQAAABAAAAAAAAAAAQAgAAAACgEAAGRycy9zaGFwZXhtbC54bWxQSwUGAAAAAAYABgBbAQAA&#10;tAMAAAAA&#10;">
                  <v:fill on="f" focussize="0,0"/>
                  <v:stroke on="f"/>
                  <v:imagedata r:id="rId17" o:title=""/>
                  <o:lock v:ext="edit" aspectratio="t"/>
                </v:shape>
                <v:group id="_x0000_s1026" o:spid="_x0000_s1026" o:spt="203" style="position:absolute;left:0;top:1;height:3191877;width:14194801;" coordorigin="0,1" coordsize="14194801,3191877"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f"/>
                  <v:shape id="Picture 10" o:spid="_x0000_s1026" o:spt="75" type="#_x0000_t75" style="position:absolute;left:0;top:1;height:3177873;width:4366118;" filled="f" o:preferrelative="t" stroked="f" coordsize="21600,21600" o:gfxdata="UEsDBAoAAAAAAIdO4kAAAAAAAAAAAAAAAAAEAAAAZHJzL1BLAwQUAAAACACHTuJAqOSA3LYAAADb&#10;AAAADwAAAGRycy9kb3ducmV2LnhtbEVPy4rCMBTdC/5DuII7myo4aDWKCOK49LW/Ntem2tzUJmP1&#10;781iwOXhvOfLl63EkxpfOlYwTFIQxLnTJRcKTsfNYALCB2SNlWNS8CYPy0W3M8dMu5b39DyEQsQQ&#10;9hkqMCHUmZQ+N2TRJ64mjtzVNRZDhE0hdYNtDLeVHKXpj7RYcmwwWNPaUH4//FkF69X5cdvixZhb&#10;O5bSbmo+TndK9XvDdAYi0Ct8xf/uX61gFNfHL/EHyMU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jkgNy2AAAA2wAAAA8A&#10;AAAAAAAAAQAgAAAAIgAAAGRycy9kb3ducmV2LnhtbFBLAQIUABQAAAAIAIdO4kAzLwWeOwAAADkA&#10;AAAQAAAAAAAAAAEAIAAAAAUBAABkcnMvc2hhcGV4bWwueG1sUEsFBgAAAAAGAAYAWwEAAK8DAAAA&#10;AA==&#10;">
                    <v:fill on="f" focussize="0,0"/>
                    <v:stroke on="f"/>
                    <v:imagedata r:id="rId17" o:title=""/>
                    <o:lock v:ext="edit" aspectratio="t"/>
                  </v:shape>
                  <v:shape id="Picture 4" o:spid="_x0000_s1026" o:spt="75" type="#_x0000_t75" style="position:absolute;left:9250457;top:1;height:3191877;width:4944344;" filled="f" o:preferrelative="t" stroked="f" coordsize="21600,21600" o:gfxdata="UEsDBAoAAAAAAIdO4kAAAAAAAAAAAAAAAAAEAAAAZHJzL1BLAwQUAAAACACHTuJAx6glR7sAAADb&#10;AAAADwAAAGRycy9kb3ducmV2LnhtbEWPQWsCMRSE74L/IbyCN82uYLHbjVIEqR6r9v66ed3sdvOy&#10;Jqmr/94UCh6HmfmGKddX24kL+dA4VpDPMhDEldMN1wpOx+10CSJEZI2dY1JwowDr1XhUYqHdwB90&#10;OcRaJAiHAhWYGPtCylAZshhmridO3rfzFmOSvpba45DgtpPzLHuWFhtOCwZ72hiqfg6/VsHm7fPc&#10;vuOXMe2wkNJuez6+7JWaPOXZK4hI1/gI/7d3WsE8h78v6QfI1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6glR7sAAADb&#10;AAAADwAAAAAAAAABACAAAAAiAAAAZHJzL2Rvd25yZXYueG1sUEsBAhQAFAAAAAgAh07iQDMvBZ47&#10;AAAAOQAAABAAAAAAAAAAAQAgAAAACgEAAGRycy9zaGFwZXhtbC54bWxQSwUGAAAAAAYABgBbAQAA&#10;tAMAAAAA&#10;">
                    <v:fill on="f" focussize="0,0"/>
                    <v:stroke on="f"/>
                    <v:imagedata r:id="rId17" o:title=""/>
                    <o:lock v:ext="edit" aspectratio="t"/>
                  </v:shape>
                </v:group>
              </v:group>
            </w:pict>
          </mc:Fallback>
        </mc:AlternateContent>
      </w:r>
    </w:p>
    <w:p w14:paraId="76A29F51">
      <w:pPr>
        <w:spacing w:line="594" w:lineRule="exact"/>
        <w:ind w:firstLine="482" w:firstLineChars="200"/>
        <w:jc w:val="center"/>
        <w:rPr>
          <w:rFonts w:ascii="Times New Roman" w:hAnsi="Times New Roman" w:eastAsia="方正仿宋_GBK" w:cs="Times New Roman"/>
          <w:b/>
          <w:sz w:val="24"/>
          <w:szCs w:val="24"/>
        </w:rPr>
      </w:pPr>
    </w:p>
    <w:p w14:paraId="3C7E5861">
      <w:pPr>
        <w:spacing w:line="594" w:lineRule="exact"/>
        <w:ind w:firstLine="482" w:firstLineChars="200"/>
        <w:jc w:val="center"/>
        <w:rPr>
          <w:rFonts w:ascii="Times New Roman" w:hAnsi="Times New Roman" w:eastAsia="方正仿宋_GBK" w:cs="Times New Roman"/>
          <w:b/>
          <w:sz w:val="24"/>
          <w:szCs w:val="24"/>
        </w:rPr>
      </w:pPr>
    </w:p>
    <w:p w14:paraId="14000F0F">
      <w:pPr>
        <w:spacing w:line="594" w:lineRule="exact"/>
        <w:ind w:firstLine="482" w:firstLineChars="200"/>
        <w:jc w:val="center"/>
        <w:rPr>
          <w:rFonts w:ascii="Times New Roman" w:hAnsi="Times New Roman" w:eastAsia="方正仿宋_GBK" w:cs="Times New Roman"/>
          <w:b/>
          <w:sz w:val="24"/>
          <w:szCs w:val="24"/>
        </w:rPr>
      </w:pPr>
    </w:p>
    <w:p w14:paraId="7A0DA44B">
      <w:pPr>
        <w:spacing w:line="594" w:lineRule="exact"/>
        <w:ind w:firstLine="482" w:firstLineChars="200"/>
        <w:jc w:val="center"/>
        <w:rPr>
          <w:rFonts w:ascii="Times New Roman" w:hAnsi="Times New Roman" w:eastAsia="方正仿宋_GBK" w:cs="Times New Roman"/>
          <w:b/>
          <w:sz w:val="24"/>
          <w:szCs w:val="24"/>
        </w:rPr>
      </w:pPr>
    </w:p>
    <w:p w14:paraId="4B8E6007">
      <w:pPr>
        <w:autoSpaceDE w:val="0"/>
        <w:autoSpaceDN w:val="0"/>
        <w:adjustRightInd w:val="0"/>
        <w:snapToGrid w:val="0"/>
        <w:spacing w:after="156" w:afterLines="50"/>
        <w:jc w:val="center"/>
        <w:rPr>
          <w:rFonts w:ascii="Times New Roman" w:hAnsi="Times New Roman" w:eastAsia="方正仿宋_GBK" w:cs="Times New Roman"/>
          <w:b/>
          <w:bCs/>
          <w:sz w:val="24"/>
          <w:szCs w:val="24"/>
        </w:rPr>
      </w:pPr>
      <w:r>
        <w:rPr>
          <w:rFonts w:hint="eastAsia" w:ascii="Times New Roman" w:hAnsi="Times New Roman" w:eastAsia="方正仿宋_GBK" w:cs="Times New Roman"/>
          <w:b/>
          <w:bCs/>
          <w:sz w:val="24"/>
          <w:szCs w:val="24"/>
        </w:rPr>
        <w:t>图</w:t>
      </w:r>
      <w:r>
        <w:rPr>
          <w:rFonts w:ascii="Times New Roman" w:hAnsi="Times New Roman" w:eastAsia="方正仿宋_GBK" w:cs="Times New Roman"/>
          <w:b/>
          <w:bCs/>
          <w:sz w:val="24"/>
          <w:szCs w:val="24"/>
        </w:rPr>
        <w:t xml:space="preserve">7 </w:t>
      </w:r>
      <w:r>
        <w:rPr>
          <w:rFonts w:hint="eastAsia" w:ascii="Times New Roman" w:hAnsi="Times New Roman" w:eastAsia="方正仿宋_GBK" w:cs="Times New Roman"/>
          <w:b/>
          <w:bCs/>
          <w:sz w:val="24"/>
          <w:szCs w:val="24"/>
        </w:rPr>
        <w:t xml:space="preserve"> 缙云山珍稀濒危动植物</w:t>
      </w:r>
    </w:p>
    <w:p w14:paraId="36FE9460">
      <w:pPr>
        <w:spacing w:line="594"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缙云山脉一线分布着八大古刹、世界佛学苑汉藏教理院遗址、狮子峰寨、白云观等名胜古迹，山脚坐落着一个既具川东民俗文化又富含抗战文化研究价值的三百年历史双重传统风貌街区——金刚碑，重要史迹、乡土建筑、名人墓塔、古寨遗址、寺庙、石窟石刻等达</w:t>
      </w:r>
      <w:r>
        <w:rPr>
          <w:rFonts w:ascii="Times New Roman" w:hAnsi="Times New Roman" w:eastAsia="方正仿宋_GBK" w:cs="Times New Roman"/>
          <w:bCs/>
          <w:sz w:val="32"/>
          <w:szCs w:val="32"/>
        </w:rPr>
        <w:t>40处，跨越唐、宋、明、清、近现代，诗词佳作上百篇。北碚区</w:t>
      </w:r>
      <w:r>
        <w:rPr>
          <w:rFonts w:hint="eastAsia" w:ascii="Times New Roman" w:hAnsi="Times New Roman" w:eastAsia="方正仿宋_GBK" w:cs="Times New Roman"/>
          <w:bCs/>
          <w:sz w:val="32"/>
          <w:szCs w:val="32"/>
        </w:rPr>
        <w:t>缙云山下嘉陵江畔分布有首批国家级重点风景名胜区、国家</w:t>
      </w:r>
      <w:r>
        <w:rPr>
          <w:rFonts w:ascii="Times New Roman" w:hAnsi="Times New Roman" w:eastAsia="方正仿宋_GBK" w:cs="Times New Roman"/>
          <w:bCs/>
          <w:sz w:val="32"/>
          <w:szCs w:val="32"/>
        </w:rPr>
        <w:t>4A级旅游风景区</w:t>
      </w:r>
      <w:r>
        <w:rPr>
          <w:rFonts w:hint="eastAsia" w:ascii="Times New Roman" w:hAnsi="Times New Roman" w:eastAsia="方正仿宋_GBK" w:cs="Times New Roman"/>
          <w:bCs/>
          <w:sz w:val="32"/>
          <w:szCs w:val="32"/>
        </w:rPr>
        <w:t>——北温泉公园</w:t>
      </w:r>
      <w:r>
        <w:rPr>
          <w:rFonts w:ascii="Times New Roman" w:hAnsi="Times New Roman" w:eastAsia="方正仿宋_GBK" w:cs="Times New Roman"/>
          <w:bCs/>
          <w:sz w:val="32"/>
          <w:szCs w:val="32"/>
        </w:rPr>
        <w:t>，温泉</w:t>
      </w:r>
      <w:r>
        <w:rPr>
          <w:rFonts w:hint="eastAsia" w:ascii="Times New Roman" w:hAnsi="Times New Roman" w:eastAsia="方正仿宋_GBK" w:cs="Times New Roman"/>
          <w:bCs/>
          <w:sz w:val="32"/>
          <w:szCs w:val="32"/>
        </w:rPr>
        <w:t>泉眼日出水量为</w:t>
      </w:r>
      <w:r>
        <w:rPr>
          <w:rFonts w:ascii="Times New Roman" w:hAnsi="Times New Roman" w:eastAsia="方正仿宋_GBK" w:cs="Times New Roman"/>
          <w:bCs/>
          <w:sz w:val="32"/>
          <w:szCs w:val="32"/>
        </w:rPr>
        <w:t>4700-8600吨，是川东各温泉含钙量首位，并含有氟、锶</w:t>
      </w:r>
      <w:r>
        <w:rPr>
          <w:rFonts w:hint="eastAsia" w:ascii="Times New Roman" w:hAnsi="Times New Roman" w:eastAsia="方正仿宋_GBK" w:cs="Times New Roman"/>
          <w:bCs/>
          <w:sz w:val="32"/>
          <w:szCs w:val="32"/>
        </w:rPr>
        <w:t>、</w:t>
      </w:r>
      <w:r>
        <w:rPr>
          <w:rFonts w:ascii="Times New Roman" w:hAnsi="Times New Roman" w:eastAsia="方正仿宋_GBK" w:cs="Times New Roman"/>
          <w:bCs/>
          <w:sz w:val="32"/>
          <w:szCs w:val="32"/>
        </w:rPr>
        <w:t>氡等11种有利于人体健康的微量元素，有较高的医疗保健价值</w:t>
      </w:r>
      <w:r>
        <w:rPr>
          <w:rFonts w:hint="eastAsia" w:ascii="Times New Roman" w:hAnsi="Times New Roman" w:eastAsia="方正仿宋_GBK" w:cs="Times New Roman"/>
          <w:bCs/>
          <w:sz w:val="32"/>
          <w:szCs w:val="32"/>
        </w:rPr>
        <w:t>，也为北碚赢得了世温联亚太区总部、世界温泉论坛永久会址的发展机遇</w:t>
      </w:r>
      <w:r>
        <w:rPr>
          <w:rFonts w:ascii="Times New Roman" w:hAnsi="Times New Roman" w:eastAsia="方正仿宋_GBK" w:cs="Times New Roman"/>
          <w:bCs/>
          <w:sz w:val="32"/>
          <w:szCs w:val="32"/>
        </w:rPr>
        <w:t>。</w:t>
      </w:r>
    </w:p>
    <w:p w14:paraId="788218DC">
      <w:pPr>
        <w:jc w:val="left"/>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drawing>
          <wp:inline distT="0" distB="0" distL="0" distR="0">
            <wp:extent cx="5800725" cy="3114040"/>
            <wp:effectExtent l="0" t="0" r="0" b="0"/>
            <wp:docPr id="17" name="Picture 2" descr="https://timgsa.baidu.com/timg?image&amp;quality=80&amp;size=b9999_10000&amp;sec=1564488675558&amp;di=3c03bb5964fa242a663d859bd0712303&amp;imgtype=0&amp;src=http%3A%2F%2F5b0988e595225.cdn.sohucs.com%2Fimages%2F20180618%2Fd7903bd8b79545b4b3dbf78a03ca60a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https://timgsa.baidu.com/timg?image&amp;quality=80&amp;size=b9999_10000&amp;sec=1564488675558&amp;di=3c03bb5964fa242a663d859bd0712303&amp;imgtype=0&amp;src=http%3A%2F%2F5b0988e595225.cdn.sohucs.com%2Fimages%2F20180618%2Fd7903bd8b79545b4b3dbf78a03ca60ab.jpeg"/>
                    <pic:cNvPicPr>
                      <a:picLocks noChangeAspect="1" noChangeArrowheads="1"/>
                    </pic:cNvPicPr>
                  </pic:nvPicPr>
                  <pic:blipFill>
                    <a:blip r:embed="rId17" cstate="email"/>
                    <a:srcRect/>
                    <a:stretch>
                      <a:fillRect/>
                    </a:stretch>
                  </pic:blipFill>
                  <pic:spPr>
                    <a:xfrm>
                      <a:off x="0" y="0"/>
                      <a:ext cx="5810894" cy="3120093"/>
                    </a:xfrm>
                    <a:prstGeom prst="rect">
                      <a:avLst/>
                    </a:prstGeom>
                    <a:noFill/>
                  </pic:spPr>
                </pic:pic>
              </a:graphicData>
            </a:graphic>
          </wp:inline>
        </w:drawing>
      </w:r>
    </w:p>
    <w:p w14:paraId="15259093">
      <w:pPr>
        <w:autoSpaceDE w:val="0"/>
        <w:autoSpaceDN w:val="0"/>
        <w:adjustRightInd w:val="0"/>
        <w:snapToGrid w:val="0"/>
        <w:spacing w:after="156" w:afterLines="50"/>
        <w:jc w:val="center"/>
        <w:rPr>
          <w:rFonts w:ascii="Times New Roman" w:hAnsi="Times New Roman" w:eastAsia="方正仿宋_GBK" w:cs="Times New Roman"/>
          <w:b/>
          <w:bCs/>
          <w:sz w:val="24"/>
          <w:szCs w:val="24"/>
        </w:rPr>
      </w:pPr>
      <w:bookmarkStart w:id="34" w:name="_Hlk50453523"/>
      <w:r>
        <w:rPr>
          <w:rFonts w:hint="eastAsia" w:ascii="Times New Roman" w:hAnsi="Times New Roman" w:eastAsia="方正仿宋_GBK" w:cs="Times New Roman"/>
          <w:b/>
          <w:bCs/>
          <w:sz w:val="24"/>
          <w:szCs w:val="24"/>
        </w:rPr>
        <w:t>图</w:t>
      </w:r>
      <w:r>
        <w:rPr>
          <w:rFonts w:ascii="Times New Roman" w:hAnsi="Times New Roman" w:eastAsia="方正仿宋_GBK" w:cs="Times New Roman"/>
          <w:b/>
          <w:bCs/>
          <w:sz w:val="24"/>
          <w:szCs w:val="24"/>
        </w:rPr>
        <w:t>8</w:t>
      </w:r>
      <w:r>
        <w:rPr>
          <w:rFonts w:hint="eastAsia" w:ascii="Times New Roman" w:hAnsi="Times New Roman" w:eastAsia="方正仿宋_GBK" w:cs="Times New Roman"/>
          <w:b/>
          <w:bCs/>
          <w:sz w:val="24"/>
          <w:szCs w:val="24"/>
        </w:rPr>
        <w:t xml:space="preserve"> </w:t>
      </w:r>
      <w:r>
        <w:rPr>
          <w:rFonts w:ascii="Times New Roman" w:hAnsi="Times New Roman" w:eastAsia="方正仿宋_GBK" w:cs="Times New Roman"/>
          <w:b/>
          <w:bCs/>
          <w:sz w:val="24"/>
          <w:szCs w:val="24"/>
        </w:rPr>
        <w:t xml:space="preserve"> </w:t>
      </w:r>
      <w:r>
        <w:rPr>
          <w:rFonts w:hint="eastAsia" w:ascii="Times New Roman" w:hAnsi="Times New Roman" w:eastAsia="方正仿宋_GBK" w:cs="Times New Roman"/>
          <w:b/>
          <w:bCs/>
          <w:sz w:val="24"/>
          <w:szCs w:val="24"/>
        </w:rPr>
        <w:t>巴渝十二景——缙岭云霞美景</w:t>
      </w:r>
      <w:r>
        <w:rPr>
          <w:rFonts w:ascii="Times New Roman" w:hAnsi="Times New Roman" w:eastAsia="方正仿宋_GBK" w:cs="Times New Roman"/>
          <w:b/>
          <w:bCs/>
          <w:sz w:val="24"/>
          <w:szCs w:val="24"/>
        </w:rPr>
        <w:t xml:space="preserve">   </w:t>
      </w:r>
    </w:p>
    <w:bookmarkEnd w:id="34"/>
    <w:p w14:paraId="7CDCB1A7">
      <w:pPr>
        <w:spacing w:line="594"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缙云山是重庆主城都市区的重要生态屏障，缙云山国家级自然保护区横跨北碚、沙坪坝、璧山三区，是长江中上游地区宝贵的植物种基因库。为贯彻落实习近平生态文明思想，深入践行“共抓大保护、不搞大开发”的重要指示精神，牢固树立“绿水青山就是金山银山”的发展理念，全面落实陈敏尔书记、唐良智市长调研缙云山国家级自然保护区生态环保工作重要讲话指示要求，</w:t>
      </w:r>
      <w:r>
        <w:rPr>
          <w:rFonts w:ascii="Times New Roman" w:hAnsi="Times New Roman" w:eastAsia="方正仿宋_GBK" w:cs="Times New Roman"/>
          <w:bCs/>
          <w:sz w:val="32"/>
          <w:szCs w:val="32"/>
        </w:rPr>
        <w:t>2018年6月以来，北碚区按</w:t>
      </w:r>
      <w:r>
        <w:rPr>
          <w:rFonts w:hint="eastAsia" w:ascii="方正仿宋_GBK" w:hAnsi="Times New Roman" w:eastAsia="方正仿宋_GBK" w:cs="Times New Roman"/>
          <w:bCs/>
          <w:sz w:val="32"/>
          <w:szCs w:val="32"/>
        </w:rPr>
        <w:t>照“保护自然、保障民生”的</w:t>
      </w:r>
      <w:r>
        <w:rPr>
          <w:rFonts w:ascii="Times New Roman" w:hAnsi="Times New Roman" w:eastAsia="方正仿宋_GBK" w:cs="Times New Roman"/>
          <w:bCs/>
          <w:sz w:val="32"/>
          <w:szCs w:val="32"/>
        </w:rPr>
        <w:t>方针，全面启动缙云山国家级自然保护区生态环境综合整治与综合提升工作，截至目前投入资金15.8亿元，拆除建构筑物53.1万平方</w:t>
      </w:r>
      <w:r>
        <w:rPr>
          <w:rFonts w:hint="eastAsia" w:ascii="Times New Roman" w:hAnsi="Times New Roman" w:eastAsia="方正仿宋_GBK" w:cs="Times New Roman"/>
          <w:bCs/>
          <w:sz w:val="32"/>
          <w:szCs w:val="32"/>
        </w:rPr>
        <w:t>米，栽种植物</w:t>
      </w:r>
      <w:r>
        <w:rPr>
          <w:rFonts w:ascii="Times New Roman" w:hAnsi="Times New Roman" w:eastAsia="方正仿宋_GBK" w:cs="Times New Roman"/>
          <w:bCs/>
          <w:sz w:val="32"/>
          <w:szCs w:val="32"/>
        </w:rPr>
        <w:t>74.6万株（棵），覆土复耕复绿36.5万平方米，340宗问题已完成整改333宗，整改完成率达97.9%。</w:t>
      </w:r>
    </w:p>
    <w:p w14:paraId="43E53A1B">
      <w:pPr>
        <w:adjustRightInd w:val="0"/>
        <w:snapToGrid w:val="0"/>
        <w:spacing w:line="560" w:lineRule="exact"/>
        <w:ind w:firstLine="640"/>
        <w:rPr>
          <w:rFonts w:hAnsi="方正仿宋_GBK" w:eastAsia="方正仿宋_GBK"/>
          <w:color w:val="000000" w:themeColor="text1"/>
          <w:sz w:val="32"/>
          <w:szCs w:val="32"/>
          <w14:textFill>
            <w14:solidFill>
              <w14:schemeClr w14:val="tx1"/>
            </w14:solidFill>
          </w14:textFill>
        </w:rPr>
      </w:pPr>
      <w:bookmarkStart w:id="35" w:name="_Hlk49175221"/>
      <w:r>
        <w:rPr>
          <w:rFonts w:hint="eastAsia" w:ascii="华文楷体" w:hAnsi="华文楷体" w:eastAsia="华文楷体"/>
          <w:color w:val="0D0D0D" w:themeColor="text1" w:themeTint="F2"/>
          <w:sz w:val="32"/>
          <w:szCs w:val="32"/>
          <w14:textFill>
            <w14:solidFill>
              <w14:schemeClr w14:val="tx1">
                <w14:lumMod w14:val="95000"/>
                <w14:lumOff w14:val="5000"/>
              </w14:schemeClr>
            </w14:solidFill>
          </w14:textFill>
        </w:rPr>
        <w:t>【取得主要成效】：</w:t>
      </w:r>
      <w:bookmarkEnd w:id="35"/>
      <w:r>
        <w:rPr>
          <w:rFonts w:hint="eastAsia" w:hAnsi="方正仿宋_GBK" w:eastAsia="方正仿宋_GBK"/>
          <w:color w:val="000000" w:themeColor="text1"/>
          <w:sz w:val="32"/>
          <w:szCs w:val="32"/>
          <w14:textFill>
            <w14:solidFill>
              <w14:schemeClr w14:val="tx1"/>
            </w14:solidFill>
          </w14:textFill>
        </w:rPr>
        <w:t>经过近两年的努力，缙云山山脉整体生态品质、生态价值通过综合整治得到了挖掘和提升。累计栽种乔木、灌木、草本植物</w:t>
      </w:r>
      <w:r>
        <w:rPr>
          <w:rFonts w:hAnsi="方正仿宋_GBK" w:eastAsia="方正仿宋_GBK"/>
          <w:color w:val="000000" w:themeColor="text1"/>
          <w:sz w:val="32"/>
          <w:szCs w:val="32"/>
          <w14:textFill>
            <w14:solidFill>
              <w14:schemeClr w14:val="tx1"/>
            </w14:solidFill>
          </w14:textFill>
        </w:rPr>
        <w:t>86</w:t>
      </w:r>
      <w:r>
        <w:rPr>
          <w:rFonts w:hint="eastAsia" w:hAnsi="方正仿宋_GBK" w:eastAsia="方正仿宋_GBK"/>
          <w:color w:val="000000" w:themeColor="text1"/>
          <w:sz w:val="32"/>
          <w:szCs w:val="32"/>
          <w14:textFill>
            <w14:solidFill>
              <w14:schemeClr w14:val="tx1"/>
            </w14:solidFill>
          </w14:textFill>
        </w:rPr>
        <w:t>种、</w:t>
      </w:r>
      <w:r>
        <w:rPr>
          <w:rFonts w:hAnsi="方正仿宋_GBK" w:eastAsia="方正仿宋_GBK"/>
          <w:color w:val="000000" w:themeColor="text1"/>
          <w:sz w:val="32"/>
          <w:szCs w:val="32"/>
          <w14:textFill>
            <w14:solidFill>
              <w14:schemeClr w14:val="tx1"/>
            </w14:solidFill>
          </w14:textFill>
        </w:rPr>
        <w:t>65.6</w:t>
      </w:r>
      <w:r>
        <w:rPr>
          <w:rFonts w:hint="eastAsia" w:hAnsi="方正仿宋_GBK" w:eastAsia="方正仿宋_GBK"/>
          <w:color w:val="000000" w:themeColor="text1"/>
          <w:sz w:val="32"/>
          <w:szCs w:val="32"/>
          <w14:textFill>
            <w14:solidFill>
              <w14:schemeClr w14:val="tx1"/>
            </w14:solidFill>
          </w14:textFill>
        </w:rPr>
        <w:t>万株（棵），恢复水域</w:t>
      </w:r>
      <w:r>
        <w:rPr>
          <w:rFonts w:hAnsi="方正仿宋_GBK" w:eastAsia="方正仿宋_GBK"/>
          <w:color w:val="000000" w:themeColor="text1"/>
          <w:sz w:val="32"/>
          <w:szCs w:val="32"/>
          <w14:textFill>
            <w14:solidFill>
              <w14:schemeClr w14:val="tx1"/>
            </w14:solidFill>
          </w14:textFill>
        </w:rPr>
        <w:t>1.79</w:t>
      </w:r>
      <w:r>
        <w:rPr>
          <w:rFonts w:hint="eastAsia" w:hAnsi="方正仿宋_GBK" w:eastAsia="方正仿宋_GBK"/>
          <w:color w:val="000000" w:themeColor="text1"/>
          <w:sz w:val="32"/>
          <w:szCs w:val="32"/>
          <w14:textFill>
            <w14:solidFill>
              <w14:schemeClr w14:val="tx1"/>
            </w14:solidFill>
          </w14:textFill>
        </w:rPr>
        <w:t>万平方米，修复生态</w:t>
      </w:r>
      <w:r>
        <w:rPr>
          <w:rFonts w:hAnsi="方正仿宋_GBK" w:eastAsia="方正仿宋_GBK"/>
          <w:color w:val="000000" w:themeColor="text1"/>
          <w:sz w:val="32"/>
          <w:szCs w:val="32"/>
          <w14:textFill>
            <w14:solidFill>
              <w14:schemeClr w14:val="tx1"/>
            </w14:solidFill>
          </w14:textFill>
        </w:rPr>
        <w:t>2</w:t>
      </w:r>
      <w:r>
        <w:rPr>
          <w:rFonts w:hint="eastAsia" w:hAnsi="方正仿宋_GBK" w:eastAsia="方正仿宋_GBK"/>
          <w:color w:val="000000" w:themeColor="text1"/>
          <w:sz w:val="32"/>
          <w:szCs w:val="32"/>
          <w14:textFill>
            <w14:solidFill>
              <w14:schemeClr w14:val="tx1"/>
            </w14:solidFill>
          </w14:textFill>
        </w:rPr>
        <w:t>2万平方米，缙云山的</w:t>
      </w:r>
      <w:r>
        <w:rPr>
          <w:rFonts w:hAnsi="方正仿宋_GBK" w:eastAsia="方正仿宋_GBK"/>
          <w:color w:val="000000" w:themeColor="text1"/>
          <w:sz w:val="32"/>
          <w:szCs w:val="32"/>
          <w14:textFill>
            <w14:solidFill>
              <w14:schemeClr w14:val="tx1"/>
            </w14:solidFill>
          </w14:textFill>
        </w:rPr>
        <w:t>“</w:t>
      </w:r>
      <w:r>
        <w:rPr>
          <w:rFonts w:hint="eastAsia" w:hAnsi="方正仿宋_GBK" w:eastAsia="方正仿宋_GBK"/>
          <w:color w:val="000000" w:themeColor="text1"/>
          <w:sz w:val="32"/>
          <w:szCs w:val="32"/>
          <w14:textFill>
            <w14:solidFill>
              <w14:schemeClr w14:val="tx1"/>
            </w14:solidFill>
          </w14:textFill>
        </w:rPr>
        <w:t>绿肺</w:t>
      </w:r>
      <w:r>
        <w:rPr>
          <w:rFonts w:hAnsi="方正仿宋_GBK" w:eastAsia="方正仿宋_GBK"/>
          <w:color w:val="000000" w:themeColor="text1"/>
          <w:sz w:val="32"/>
          <w:szCs w:val="32"/>
          <w14:textFill>
            <w14:solidFill>
              <w14:schemeClr w14:val="tx1"/>
            </w14:solidFill>
          </w14:textFill>
        </w:rPr>
        <w:t>”</w:t>
      </w:r>
      <w:r>
        <w:rPr>
          <w:rFonts w:hint="eastAsia" w:hAnsi="方正仿宋_GBK" w:eastAsia="方正仿宋_GBK"/>
          <w:color w:val="000000" w:themeColor="text1"/>
          <w:sz w:val="32"/>
          <w:szCs w:val="32"/>
          <w14:textFill>
            <w14:solidFill>
              <w14:schemeClr w14:val="tx1"/>
            </w14:solidFill>
          </w14:textFill>
        </w:rPr>
        <w:t>和天然屏障功能得到有效复苏，缙云山统筹实施生态环境修复提升、生态环道、生态搬迁异地迁建、三花石片区棚改、生态文化保护传承和民生保障等六大工程提升工程也初见成效，缙云山生态环道示范段2</w:t>
      </w:r>
      <w:r>
        <w:rPr>
          <w:rFonts w:hAnsi="方正仿宋_GBK" w:eastAsia="方正仿宋_GBK"/>
          <w:color w:val="000000" w:themeColor="text1"/>
          <w:sz w:val="32"/>
          <w:szCs w:val="32"/>
          <w14:textFill>
            <w14:solidFill>
              <w14:schemeClr w14:val="tx1"/>
            </w14:solidFill>
          </w14:textFill>
        </w:rPr>
        <w:t>020年</w:t>
      </w:r>
      <w:r>
        <w:rPr>
          <w:rFonts w:hint="eastAsia" w:hAnsi="方正仿宋_GBK" w:eastAsia="方正仿宋_GBK"/>
          <w:color w:val="000000" w:themeColor="text1"/>
          <w:sz w:val="32"/>
          <w:szCs w:val="32"/>
          <w14:textFill>
            <w14:solidFill>
              <w14:schemeClr w14:val="tx1"/>
            </w14:solidFill>
          </w14:textFill>
        </w:rPr>
        <w:t>底将建成投用，2</w:t>
      </w:r>
      <w:r>
        <w:rPr>
          <w:rFonts w:hAnsi="方正仿宋_GBK" w:eastAsia="方正仿宋_GBK"/>
          <w:color w:val="000000" w:themeColor="text1"/>
          <w:sz w:val="32"/>
          <w:szCs w:val="32"/>
          <w14:textFill>
            <w14:solidFill>
              <w14:schemeClr w14:val="tx1"/>
            </w14:solidFill>
          </w14:textFill>
        </w:rPr>
        <w:t>021年</w:t>
      </w:r>
      <w:r>
        <w:rPr>
          <w:rFonts w:hint="eastAsia" w:hAnsi="方正仿宋_GBK" w:eastAsia="方正仿宋_GBK"/>
          <w:color w:val="000000" w:themeColor="text1"/>
          <w:sz w:val="32"/>
          <w:szCs w:val="32"/>
          <w14:textFill>
            <w14:solidFill>
              <w14:schemeClr w14:val="tx1"/>
            </w14:solidFill>
          </w14:textFill>
        </w:rPr>
        <w:t>将全线贯通，串联起沿线的资源资产，实现产业提档升级，从而极大地提升和带动沿线老百姓增收致富；全国首个以“雨趣情怀”为主题的休闲旅游打卡地雨鸣涧水系景观提升工程预计2</w:t>
      </w:r>
      <w:r>
        <w:rPr>
          <w:rFonts w:hAnsi="方正仿宋_GBK" w:eastAsia="方正仿宋_GBK"/>
          <w:color w:val="000000" w:themeColor="text1"/>
          <w:sz w:val="32"/>
          <w:szCs w:val="32"/>
          <w14:textFill>
            <w14:solidFill>
              <w14:schemeClr w14:val="tx1"/>
            </w14:solidFill>
          </w14:textFill>
        </w:rPr>
        <w:t>021年</w:t>
      </w:r>
      <w:r>
        <w:rPr>
          <w:rFonts w:hint="eastAsia" w:hAnsi="方正仿宋_GBK" w:eastAsia="方正仿宋_GBK"/>
          <w:color w:val="000000" w:themeColor="text1"/>
          <w:sz w:val="32"/>
          <w:szCs w:val="32"/>
          <w14:textFill>
            <w14:solidFill>
              <w14:schemeClr w14:val="tx1"/>
            </w14:solidFill>
          </w14:textFill>
        </w:rPr>
        <w:t>建成开放，“巴山夜雨”名片再次擦亮，生态旅游目的地又平添雨趣情怀；而承载着老重庆人回忆的新北温泉公园也将在改造提升后于2</w:t>
      </w:r>
      <w:r>
        <w:rPr>
          <w:rFonts w:hAnsi="方正仿宋_GBK" w:eastAsia="方正仿宋_GBK"/>
          <w:color w:val="000000" w:themeColor="text1"/>
          <w:sz w:val="32"/>
          <w:szCs w:val="32"/>
          <w14:textFill>
            <w14:solidFill>
              <w14:schemeClr w14:val="tx1"/>
            </w14:solidFill>
          </w14:textFill>
        </w:rPr>
        <w:t>021年向</w:t>
      </w:r>
      <w:r>
        <w:rPr>
          <w:rFonts w:hint="eastAsia" w:hAnsi="方正仿宋_GBK" w:eastAsia="方正仿宋_GBK"/>
          <w:color w:val="000000" w:themeColor="text1"/>
          <w:sz w:val="32"/>
          <w:szCs w:val="32"/>
          <w14:textFill>
            <w14:solidFill>
              <w14:schemeClr w14:val="tx1"/>
            </w14:solidFill>
          </w14:textFill>
        </w:rPr>
        <w:t>市民免费开放，更多的市民将分享缙云山综合整治带来的生态“红利”。</w:t>
      </w:r>
    </w:p>
    <w:p w14:paraId="761C27FC">
      <w:pPr>
        <w:adjustRightInd w:val="0"/>
        <w:snapToGrid w:val="0"/>
        <w:spacing w:line="560" w:lineRule="exact"/>
        <w:ind w:firstLine="640"/>
        <w:rPr>
          <w:rFonts w:hAnsi="方正仿宋_GBK" w:eastAsia="方正仿宋_GBK"/>
          <w:color w:val="000000" w:themeColor="text1"/>
          <w:sz w:val="32"/>
          <w:szCs w:val="32"/>
          <w14:textFill>
            <w14:solidFill>
              <w14:schemeClr w14:val="tx1"/>
            </w14:solidFill>
          </w14:textFill>
        </w:rPr>
      </w:pPr>
      <w:r>
        <w:rPr>
          <w:rFonts w:hint="eastAsia" w:hAnsi="方正仿宋_GBK" w:eastAsia="方正仿宋_GBK"/>
          <w:color w:val="000000" w:themeColor="text1"/>
          <w:sz w:val="32"/>
          <w:szCs w:val="32"/>
          <w14:textFill>
            <w14:solidFill>
              <w14:schemeClr w14:val="tx1"/>
            </w14:solidFill>
          </w14:textFill>
        </w:rPr>
        <w:t>环境综合整治的同时，北碚区积极探索出保护生态和保障民生的新路子，建立利益联结机制：整合居民空置房屋，推进农家乐提档升级；对符合社保条件的居民全部办理社保，设置公益岗位，招聘原住民防火护林；同时鼓励搬下山的有劳动能力人员发挥其自身优势，通过参与培训，推荐其加入缙云山整治提升工作。对搬迁对象中的贫困户、低保户、困难党员、军属等群体，建立台账，搬迁后及时跟踪了解，及时关怀慰问，确保实现“两不愁三保障”。逐步走实了“生态美、产业兴、百姓富”的高质量发展之路，有了“颜值”+“气质”加持，“绿水青山”正在逐步变成“金山银山”。</w:t>
      </w:r>
    </w:p>
    <w:p w14:paraId="670B6CD8">
      <w:pPr>
        <w:adjustRightInd w:val="0"/>
        <w:snapToGrid w:val="0"/>
        <w:spacing w:before="100" w:beforeAutospacing="1"/>
        <w:ind w:firstLine="0" w:firstLineChars="0"/>
        <w:rPr>
          <w:rFonts w:hAnsi="方正仿宋_GBK" w:eastAsia="方正仿宋_GBK"/>
          <w:color w:val="000000" w:themeColor="text1"/>
          <w:sz w:val="32"/>
          <w:szCs w:val="32"/>
          <w14:textFill>
            <w14:solidFill>
              <w14:schemeClr w14:val="tx1"/>
            </w14:solidFill>
          </w14:textFill>
        </w:rPr>
      </w:pPr>
      <w:bookmarkStart w:id="36" w:name="_Hlk49175086"/>
      <w:r>
        <w:drawing>
          <wp:inline distT="0" distB="0" distL="0" distR="0">
            <wp:extent cx="2886075" cy="2370455"/>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907664" cy="2388187"/>
                    </a:xfrm>
                    <a:prstGeom prst="rect">
                      <a:avLst/>
                    </a:prstGeom>
                    <a:noFill/>
                    <a:ln>
                      <a:noFill/>
                    </a:ln>
                  </pic:spPr>
                </pic:pic>
              </a:graphicData>
            </a:graphic>
          </wp:inline>
        </w:drawing>
      </w:r>
      <w:r>
        <w:rPr>
          <w:rFonts w:hAnsi="方正仿宋_GBK" w:eastAsia="方正仿宋_GBK"/>
          <w:color w:val="000000" w:themeColor="text1"/>
          <w:sz w:val="32"/>
          <w:szCs w:val="32"/>
          <w14:textFill>
            <w14:solidFill>
              <w14:schemeClr w14:val="tx1"/>
            </w14:solidFill>
          </w14:textFill>
        </w:rPr>
        <w:drawing>
          <wp:inline distT="0" distB="0" distL="0" distR="0">
            <wp:extent cx="2818765" cy="2371090"/>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834064" cy="2383707"/>
                    </a:xfrm>
                    <a:prstGeom prst="rect">
                      <a:avLst/>
                    </a:prstGeom>
                    <a:noFill/>
                    <a:ln>
                      <a:noFill/>
                    </a:ln>
                  </pic:spPr>
                </pic:pic>
              </a:graphicData>
            </a:graphic>
          </wp:inline>
        </w:drawing>
      </w:r>
    </w:p>
    <w:p w14:paraId="1E35D851">
      <w:pPr>
        <w:autoSpaceDE w:val="0"/>
        <w:autoSpaceDN w:val="0"/>
        <w:adjustRightInd w:val="0"/>
        <w:snapToGrid w:val="0"/>
        <w:spacing w:after="156" w:afterLines="50"/>
        <w:jc w:val="center"/>
        <w:rPr>
          <w:rFonts w:ascii="Times New Roman" w:hAnsi="Times New Roman" w:eastAsia="方正仿宋_GBK" w:cs="Times New Roman"/>
          <w:b/>
          <w:bCs/>
          <w:sz w:val="24"/>
          <w:szCs w:val="24"/>
        </w:rPr>
      </w:pPr>
      <w:r>
        <w:rPr>
          <w:rFonts w:hint="eastAsia" w:ascii="Times New Roman" w:hAnsi="Times New Roman" w:eastAsia="方正仿宋_GBK" w:cs="Times New Roman"/>
          <w:b/>
          <w:bCs/>
          <w:sz w:val="24"/>
          <w:szCs w:val="24"/>
        </w:rPr>
        <w:t>图</w:t>
      </w:r>
      <w:r>
        <w:rPr>
          <w:rFonts w:ascii="Times New Roman" w:hAnsi="Times New Roman" w:eastAsia="方正仿宋_GBK" w:cs="Times New Roman"/>
          <w:b/>
          <w:bCs/>
          <w:sz w:val="24"/>
          <w:szCs w:val="24"/>
        </w:rPr>
        <w:t xml:space="preserve">9  </w:t>
      </w:r>
      <w:r>
        <w:rPr>
          <w:rFonts w:hint="eastAsia" w:ascii="Times New Roman" w:hAnsi="Times New Roman" w:eastAsia="方正仿宋_GBK" w:cs="Times New Roman"/>
          <w:b/>
          <w:bCs/>
          <w:sz w:val="24"/>
          <w:szCs w:val="24"/>
        </w:rPr>
        <w:t>雨鸣涧水系景观提升工程、生态环道景观效果图</w:t>
      </w:r>
    </w:p>
    <w:p w14:paraId="3D5BEAF3">
      <w:pPr>
        <w:spacing w:line="594"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r>
        <w:rPr>
          <w:rFonts w:hint="eastAsia" w:ascii="楷体" w:hAnsi="楷体" w:eastAsia="楷体" w:cs="Times New Roman"/>
          <w:bCs/>
          <w:sz w:val="32"/>
          <w:szCs w:val="32"/>
        </w:rPr>
        <w:t>两山转化经验</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r>
        <w:rPr>
          <w:rFonts w:hint="eastAsia" w:ascii="方正仿宋_GBK" w:hAnsi="Times New Roman" w:eastAsia="方正仿宋_GBK" w:cs="Times New Roman"/>
          <w:bCs/>
          <w:sz w:val="32"/>
          <w:szCs w:val="32"/>
        </w:rPr>
        <w:t>在过去很一长段时间，因紧邻城区、多头管理、发展受限等影响，缙云山长期存在着一场生存和生态之间拉锯战，缙云山保护区内村民一度“靠山吃山”，农家乐无序粗放发展，私搭乱建、违规经营“蚕食”林地，由此带来不少管理难题和生态“顽疾”，是我国部分自然保护地保护与民生矛盾的缩影。</w:t>
      </w:r>
      <w:r>
        <w:rPr>
          <w:rFonts w:ascii="Times New Roman" w:hAnsi="Times New Roman" w:eastAsia="方正仿宋_GBK" w:cs="Times New Roman"/>
          <w:bCs/>
          <w:sz w:val="32"/>
          <w:szCs w:val="32"/>
        </w:rPr>
        <w:t>2018年6月重庆市委、市政府以坚定的决心和有力的举措开展缙云山保护区环境综合整治，作为主战场的北碚区坚决扛起了生态文</w:t>
      </w:r>
      <w:r>
        <w:rPr>
          <w:rFonts w:hint="eastAsia" w:ascii="方正仿宋_GBK" w:hAnsi="Times New Roman" w:eastAsia="方正仿宋_GBK" w:cs="Times New Roman"/>
          <w:bCs/>
          <w:sz w:val="32"/>
          <w:szCs w:val="32"/>
        </w:rPr>
        <w:t>明建设和生态环境保护的政治责任，把缙云山生态环境保护和修复摆在重要位置，高标准、高质量推进完成了缙云山生态环境综合整治工作。一方面拆除保护区内违法建筑、科学系统修复生态，一方面创新推进生态搬迁，有序发展生态产业，走出了一条“保生态”与“保民生”双赢的绿色发展之路。重点生态功能区域如何实现“生态美、百姓富”，“又要绿水青山又要金山银山”在这个特大城市近郊的国家级自然保护区逐步破题。</w:t>
      </w:r>
    </w:p>
    <w:p w14:paraId="64FCFBB2">
      <w:pPr>
        <w:spacing w:line="594" w:lineRule="exact"/>
        <w:ind w:firstLine="643" w:firstLineChars="200"/>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pPr>
      <w:r>
        <w:rPr>
          <w:rFonts w:hint="eastAsia" w:ascii="方正仿宋_GBK" w:hAnsi="Times New Roman" w:eastAsia="方正仿宋_GBK" w:cs="Times New Roman"/>
          <w:b/>
          <w:bCs/>
          <w:color w:val="0D0D0D" w:themeColor="text1" w:themeTint="F2"/>
          <w:sz w:val="32"/>
          <w:szCs w:val="32"/>
          <w14:textFill>
            <w14:solidFill>
              <w14:schemeClr w14:val="tx1">
                <w14:lumMod w14:val="95000"/>
                <w14:lumOff w14:val="5000"/>
              </w14:schemeClr>
            </w14:solidFill>
          </w14:textFill>
        </w:rPr>
        <w:t>提高政治站位、深化保护思想认识。</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北碚区委、区政府把缙云山国家自然保护区综合整治工作作为重大政治任务来抓，</w:t>
      </w:r>
      <w:r>
        <w:rPr>
          <w:rFonts w:hint="eastAsia" w:ascii="Times New Roman" w:hAnsi="方正仿宋_GBK" w:eastAsia="方正仿宋_GBK"/>
          <w:color w:val="000000" w:themeColor="text1"/>
          <w:sz w:val="32"/>
          <w:szCs w:val="32"/>
          <w14:textFill>
            <w14:solidFill>
              <w14:schemeClr w14:val="tx1"/>
            </w14:solidFill>
          </w14:textFill>
        </w:rPr>
        <w:t>累计召开区委</w:t>
      </w:r>
      <w:r>
        <w:rPr>
          <w:rFonts w:ascii="Times New Roman" w:hAnsi="Times New Roman" w:eastAsia="方正仿宋_GBK" w:cs="Times New Roman"/>
          <w:color w:val="000000" w:themeColor="text1"/>
          <w:sz w:val="32"/>
          <w:szCs w:val="32"/>
          <w14:textFill>
            <w14:solidFill>
              <w14:schemeClr w14:val="tx1"/>
            </w14:solidFill>
          </w14:textFill>
        </w:rPr>
        <w:t>常委会和区政府常务会97次、综合整治领导小组会35次、专题会284次</w:t>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，形成了共抓缙云山整治的最大合力。</w:t>
      </w:r>
      <w:r>
        <w:rPr>
          <w:rFonts w:ascii="Times New Roman" w:hAnsi="Times New Roman" w:eastAsia="方正仿宋_GBK" w:cs="Times New Roman"/>
          <w:color w:val="000000" w:themeColor="text1"/>
          <w:sz w:val="32"/>
          <w:szCs w:val="32"/>
          <w14:textFill>
            <w14:solidFill>
              <w14:schemeClr w14:val="tx1"/>
            </w14:solidFill>
          </w14:textFill>
        </w:rPr>
        <w:t>采取“区领导包片、街镇领导包组、干部包户”，以及挂图作战、对标打表、清单销号等方式，全面推进问题整治。</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深入开展</w:t>
      </w:r>
      <w:r>
        <w:rPr>
          <w:rFonts w:hint="eastAsia" w:ascii="Times New Roman" w:hAnsi="Times New Roman" w:eastAsia="方正仿宋_GBK" w:cs="Times New Roman"/>
          <w:color w:val="0D0D0D" w:themeColor="text1" w:themeTint="F2"/>
          <w:sz w:val="32"/>
          <w:szCs w:val="32"/>
          <w:lang w:eastAsia="zh-CN"/>
          <w14:textFill>
            <w14:solidFill>
              <w14:schemeClr w14:val="tx1">
                <w14:lumMod w14:val="95000"/>
                <w14:lumOff w14:val="5000"/>
              </w14:schemeClr>
            </w14:solidFill>
          </w14:textFill>
        </w:rPr>
        <w:t>习近平生态文明思想</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“缙云山综合整治政策”等专题宣讲</w:t>
      </w:r>
      <w:r>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300余场，组织90余名人大代表和政协委员走村入户，发放缙云山综合整治宣传手册1.5万份，</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使“两山论”“两化路”深入人心，“生态优先、绿色发展”形成共识，保护生态环境成为自觉。</w:t>
      </w:r>
    </w:p>
    <w:p w14:paraId="35720588">
      <w:pPr>
        <w:spacing w:line="594" w:lineRule="exact"/>
        <w:ind w:firstLine="643" w:firstLineChars="200"/>
        <w:rPr>
          <w:rFonts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pPr>
      <w:r>
        <w:rPr>
          <w:rFonts w:hint="eastAsia" w:ascii="方正仿宋_GBK" w:hAnsi="Times New Roman" w:eastAsia="方正仿宋_GBK" w:cs="Times New Roman"/>
          <w:b/>
          <w:bCs/>
          <w:color w:val="0D0D0D" w:themeColor="text1" w:themeTint="F2"/>
          <w:sz w:val="32"/>
          <w:szCs w:val="32"/>
          <w14:textFill>
            <w14:solidFill>
              <w14:schemeClr w14:val="tx1">
                <w14:lumMod w14:val="95000"/>
                <w14:lumOff w14:val="5000"/>
              </w14:schemeClr>
            </w14:solidFill>
          </w14:textFill>
        </w:rPr>
        <w:t>坚持民生导向、问题导向推进整治。</w:t>
      </w:r>
      <w:r>
        <w:rPr>
          <w:rFonts w:hint="eastAsia" w:ascii="方正仿宋_GBK" w:hAnsi="Times New Roman" w:eastAsia="方正仿宋_GBK" w:cs="Times New Roman"/>
          <w:color w:val="0D0D0D" w:themeColor="text1" w:themeTint="F2"/>
          <w:sz w:val="32"/>
          <w:szCs w:val="32"/>
          <w14:textFill>
            <w14:solidFill>
              <w14:schemeClr w14:val="tx1">
                <w14:lumMod w14:val="95000"/>
                <w14:lumOff w14:val="5000"/>
              </w14:schemeClr>
            </w14:solidFill>
          </w14:textFill>
        </w:rPr>
        <w:t>围绕“完善配套、健全功能、改善环境、提升风貌”的总体思路，实施缙云山综合“净化、洁化、绿化、美化”</w:t>
      </w:r>
      <w:r>
        <w:rPr>
          <w:rFonts w:hint="eastAsia" w:ascii="方正仿宋_GBK" w:hAnsi="Times New Roman" w:eastAsia="方正仿宋_GBK" w:cs="Times New Roman"/>
          <w:color w:val="000000" w:themeColor="text1"/>
          <w:sz w:val="32"/>
          <w:szCs w:val="32"/>
          <w14:textFill>
            <w14:solidFill>
              <w14:schemeClr w14:val="tx1"/>
            </w14:solidFill>
          </w14:textFill>
        </w:rPr>
        <w:t>四大工程。</w:t>
      </w:r>
      <w:r>
        <w:rPr>
          <w:rFonts w:hint="eastAsia" w:ascii="Times New Roman" w:hAnsi="Times New Roman" w:eastAsia="方正仿宋_GBK" w:cs="Times New Roman"/>
          <w:color w:val="000000" w:themeColor="text1"/>
          <w:sz w:val="32"/>
          <w:szCs w:val="32"/>
          <w14:textFill>
            <w14:solidFill>
              <w14:schemeClr w14:val="tx1"/>
            </w14:solidFill>
          </w14:textFill>
        </w:rPr>
        <w:t>拆除云登酒店、金湖湾度假村等</w:t>
      </w:r>
      <w:r>
        <w:rPr>
          <w:rFonts w:ascii="Times New Roman" w:hAnsi="Times New Roman" w:eastAsia="方正仿宋_GBK" w:cs="Times New Roman"/>
          <w:color w:val="000000" w:themeColor="text1"/>
          <w:sz w:val="32"/>
          <w:szCs w:val="32"/>
          <w14:textFill>
            <w14:solidFill>
              <w14:schemeClr w14:val="tx1"/>
            </w14:solidFill>
          </w14:textFill>
        </w:rPr>
        <w:t>21处大体量建筑，累计拆除违法建筑8.8万平方米</w:t>
      </w:r>
      <w:r>
        <w:rPr>
          <w:rFonts w:hint="eastAsia" w:ascii="Times New Roman" w:hAnsi="Times New Roman" w:eastAsia="方正仿宋_GBK" w:cs="Times New Roman"/>
          <w:color w:val="000000" w:themeColor="text1"/>
          <w:sz w:val="32"/>
          <w:szCs w:val="32"/>
          <w14:textFill>
            <w14:solidFill>
              <w14:schemeClr w14:val="tx1"/>
            </w14:solidFill>
          </w14:textFill>
        </w:rPr>
        <w:t>。研究出台缙云山国家级自然保护区北碚辖区农家乐管理办法（试行）、农家乐规范提升标准、农家乐转产补偿或歇业补助方案，关停不符合经营条件的农家乐</w:t>
      </w:r>
      <w:r>
        <w:rPr>
          <w:rFonts w:ascii="Times New Roman" w:hAnsi="Times New Roman" w:eastAsia="方正仿宋_GBK" w:cs="Times New Roman"/>
          <w:color w:val="000000" w:themeColor="text1"/>
          <w:sz w:val="32"/>
          <w:szCs w:val="32"/>
          <w14:textFill>
            <w14:solidFill>
              <w14:schemeClr w14:val="tx1"/>
            </w14:solidFill>
          </w14:textFill>
        </w:rPr>
        <w:t>150余家，引导保护区试验区内的20户原住居民退出农家乐经营并搬出保护区。</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实施渝武高速缙云山出口至三花石综合整治工作，启动三花石区域棚改项目，推进缙云路沿线至缙云山景区大门生态保护工作。</w:t>
      </w:r>
    </w:p>
    <w:p w14:paraId="6AF37560">
      <w:pPr>
        <w:spacing w:line="594" w:lineRule="exact"/>
        <w:ind w:firstLine="643" w:firstLineChars="200"/>
        <w:rPr>
          <w:rFonts w:ascii="Times New Roman" w:hAnsi="方正仿宋_GBK" w:eastAsia="方正仿宋_GBK"/>
          <w:color w:val="000000" w:themeColor="text1"/>
          <w:sz w:val="32"/>
          <w:szCs w:val="32"/>
          <w14:textFill>
            <w14:solidFill>
              <w14:schemeClr w14:val="tx1"/>
            </w14:solidFill>
          </w14:textFill>
        </w:rPr>
      </w:pPr>
      <w:r>
        <w:rPr>
          <w:rFonts w:hint="eastAsia" w:ascii="方正仿宋_GBK" w:hAnsi="Times New Roman" w:eastAsia="方正仿宋_GBK" w:cs="Times New Roman"/>
          <w:b/>
          <w:bCs/>
          <w:color w:val="0D0D0D" w:themeColor="text1" w:themeTint="F2"/>
          <w:sz w:val="32"/>
          <w:szCs w:val="32"/>
          <w14:textFill>
            <w14:solidFill>
              <w14:schemeClr w14:val="tx1">
                <w14:lumMod w14:val="95000"/>
                <w14:lumOff w14:val="5000"/>
              </w14:schemeClr>
            </w14:solidFill>
          </w14:textFill>
        </w:rPr>
        <w:t>创新工作举措、实施生态搬迁试点。</w:t>
      </w:r>
      <w:r>
        <w:rPr>
          <w:rFonts w:hint="eastAsia" w:ascii="Times New Roman" w:hAnsi="Times New Roman" w:eastAsia="方正仿宋_GBK" w:cs="Times New Roman"/>
          <w:color w:val="0D0D0D" w:themeColor="text1" w:themeTint="F2"/>
          <w:sz w:val="32"/>
          <w:szCs w:val="32"/>
          <w14:textFill>
            <w14:solidFill>
              <w14:schemeClr w14:val="tx1">
                <w14:lumMod w14:val="95000"/>
                <w14:lumOff w14:val="5000"/>
              </w14:schemeClr>
            </w14:solidFill>
          </w14:textFill>
        </w:rPr>
        <w:t>为减轻缙云山生态环境承载压力，促进自然恢复和长效保护，增强山林生态系统稳定性，</w:t>
      </w:r>
      <w:r>
        <w:rPr>
          <w:rFonts w:hint="eastAsia" w:ascii="Times New Roman" w:hAnsi="Times New Roman" w:eastAsia="方正仿宋_GBK"/>
          <w:color w:val="000000" w:themeColor="text1"/>
          <w:sz w:val="32"/>
          <w:szCs w:val="32"/>
          <w14:textFill>
            <w14:solidFill>
              <w14:schemeClr w14:val="tx1"/>
            </w14:solidFill>
          </w14:textFill>
        </w:rPr>
        <w:t>出台了《北碚区缙云山国家级自然保护区生态搬迁试点实施方案》，将核心区、缓冲区内原住居民全部纳入生态搬迁范围；围绕</w:t>
      </w:r>
      <w:r>
        <w:rPr>
          <w:rFonts w:ascii="Times New Roman" w:hAnsi="Times New Roman" w:eastAsia="方正仿宋_GBK"/>
          <w:color w:val="000000" w:themeColor="text1"/>
          <w:sz w:val="32"/>
          <w:szCs w:val="32"/>
          <w14:textFill>
            <w14:solidFill>
              <w14:schemeClr w14:val="tx1"/>
            </w14:solidFill>
          </w14:textFill>
        </w:rPr>
        <w:t>“</w:t>
      </w:r>
      <w:r>
        <w:rPr>
          <w:rFonts w:hint="eastAsia" w:ascii="Times New Roman" w:hAnsi="Times New Roman" w:eastAsia="方正仿宋_GBK"/>
          <w:color w:val="000000" w:themeColor="text1"/>
          <w:sz w:val="32"/>
          <w:szCs w:val="32"/>
          <w14:textFill>
            <w14:solidFill>
              <w14:schemeClr w14:val="tx1"/>
            </w14:solidFill>
          </w14:textFill>
        </w:rPr>
        <w:t>搬得出、稳得住、能致富</w:t>
      </w:r>
      <w:r>
        <w:rPr>
          <w:rFonts w:ascii="Times New Roman" w:hAnsi="Times New Roman" w:eastAsia="方正仿宋_GBK"/>
          <w:color w:val="000000" w:themeColor="text1"/>
          <w:sz w:val="32"/>
          <w:szCs w:val="32"/>
          <w14:textFill>
            <w14:solidFill>
              <w14:schemeClr w14:val="tx1"/>
            </w14:solidFill>
          </w14:textFill>
        </w:rPr>
        <w:t>”</w:t>
      </w:r>
      <w:r>
        <w:rPr>
          <w:rFonts w:hint="eastAsia" w:ascii="Times New Roman" w:hAnsi="Times New Roman" w:eastAsia="方正仿宋_GBK"/>
          <w:color w:val="000000" w:themeColor="text1"/>
          <w:sz w:val="32"/>
          <w:szCs w:val="32"/>
          <w14:textFill>
            <w14:solidFill>
              <w14:schemeClr w14:val="tx1"/>
            </w14:solidFill>
          </w14:textFill>
        </w:rPr>
        <w:t>，整合各类资金</w:t>
      </w:r>
      <w:r>
        <w:rPr>
          <w:rFonts w:ascii="Times New Roman" w:hAnsi="Times New Roman" w:eastAsia="方正仿宋_GBK"/>
          <w:color w:val="000000" w:themeColor="text1"/>
          <w:sz w:val="32"/>
          <w:szCs w:val="32"/>
          <w14:textFill>
            <w14:solidFill>
              <w14:schemeClr w14:val="tx1"/>
            </w14:solidFill>
          </w14:textFill>
        </w:rPr>
        <w:t>1.1</w:t>
      </w:r>
      <w:r>
        <w:rPr>
          <w:rFonts w:hint="eastAsia" w:ascii="Times New Roman" w:hAnsi="Times New Roman" w:eastAsia="方正仿宋_GBK"/>
          <w:color w:val="000000" w:themeColor="text1"/>
          <w:sz w:val="32"/>
          <w:szCs w:val="32"/>
          <w14:textFill>
            <w14:solidFill>
              <w14:schemeClr w14:val="tx1"/>
            </w14:solidFill>
          </w14:textFill>
        </w:rPr>
        <w:t>亿元，通过搬迁补偿、异地迁建、生态赎买、纳入城镇社保体系、开通入学绿色通道、举办就业技能专题培训、增设公益服务岗位、建立利益联结机制等方式，引导帮助核心区、缓冲区</w:t>
      </w:r>
      <w:r>
        <w:rPr>
          <w:rFonts w:ascii="Times New Roman" w:hAnsi="Times New Roman" w:eastAsia="方正仿宋_GBK"/>
          <w:color w:val="000000" w:themeColor="text1"/>
          <w:sz w:val="32"/>
          <w:szCs w:val="32"/>
          <w14:textFill>
            <w14:solidFill>
              <w14:schemeClr w14:val="tx1"/>
            </w14:solidFill>
          </w14:textFill>
        </w:rPr>
        <w:t>203</w:t>
      </w:r>
      <w:r>
        <w:rPr>
          <w:rFonts w:hint="eastAsia" w:ascii="Times New Roman" w:hAnsi="Times New Roman" w:eastAsia="方正仿宋_GBK"/>
          <w:color w:val="000000" w:themeColor="text1"/>
          <w:sz w:val="32"/>
          <w:szCs w:val="32"/>
          <w14:textFill>
            <w14:solidFill>
              <w14:schemeClr w14:val="tx1"/>
            </w14:solidFill>
          </w14:textFill>
        </w:rPr>
        <w:t>户、</w:t>
      </w:r>
      <w:r>
        <w:rPr>
          <w:rFonts w:ascii="Times New Roman" w:hAnsi="Times New Roman" w:eastAsia="方正仿宋_GBK"/>
          <w:color w:val="000000" w:themeColor="text1"/>
          <w:sz w:val="32"/>
          <w:szCs w:val="32"/>
          <w14:textFill>
            <w14:solidFill>
              <w14:schemeClr w14:val="tx1"/>
            </w14:solidFill>
          </w14:textFill>
        </w:rPr>
        <w:t>520</w:t>
      </w:r>
      <w:r>
        <w:rPr>
          <w:rFonts w:hint="eastAsia" w:ascii="Times New Roman" w:hAnsi="Times New Roman" w:eastAsia="方正仿宋_GBK"/>
          <w:color w:val="000000" w:themeColor="text1"/>
          <w:sz w:val="32"/>
          <w:szCs w:val="32"/>
          <w14:textFill>
            <w14:solidFill>
              <w14:schemeClr w14:val="tx1"/>
            </w14:solidFill>
          </w14:textFill>
        </w:rPr>
        <w:t>名居民搬出自然保护区，</w:t>
      </w:r>
      <w:r>
        <w:rPr>
          <w:rFonts w:hint="eastAsia" w:ascii="Times New Roman" w:hAnsi="方正仿宋_GBK" w:eastAsia="方正仿宋_GBK"/>
          <w:color w:val="000000" w:themeColor="text1"/>
          <w:sz w:val="32"/>
          <w:szCs w:val="32"/>
          <w14:textFill>
            <w14:solidFill>
              <w14:schemeClr w14:val="tx1"/>
            </w14:solidFill>
          </w14:textFill>
        </w:rPr>
        <w:t>开创了生态搬迁的先河。</w:t>
      </w:r>
    </w:p>
    <w:p w14:paraId="3FB54576">
      <w:pPr>
        <w:spacing w:line="594" w:lineRule="exact"/>
        <w:ind w:firstLine="643"/>
        <w:rPr>
          <w:rFonts w:ascii="方正仿宋_GBK" w:hAnsi="方正仿宋_GBK" w:eastAsia="方正仿宋_GBK"/>
          <w:color w:val="000000" w:themeColor="text1"/>
          <w:sz w:val="32"/>
          <w:szCs w:val="32"/>
          <w14:textFill>
            <w14:solidFill>
              <w14:schemeClr w14:val="tx1"/>
            </w14:solidFill>
          </w14:textFill>
        </w:rPr>
      </w:pPr>
      <w:r>
        <w:rPr>
          <w:rFonts w:hint="eastAsia" w:ascii="方正仿宋_GBK" w:hAnsi="方正楷体_GBK" w:eastAsia="方正仿宋_GBK"/>
          <w:b/>
          <w:color w:val="000000" w:themeColor="text1"/>
          <w:sz w:val="32"/>
          <w:szCs w:val="32"/>
          <w14:textFill>
            <w14:solidFill>
              <w14:schemeClr w14:val="tx1"/>
            </w14:solidFill>
          </w14:textFill>
        </w:rPr>
        <w:t>夯实绿色本底、全力修复自然生态。</w:t>
      </w:r>
      <w:r>
        <w:rPr>
          <w:rFonts w:hint="eastAsia" w:hAnsi="方正仿宋_GBK" w:eastAsia="方正仿宋_GBK" w:cstheme="minorBidi"/>
          <w:color w:val="000000" w:themeColor="text1"/>
          <w:sz w:val="32"/>
          <w:szCs w:val="32"/>
          <w14:textFill>
            <w14:solidFill>
              <w14:schemeClr w14:val="tx1"/>
            </w14:solidFill>
          </w14:textFill>
        </w:rPr>
        <w:t>推进</w:t>
      </w:r>
      <w:r>
        <w:rPr>
          <w:rFonts w:hint="eastAsia" w:hAnsi="方正仿宋_GBK" w:eastAsia="方正仿宋_GBK"/>
          <w:color w:val="000000" w:themeColor="text1"/>
          <w:sz w:val="32"/>
          <w:szCs w:val="32"/>
          <w14:textFill>
            <w14:solidFill>
              <w14:schemeClr w14:val="tx1"/>
            </w14:solidFill>
          </w14:textFill>
        </w:rPr>
        <w:t>山水林田湖草系统治理，编制《重庆市缙云山国家级自然保护区生态保护与修复规划》，邀请生态和植物学专家，制定核心区、缓冲区等</w:t>
      </w:r>
      <w:r>
        <w:rPr>
          <w:rFonts w:eastAsia="方正仿宋_GBK"/>
          <w:color w:val="000000" w:themeColor="text1"/>
          <w:sz w:val="32"/>
          <w:szCs w:val="32"/>
          <w14:textFill>
            <w14:solidFill>
              <w14:schemeClr w14:val="tx1"/>
            </w14:solidFill>
          </w14:textFill>
        </w:rPr>
        <w:t>5</w:t>
      </w:r>
      <w:r>
        <w:rPr>
          <w:rFonts w:hint="eastAsia" w:hAnsi="方正仿宋_GBK" w:eastAsia="方正仿宋_GBK"/>
          <w:color w:val="000000" w:themeColor="text1"/>
          <w:sz w:val="32"/>
          <w:szCs w:val="32"/>
          <w14:textFill>
            <w14:solidFill>
              <w14:schemeClr w14:val="tx1"/>
            </w14:solidFill>
          </w14:textFill>
        </w:rPr>
        <w:t>个生态修复方案，因地制宜对</w:t>
      </w:r>
      <w:r>
        <w:rPr>
          <w:rFonts w:hint="eastAsia" w:eastAsia="方正仿宋_GBK"/>
          <w:color w:val="000000" w:themeColor="text1"/>
          <w:sz w:val="32"/>
          <w:szCs w:val="32"/>
          <w14:textFill>
            <w14:solidFill>
              <w14:schemeClr w14:val="tx1"/>
            </w14:solidFill>
          </w14:textFill>
        </w:rPr>
        <w:t>宅基地、承包地、撂荒地和</w:t>
      </w:r>
      <w:r>
        <w:rPr>
          <w:rFonts w:hint="eastAsia" w:hAnsi="方正仿宋_GBK" w:eastAsia="方正仿宋_GBK"/>
          <w:color w:val="000000" w:themeColor="text1"/>
          <w:sz w:val="32"/>
          <w:szCs w:val="32"/>
          <w14:textFill>
            <w14:solidFill>
              <w14:schemeClr w14:val="tx1"/>
            </w14:solidFill>
          </w14:textFill>
        </w:rPr>
        <w:t>拆除区域实施生态修复，</w:t>
      </w:r>
      <w:r>
        <w:rPr>
          <w:rFonts w:hint="eastAsia" w:eastAsia="方正仿宋_GBK"/>
          <w:color w:val="000000" w:themeColor="text1"/>
          <w:sz w:val="32"/>
          <w:szCs w:val="32"/>
          <w14:textFill>
            <w14:solidFill>
              <w14:schemeClr w14:val="tx1"/>
            </w14:solidFill>
          </w14:textFill>
        </w:rPr>
        <w:t>累计栽种乔木、灌木、草本植物</w:t>
      </w:r>
      <w:r>
        <w:rPr>
          <w:rFonts w:eastAsia="方正仿宋_GBK"/>
          <w:color w:val="000000" w:themeColor="text1"/>
          <w:sz w:val="32"/>
          <w:szCs w:val="32"/>
          <w14:textFill>
            <w14:solidFill>
              <w14:schemeClr w14:val="tx1"/>
            </w14:solidFill>
          </w14:textFill>
        </w:rPr>
        <w:t>86</w:t>
      </w:r>
      <w:r>
        <w:rPr>
          <w:rFonts w:hint="eastAsia" w:hAnsi="方正仿宋_GBK" w:eastAsia="方正仿宋_GBK"/>
          <w:color w:val="000000" w:themeColor="text1"/>
          <w:sz w:val="32"/>
          <w:szCs w:val="32"/>
          <w14:textFill>
            <w14:solidFill>
              <w14:schemeClr w14:val="tx1"/>
            </w14:solidFill>
          </w14:textFill>
        </w:rPr>
        <w:t>种、</w:t>
      </w:r>
      <w:r>
        <w:rPr>
          <w:rFonts w:eastAsia="方正仿宋_GBK"/>
          <w:bCs/>
          <w:color w:val="000000" w:themeColor="text1"/>
          <w:sz w:val="32"/>
          <w:szCs w:val="32"/>
          <w14:textFill>
            <w14:solidFill>
              <w14:schemeClr w14:val="tx1"/>
            </w14:solidFill>
          </w14:textFill>
        </w:rPr>
        <w:t>65.6</w:t>
      </w:r>
      <w:r>
        <w:rPr>
          <w:rFonts w:hint="eastAsia" w:hAnsi="方正仿宋_GBK" w:eastAsia="方正仿宋_GBK"/>
          <w:bCs/>
          <w:color w:val="000000" w:themeColor="text1"/>
          <w:sz w:val="32"/>
          <w:szCs w:val="32"/>
          <w14:textFill>
            <w14:solidFill>
              <w14:schemeClr w14:val="tx1"/>
            </w14:solidFill>
          </w14:textFill>
        </w:rPr>
        <w:t>万株（棵）</w:t>
      </w:r>
      <w:r>
        <w:rPr>
          <w:rFonts w:hint="eastAsia" w:hAnsi="方正仿宋_GBK" w:eastAsia="方正仿宋_GBK"/>
          <w:color w:val="000000" w:themeColor="text1"/>
          <w:sz w:val="32"/>
          <w:szCs w:val="32"/>
          <w14:textFill>
            <w14:solidFill>
              <w14:schemeClr w14:val="tx1"/>
            </w14:solidFill>
          </w14:textFill>
        </w:rPr>
        <w:t>，恢复水域</w:t>
      </w:r>
      <w:r>
        <w:rPr>
          <w:rFonts w:eastAsia="方正仿宋_GBK"/>
          <w:color w:val="000000" w:themeColor="text1"/>
          <w:sz w:val="32"/>
          <w:szCs w:val="32"/>
          <w14:textFill>
            <w14:solidFill>
              <w14:schemeClr w14:val="tx1"/>
            </w14:solidFill>
          </w14:textFill>
        </w:rPr>
        <w:t>1.79</w:t>
      </w:r>
      <w:r>
        <w:rPr>
          <w:rFonts w:hint="eastAsia" w:hAnsi="方正仿宋_GBK" w:eastAsia="方正仿宋_GBK"/>
          <w:color w:val="000000" w:themeColor="text1"/>
          <w:sz w:val="32"/>
          <w:szCs w:val="32"/>
          <w14:textFill>
            <w14:solidFill>
              <w14:schemeClr w14:val="tx1"/>
            </w14:solidFill>
          </w14:textFill>
        </w:rPr>
        <w:t>万平方米</w:t>
      </w:r>
      <w:r>
        <w:rPr>
          <w:rFonts w:hint="eastAsia" w:hAnsi="方正仿宋_GBK" w:eastAsia="方正仿宋_GBK"/>
          <w:bCs/>
          <w:color w:val="000000" w:themeColor="text1"/>
          <w:sz w:val="32"/>
          <w:szCs w:val="32"/>
          <w14:textFill>
            <w14:solidFill>
              <w14:schemeClr w14:val="tx1"/>
            </w14:solidFill>
          </w14:textFill>
        </w:rPr>
        <w:t>，</w:t>
      </w:r>
      <w:r>
        <w:rPr>
          <w:rFonts w:hint="eastAsia" w:hAnsi="方正仿宋_GBK" w:eastAsia="方正仿宋_GBK"/>
          <w:color w:val="000000" w:themeColor="text1"/>
          <w:sz w:val="32"/>
          <w:szCs w:val="32"/>
          <w14:textFill>
            <w14:solidFill>
              <w14:schemeClr w14:val="tx1"/>
            </w14:solidFill>
          </w14:textFill>
        </w:rPr>
        <w:t>修复生态</w:t>
      </w:r>
      <w:r>
        <w:rPr>
          <w:rFonts w:eastAsia="方正仿宋_GBK"/>
          <w:color w:val="000000" w:themeColor="text1"/>
          <w:sz w:val="32"/>
          <w:szCs w:val="32"/>
          <w14:textFill>
            <w14:solidFill>
              <w14:schemeClr w14:val="tx1"/>
            </w14:solidFill>
          </w14:textFill>
        </w:rPr>
        <w:t>2</w:t>
      </w:r>
      <w:r>
        <w:rPr>
          <w:rFonts w:hint="eastAsia" w:eastAsia="方正仿宋_GBK"/>
          <w:color w:val="000000" w:themeColor="text1"/>
          <w:sz w:val="32"/>
          <w:szCs w:val="32"/>
          <w14:textFill>
            <w14:solidFill>
              <w14:schemeClr w14:val="tx1"/>
            </w14:solidFill>
          </w14:textFill>
        </w:rPr>
        <w:t>2</w:t>
      </w:r>
      <w:r>
        <w:rPr>
          <w:rFonts w:hint="eastAsia" w:hAnsi="方正仿宋_GBK" w:eastAsia="方正仿宋_GBK"/>
          <w:color w:val="000000" w:themeColor="text1"/>
          <w:sz w:val="32"/>
          <w:szCs w:val="32"/>
          <w14:textFill>
            <w14:solidFill>
              <w14:schemeClr w14:val="tx1"/>
            </w14:solidFill>
          </w14:textFill>
        </w:rPr>
        <w:t>万平方米，</w:t>
      </w:r>
      <w:r>
        <w:rPr>
          <w:rFonts w:hint="eastAsia" w:ascii="方正仿宋_GBK" w:hAnsi="方正仿宋_GBK" w:eastAsia="方正仿宋_GBK"/>
          <w:color w:val="000000" w:themeColor="text1"/>
          <w:sz w:val="32"/>
          <w:szCs w:val="32"/>
          <w14:textFill>
            <w14:solidFill>
              <w14:schemeClr w14:val="tx1"/>
            </w14:solidFill>
          </w14:textFill>
        </w:rPr>
        <w:t>缙云山的</w:t>
      </w:r>
      <w:r>
        <w:rPr>
          <w:rFonts w:hint="eastAsia" w:ascii="方正仿宋_GBK" w:eastAsia="方正仿宋_GBK"/>
          <w:color w:val="000000" w:themeColor="text1"/>
          <w:sz w:val="32"/>
          <w:szCs w:val="32"/>
          <w14:textFill>
            <w14:solidFill>
              <w14:schemeClr w14:val="tx1"/>
            </w14:solidFill>
          </w14:textFill>
        </w:rPr>
        <w:t>“</w:t>
      </w:r>
      <w:r>
        <w:rPr>
          <w:rFonts w:hint="eastAsia" w:ascii="方正仿宋_GBK" w:hAnsi="方正仿宋_GBK" w:eastAsia="方正仿宋_GBK"/>
          <w:color w:val="000000" w:themeColor="text1"/>
          <w:sz w:val="32"/>
          <w:szCs w:val="32"/>
          <w14:textFill>
            <w14:solidFill>
              <w14:schemeClr w14:val="tx1"/>
            </w14:solidFill>
          </w14:textFill>
        </w:rPr>
        <w:t>绿肺</w:t>
      </w:r>
      <w:r>
        <w:rPr>
          <w:rFonts w:hint="eastAsia" w:ascii="方正仿宋_GBK" w:eastAsia="方正仿宋_GBK"/>
          <w:color w:val="000000" w:themeColor="text1"/>
          <w:sz w:val="32"/>
          <w:szCs w:val="32"/>
          <w14:textFill>
            <w14:solidFill>
              <w14:schemeClr w14:val="tx1"/>
            </w14:solidFill>
          </w14:textFill>
        </w:rPr>
        <w:t>”</w:t>
      </w:r>
      <w:r>
        <w:rPr>
          <w:rFonts w:hint="eastAsia" w:ascii="方正仿宋_GBK" w:hAnsi="方正仿宋_GBK" w:eastAsia="方正仿宋_GBK"/>
          <w:color w:val="000000" w:themeColor="text1"/>
          <w:sz w:val="32"/>
          <w:szCs w:val="32"/>
          <w14:textFill>
            <w14:solidFill>
              <w14:schemeClr w14:val="tx1"/>
            </w14:solidFill>
          </w14:textFill>
        </w:rPr>
        <w:t>和天然屏障功能得到有效复苏。</w:t>
      </w:r>
    </w:p>
    <w:p w14:paraId="3EF628D6">
      <w:pPr>
        <w:adjustRightInd w:val="0"/>
        <w:snapToGrid w:val="0"/>
        <w:ind w:firstLine="0" w:firstLineChars="0"/>
        <w:jc w:val="center"/>
        <w:rPr>
          <w:rFonts w:hAnsi="方正仿宋_GBK" w:eastAsia="方正仿宋_GBK"/>
          <w:color w:val="000000" w:themeColor="text1"/>
          <w:sz w:val="32"/>
          <w:szCs w:val="32"/>
          <w14:textFill>
            <w14:solidFill>
              <w14:schemeClr w14:val="tx1"/>
            </w14:solidFill>
          </w14:textFill>
        </w:rPr>
      </w:pPr>
      <w:r>
        <w:drawing>
          <wp:inline distT="0" distB="0" distL="0" distR="0">
            <wp:extent cx="5021580" cy="3167380"/>
            <wp:effectExtent l="0" t="0" r="762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026390" cy="3170351"/>
                    </a:xfrm>
                    <a:prstGeom prst="rect">
                      <a:avLst/>
                    </a:prstGeom>
                    <a:noFill/>
                    <a:ln>
                      <a:noFill/>
                    </a:ln>
                  </pic:spPr>
                </pic:pic>
              </a:graphicData>
            </a:graphic>
          </wp:inline>
        </w:drawing>
      </w:r>
    </w:p>
    <w:p w14:paraId="4A2DB281">
      <w:pPr>
        <w:autoSpaceDE w:val="0"/>
        <w:autoSpaceDN w:val="0"/>
        <w:adjustRightInd w:val="0"/>
        <w:snapToGrid w:val="0"/>
        <w:spacing w:after="156" w:afterLines="50"/>
        <w:jc w:val="center"/>
        <w:rPr>
          <w:rFonts w:ascii="Times New Roman" w:hAnsi="Times New Roman" w:eastAsia="方正仿宋_GBK" w:cs="Times New Roman"/>
          <w:b/>
          <w:bCs/>
          <w:sz w:val="24"/>
          <w:szCs w:val="24"/>
        </w:rPr>
      </w:pPr>
      <w:bookmarkStart w:id="37" w:name="_Hlk50453723"/>
      <w:r>
        <w:rPr>
          <w:rFonts w:hint="eastAsia" w:ascii="Times New Roman" w:hAnsi="Times New Roman" w:eastAsia="方正仿宋_GBK" w:cs="Times New Roman"/>
          <w:b/>
          <w:bCs/>
          <w:sz w:val="24"/>
          <w:szCs w:val="24"/>
        </w:rPr>
        <w:t>图</w:t>
      </w:r>
      <w:r>
        <w:rPr>
          <w:rFonts w:ascii="Times New Roman" w:hAnsi="Times New Roman" w:eastAsia="方正仿宋_GBK" w:cs="Times New Roman"/>
          <w:b/>
          <w:bCs/>
          <w:sz w:val="24"/>
          <w:szCs w:val="24"/>
        </w:rPr>
        <w:t>10</w:t>
      </w:r>
      <w:r>
        <w:rPr>
          <w:rFonts w:hint="eastAsia" w:ascii="Times New Roman" w:hAnsi="Times New Roman" w:eastAsia="方正仿宋_GBK" w:cs="Times New Roman"/>
          <w:b/>
          <w:bCs/>
          <w:sz w:val="24"/>
          <w:szCs w:val="24"/>
        </w:rPr>
        <w:t xml:space="preserve"> </w:t>
      </w:r>
      <w:r>
        <w:rPr>
          <w:rFonts w:ascii="Times New Roman" w:hAnsi="Times New Roman" w:eastAsia="方正仿宋_GBK" w:cs="Times New Roman"/>
          <w:b/>
          <w:bCs/>
          <w:sz w:val="24"/>
          <w:szCs w:val="24"/>
        </w:rPr>
        <w:t xml:space="preserve"> </w:t>
      </w:r>
      <w:r>
        <w:rPr>
          <w:rFonts w:hint="eastAsia" w:ascii="Times New Roman" w:hAnsi="Times New Roman" w:eastAsia="方正仿宋_GBK" w:cs="Times New Roman"/>
          <w:b/>
          <w:bCs/>
          <w:sz w:val="24"/>
          <w:szCs w:val="24"/>
        </w:rPr>
        <w:t>缙云山环境综合整治成效</w:t>
      </w:r>
    </w:p>
    <w:bookmarkEnd w:id="37"/>
    <w:p w14:paraId="0C313687">
      <w:pPr>
        <w:autoSpaceDE w:val="0"/>
        <w:autoSpaceDN w:val="0"/>
        <w:jc w:val="center"/>
        <w:rPr>
          <w:rFonts w:ascii="Times New Roman" w:hAnsi="Times New Roman" w:eastAsia="方正仿宋_GBK" w:cs="Times New Roman"/>
          <w:b/>
          <w:bCs/>
          <w:sz w:val="24"/>
          <w:szCs w:val="24"/>
        </w:rPr>
      </w:pPr>
      <w:r>
        <w:rPr>
          <w:rFonts w:hAnsi="方正仿宋_GBK" w:eastAsia="方正仿宋_GBK"/>
          <w:color w:val="000000" w:themeColor="text1"/>
          <w:sz w:val="32"/>
          <w:szCs w:val="32"/>
          <w14:textFill>
            <w14:solidFill>
              <w14:schemeClr w14:val="tx1"/>
            </w14:solidFill>
          </w14:textFill>
        </w:rPr>
        <w:drawing>
          <wp:inline distT="0" distB="0" distL="0" distR="0">
            <wp:extent cx="4943475" cy="316738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944443" cy="3168000"/>
                    </a:xfrm>
                    <a:prstGeom prst="rect">
                      <a:avLst/>
                    </a:prstGeom>
                    <a:noFill/>
                    <a:ln>
                      <a:noFill/>
                    </a:ln>
                  </pic:spPr>
                </pic:pic>
              </a:graphicData>
            </a:graphic>
          </wp:inline>
        </w:drawing>
      </w:r>
    </w:p>
    <w:p w14:paraId="312C5EC3">
      <w:pPr>
        <w:autoSpaceDE w:val="0"/>
        <w:autoSpaceDN w:val="0"/>
        <w:adjustRightInd w:val="0"/>
        <w:snapToGrid w:val="0"/>
        <w:spacing w:after="156" w:afterLines="50"/>
        <w:jc w:val="center"/>
        <w:rPr>
          <w:rFonts w:ascii="Times New Roman" w:hAnsi="Times New Roman" w:eastAsia="方正仿宋_GBK" w:cs="Times New Roman"/>
          <w:b/>
          <w:bCs/>
          <w:sz w:val="24"/>
          <w:szCs w:val="24"/>
        </w:rPr>
      </w:pPr>
      <w:r>
        <w:rPr>
          <w:rFonts w:hint="eastAsia" w:ascii="Times New Roman" w:hAnsi="Times New Roman" w:eastAsia="方正仿宋_GBK" w:cs="Times New Roman"/>
          <w:b/>
          <w:bCs/>
          <w:sz w:val="24"/>
          <w:szCs w:val="24"/>
        </w:rPr>
        <w:t>图</w:t>
      </w:r>
      <w:r>
        <w:rPr>
          <w:rFonts w:ascii="Times New Roman" w:hAnsi="Times New Roman" w:eastAsia="方正仿宋_GBK" w:cs="Times New Roman"/>
          <w:b/>
          <w:bCs/>
          <w:sz w:val="24"/>
          <w:szCs w:val="24"/>
        </w:rPr>
        <w:t>11</w:t>
      </w:r>
      <w:r>
        <w:rPr>
          <w:rFonts w:hint="eastAsia" w:ascii="Times New Roman" w:hAnsi="Times New Roman" w:eastAsia="方正仿宋_GBK" w:cs="Times New Roman"/>
          <w:b/>
          <w:bCs/>
          <w:sz w:val="24"/>
          <w:szCs w:val="24"/>
        </w:rPr>
        <w:t xml:space="preserve"> </w:t>
      </w:r>
      <w:r>
        <w:rPr>
          <w:rFonts w:ascii="Times New Roman" w:hAnsi="Times New Roman" w:eastAsia="方正仿宋_GBK" w:cs="Times New Roman"/>
          <w:b/>
          <w:bCs/>
          <w:sz w:val="24"/>
          <w:szCs w:val="24"/>
        </w:rPr>
        <w:t xml:space="preserve"> </w:t>
      </w:r>
      <w:r>
        <w:rPr>
          <w:rFonts w:hint="eastAsia" w:ascii="Times New Roman" w:hAnsi="Times New Roman" w:eastAsia="方正仿宋_GBK" w:cs="Times New Roman"/>
          <w:b/>
          <w:bCs/>
          <w:sz w:val="24"/>
          <w:szCs w:val="24"/>
        </w:rPr>
        <w:t>黛湖环境综合整治成效</w:t>
      </w:r>
    </w:p>
    <w:bookmarkEnd w:id="36"/>
    <w:p w14:paraId="2DA3191A">
      <w:pPr>
        <w:spacing w:line="594" w:lineRule="exact"/>
        <w:ind w:firstLine="643" w:firstLineChars="200"/>
        <w:outlineLvl w:val="2"/>
        <w:rPr>
          <w:rFonts w:ascii="Times New Roman" w:hAnsi="Times New Roman" w:eastAsia="方正仿宋_GBK" w:cs="Times New Roman"/>
          <w:b/>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
          <w:bCs/>
          <w:color w:val="0D0D0D" w:themeColor="text1" w:themeTint="F2"/>
          <w:sz w:val="32"/>
          <w:szCs w:val="32"/>
          <w14:textFill>
            <w14:solidFill>
              <w14:schemeClr w14:val="tx1">
                <w14:lumMod w14:val="95000"/>
                <w14:lumOff w14:val="5000"/>
              </w14:schemeClr>
            </w14:solidFill>
          </w14:textFill>
        </w:rPr>
        <w:t>2.守护嘉陵江水环境安全——水土生态城产城景融合发展</w:t>
      </w:r>
    </w:p>
    <w:p w14:paraId="5D305506">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hint="eastAsia" w:ascii="楷体" w:hAnsi="楷体" w:eastAsia="楷体" w:cs="Times New Roman"/>
          <w:bCs/>
          <w:sz w:val="32"/>
          <w:szCs w:val="32"/>
        </w:rPr>
        <w:t>【区域概况】</w:t>
      </w:r>
      <w:bookmarkStart w:id="38" w:name="_Hlk49177517"/>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bookmarkEnd w:id="38"/>
      <w:bookmarkStart w:id="39" w:name="_Hlk45449893"/>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水土高新技术产业园</w:t>
      </w:r>
      <w:bookmarkEnd w:id="39"/>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涵盖北碚区水土街道和复兴街道，于2</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010</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年8月1</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8</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日挂牌成立，规划面积约</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118平方公里</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，规划建设面积</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65.52平方公里</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，其中产业用地</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20平方公里，城市综合开发用地45.52平方公里</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，先后获批建设国家自主创新示范区、国家双创示范基地，是中新（</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重庆</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战略性互联互通示范项目、中国</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重庆</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自由贸易试验区和两江数字经济产业园核心区。</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近年来，园区围绕“以产兴城、以城促产、产城融合”的发展思路，一座宜居宜业宜游的国际化、现代化高新生态城正蓄势待发。</w:t>
      </w:r>
    </w:p>
    <w:p w14:paraId="76B9051A">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水土是唯一位于中部槽谷的高新技术开发园区，与主城核心区域无山脉阻隔、无河流阻碍，与中央公园、悦来、蔡家抱团发展、资源共享。园区内地势平坦，浅丘点缀，生态优良，嘉陵江环绕，竹溪河（黑水滩河）贯穿南北，中梁山、明月山相拥，构筑起园区绿色天然屏障，成就了其依山傍水的生态底图。水土高新技术产业园位于嘉陵江右岸，其下游分布有悦来水厂水源地、井口水厂水源地、梁沱水厂水源地等城市级饮用水水源地，应重点统筹园区产城景融合发展与下游嘉陵江水环境安全保障。</w:t>
      </w:r>
    </w:p>
    <w:p w14:paraId="045919D2">
      <w:pPr>
        <w:jc w:val="cente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drawing>
          <wp:inline distT="0" distB="0" distL="0" distR="0">
            <wp:extent cx="5335905" cy="3012440"/>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345647" cy="3017971"/>
                    </a:xfrm>
                    <a:prstGeom prst="rect">
                      <a:avLst/>
                    </a:prstGeom>
                    <a:noFill/>
                  </pic:spPr>
                </pic:pic>
              </a:graphicData>
            </a:graphic>
          </wp:inline>
        </w:drawing>
      </w:r>
    </w:p>
    <w:p w14:paraId="0B24F7C6">
      <w:pPr>
        <w:autoSpaceDE w:val="0"/>
        <w:autoSpaceDN w:val="0"/>
        <w:adjustRightInd w:val="0"/>
        <w:snapToGrid w:val="0"/>
        <w:spacing w:after="156" w:afterLines="50"/>
        <w:jc w:val="center"/>
        <w:rPr>
          <w:rFonts w:ascii="Times New Roman" w:hAnsi="Times New Roman" w:eastAsia="方正仿宋_GBK" w:cs="Times New Roman"/>
          <w:b/>
          <w:bCs/>
          <w:sz w:val="24"/>
          <w:szCs w:val="24"/>
        </w:rPr>
      </w:pPr>
      <w:r>
        <w:rPr>
          <w:rFonts w:hint="eastAsia" w:ascii="Times New Roman" w:hAnsi="Times New Roman" w:eastAsia="方正仿宋_GBK" w:cs="Times New Roman"/>
          <w:b/>
          <w:bCs/>
          <w:sz w:val="24"/>
          <w:szCs w:val="24"/>
        </w:rPr>
        <w:t>图</w:t>
      </w:r>
      <w:r>
        <w:rPr>
          <w:rFonts w:ascii="Times New Roman" w:hAnsi="Times New Roman" w:eastAsia="方正仿宋_GBK" w:cs="Times New Roman"/>
          <w:b/>
          <w:bCs/>
          <w:sz w:val="24"/>
          <w:szCs w:val="24"/>
        </w:rPr>
        <w:t>12</w:t>
      </w:r>
      <w:r>
        <w:rPr>
          <w:rFonts w:hint="eastAsia" w:ascii="Times New Roman" w:hAnsi="Times New Roman" w:eastAsia="方正仿宋_GBK" w:cs="Times New Roman"/>
          <w:b/>
          <w:bCs/>
          <w:sz w:val="24"/>
          <w:szCs w:val="24"/>
        </w:rPr>
        <w:t xml:space="preserve"> </w:t>
      </w:r>
      <w:r>
        <w:rPr>
          <w:rFonts w:ascii="Times New Roman" w:hAnsi="Times New Roman" w:eastAsia="方正仿宋_GBK" w:cs="Times New Roman"/>
          <w:b/>
          <w:bCs/>
          <w:sz w:val="24"/>
          <w:szCs w:val="24"/>
        </w:rPr>
        <w:t xml:space="preserve"> </w:t>
      </w:r>
      <w:r>
        <w:rPr>
          <w:rFonts w:hint="eastAsia" w:ascii="Times New Roman" w:hAnsi="Times New Roman" w:eastAsia="方正仿宋_GBK" w:cs="Times New Roman"/>
          <w:b/>
          <w:bCs/>
          <w:sz w:val="24"/>
          <w:szCs w:val="24"/>
        </w:rPr>
        <w:t>嘉陵江水土段</w:t>
      </w:r>
    </w:p>
    <w:p w14:paraId="71063BE8">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hint="eastAsia" w:ascii="华文楷体" w:hAnsi="华文楷体" w:eastAsia="华文楷体"/>
          <w:color w:val="0D0D0D" w:themeColor="text1" w:themeTint="F2"/>
          <w:sz w:val="32"/>
          <w:szCs w:val="32"/>
          <w14:textFill>
            <w14:solidFill>
              <w14:schemeClr w14:val="tx1">
                <w14:lumMod w14:val="95000"/>
                <w14:lumOff w14:val="5000"/>
              </w14:schemeClr>
            </w14:solidFill>
          </w14:textFill>
        </w:rPr>
        <w:t>【取得主要成效】</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水土集</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“山、水、江、河”</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自然禀赋与一身，嘉陵江环绕，竹溪河、后河穿行全域，正按照</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推窗见绿、出门见景、四季有花、全域4A</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标准建设山水城市。</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目前，水土区域规划公园</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17个，其中建成4个，在建8个，累计建成绿地200万平方米，绿地率达36%，绿化覆盖率达42%</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；园区新能源运营公交车占比</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95%以上，公共绿色照明占比达90%以上，2019年被工信部认定为</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“全国绿色园区”</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置身水土，城在林中、家在园中、人在绿中的生态美景随处可见，青山绿水成就了城市新的生态版图。每年新启动建设项目不少于</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40个，年最低投资不少于50亿元，从交通体系提升、商业氛围培养、城市功能提升等方面，打造智慧生态城市新样板，在水土基本建成智慧化、个性化安全化的交通，政务、城管、社区、医疗、教育等全方位的智慧城市框架，示范带动渝西、川东地区高质量发展。</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十年砥砺，水土园区已成功在重庆各大园区中脱颖而出，成为“从园变城”的成功案例和典型代表。</w:t>
      </w:r>
    </w:p>
    <w:p w14:paraId="50FC77EE">
      <w:pPr>
        <w:jc w:val="cente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drawing>
          <wp:inline distT="0" distB="0" distL="0" distR="0">
            <wp:extent cx="5334000" cy="23526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365648" cy="2366634"/>
                    </a:xfrm>
                    <a:prstGeom prst="rect">
                      <a:avLst/>
                    </a:prstGeom>
                    <a:noFill/>
                  </pic:spPr>
                </pic:pic>
              </a:graphicData>
            </a:graphic>
          </wp:inline>
        </w:drawing>
      </w:r>
    </w:p>
    <w:p w14:paraId="1B57C487">
      <w:pPr>
        <w:autoSpaceDE w:val="0"/>
        <w:autoSpaceDN w:val="0"/>
        <w:adjustRightInd w:val="0"/>
        <w:snapToGrid w:val="0"/>
        <w:spacing w:after="156" w:afterLines="50"/>
        <w:jc w:val="center"/>
        <w:rPr>
          <w:rFonts w:ascii="Times New Roman" w:hAnsi="Times New Roman" w:eastAsia="方正仿宋_GBK" w:cs="Times New Roman"/>
          <w:b/>
          <w:bCs/>
          <w:sz w:val="24"/>
          <w:szCs w:val="24"/>
        </w:rPr>
      </w:pPr>
      <w:bookmarkStart w:id="40" w:name="_Hlk50476830"/>
      <w:r>
        <w:rPr>
          <w:rFonts w:hint="eastAsia" w:ascii="Times New Roman" w:hAnsi="Times New Roman" w:eastAsia="方正仿宋_GBK" w:cs="Times New Roman"/>
          <w:b/>
          <w:bCs/>
          <w:sz w:val="24"/>
          <w:szCs w:val="24"/>
        </w:rPr>
        <w:t>图1</w:t>
      </w:r>
      <w:r>
        <w:rPr>
          <w:rFonts w:ascii="Times New Roman" w:hAnsi="Times New Roman" w:eastAsia="方正仿宋_GBK" w:cs="Times New Roman"/>
          <w:b/>
          <w:bCs/>
          <w:sz w:val="24"/>
          <w:szCs w:val="24"/>
        </w:rPr>
        <w:t xml:space="preserve">3 </w:t>
      </w:r>
      <w:r>
        <w:rPr>
          <w:rFonts w:hint="eastAsia" w:ascii="Times New Roman" w:hAnsi="Times New Roman" w:eastAsia="方正仿宋_GBK" w:cs="Times New Roman"/>
          <w:b/>
          <w:bCs/>
          <w:sz w:val="24"/>
          <w:szCs w:val="24"/>
        </w:rPr>
        <w:t>水土高新技术产业园</w:t>
      </w:r>
    </w:p>
    <w:bookmarkEnd w:id="40"/>
    <w:p w14:paraId="08C949BC">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r>
        <w:rPr>
          <w:rFonts w:hint="eastAsia" w:ascii="楷体" w:hAnsi="楷体" w:eastAsia="楷体" w:cs="Times New Roman"/>
          <w:bCs/>
          <w:sz w:val="32"/>
          <w:szCs w:val="32"/>
        </w:rPr>
        <w:t>两山转化经验</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：自成立以来，水土高新技术产业园全面践行“绿水青山就是金山银山”理念，按照“以产促城，以城兴产，产城融合”的可持续发展思路，以“两高三心”</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footnoteReference w:id="1"/>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为发展目标，在城市空间的规划上，利用山水交融、生态良好的自然禀赋，水土高新园充分按照“点、线、面”结合的方式，围绕竹溪河生态轴和山川脉络，精心规划建设立体景观长廊、勾勒生态画廊、布局主题公园，打造人居与景观互映的特色创意文旅项目，凸现“一方水土”的人文底蕴。精雕细刻基础设施，搭建</w:t>
      </w:r>
      <w:r>
        <w:rPr>
          <w:rFonts w:hint="eastAsia" w:ascii="Times New Roman" w:hAnsi="Times New Roman" w:eastAsia="方正仿宋_GBK" w:cs="Times New Roman"/>
          <w:bCs/>
          <w:sz w:val="32"/>
          <w:szCs w:val="32"/>
        </w:rPr>
        <w:t>高新</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产业框架，完善城市开发软环境。水土高新技术产业园从规划谋篇布局、基础设施建设、高新产业定位到“产城景融合推进”，均体现了全球视野与国际风范，历经十年的精心打磨，</w:t>
      </w:r>
      <w:r>
        <w:rPr>
          <w:rFonts w:hint="eastAsia" w:ascii="Times New Roman" w:hAnsi="Times New Roman" w:eastAsia="方正仿宋_GBK" w:cs="Times New Roman"/>
          <w:bCs/>
          <w:sz w:val="32"/>
          <w:szCs w:val="32"/>
        </w:rPr>
        <w:t>构筑起一座“产业与自然协调发展，城市与生态和谐</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共生”的现代高新生态城。</w:t>
      </w:r>
    </w:p>
    <w:p w14:paraId="08EA7B71">
      <w:pP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drawing>
          <wp:inline distT="0" distB="0" distL="0" distR="0">
            <wp:extent cx="2915920" cy="18719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916000" cy="1872000"/>
                    </a:xfrm>
                    <a:prstGeom prst="rect">
                      <a:avLst/>
                    </a:prstGeom>
                    <a:noFill/>
                  </pic:spPr>
                </pic:pic>
              </a:graphicData>
            </a:graphic>
          </wp:inline>
        </w:drawing>
      </w:r>
      <w:r>
        <w:drawing>
          <wp:inline distT="0" distB="0" distL="0" distR="0">
            <wp:extent cx="2647950" cy="1871345"/>
            <wp:effectExtent l="0" t="0" r="0" b="0"/>
            <wp:docPr id="6146" name="Picture 2" descr="https://timgsa.baidu.com/timg?image&amp;quality=80&amp;size=b9999_10000&amp;sec=1596462612960&amp;di=232c8beebabe3d4d9c745c042c3a395d&amp;imgtype=0&amp;src=http%3A%2F%2Fwww.fudandesign.com%2Fuploads%2Fallimg%2F170426%2F1-1F4261H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https://timgsa.baidu.com/timg?image&amp;quality=80&amp;size=b9999_10000&amp;sec=1596462612960&amp;di=232c8beebabe3d4d9c745c042c3a395d&amp;imgtype=0&amp;src=http%3A%2F%2Fwww.fudandesign.com%2Fuploads%2Fallimg%2F170426%2F1-1F4261H55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652839" cy="1874800"/>
                    </a:xfrm>
                    <a:prstGeom prst="rect">
                      <a:avLst/>
                    </a:prstGeom>
                    <a:noFill/>
                  </pic:spPr>
                </pic:pic>
              </a:graphicData>
            </a:graphic>
          </wp:inline>
        </w:drawing>
      </w:r>
    </w:p>
    <w:p w14:paraId="053A5C62">
      <w:pP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drawing>
          <wp:inline distT="0" distB="0" distL="0" distR="0">
            <wp:extent cx="2915920" cy="2015490"/>
            <wp:effectExtent l="0" t="0" r="0" b="3810"/>
            <wp:docPr id="14338" name="Picture 2" descr="https://timgsa.baidu.com/timg?image&amp;quality=80&amp;size=b9999_10000&amp;sec=1596466865101&amp;di=e9de5bc9bb3fd97453d60f32a3266d14&amp;imgtype=0&amp;src=http%3A%2F%2Ft8.baidu.com%2Fit%2Fu%3D2623481348%2C3518258023%26fm%3D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https://timgsa.baidu.com/timg?image&amp;quality=80&amp;size=b9999_10000&amp;sec=1596466865101&amp;di=e9de5bc9bb3fd97453d60f32a3266d14&amp;imgtype=0&amp;src=http%3A%2F%2Ft8.baidu.com%2Fit%2Fu%3D2623481348%2C3518258023%26fm%3D193"/>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916000" cy="2016000"/>
                    </a:xfrm>
                    <a:prstGeom prst="rect">
                      <a:avLst/>
                    </a:prstGeom>
                    <a:noFill/>
                  </pic:spPr>
                </pic:pic>
              </a:graphicData>
            </a:graphic>
          </wp:inline>
        </w:drawing>
      </w:r>
      <w:r>
        <w:drawing>
          <wp:inline distT="0" distB="0" distL="0" distR="0">
            <wp:extent cx="2695575" cy="2015490"/>
            <wp:effectExtent l="0" t="0" r="9525" b="3810"/>
            <wp:docPr id="14342" name="Picture 6" descr="https://timgsa.baidu.com/timg?image&amp;quality=80&amp;size=b9999_10000&amp;sec=1596466995797&amp;di=f0f7f7d0987b10750302bfc24fb9627b&amp;imgtype=0&amp;src=http%3A%2F%2Ft7.baidu.com%2Fit%2Fu%3D299468370%2C2458070214%26fm%3D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6" descr="https://timgsa.baidu.com/timg?image&amp;quality=80&amp;size=b9999_10000&amp;sec=1596466995797&amp;di=f0f7f7d0987b10750302bfc24fb9627b&amp;imgtype=0&amp;src=http%3A%2F%2Ft7.baidu.com%2Fit%2Fu%3D299468370%2C2458070214%26fm%3D19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695575" cy="2015490"/>
                    </a:xfrm>
                    <a:prstGeom prst="rect">
                      <a:avLst/>
                    </a:prstGeom>
                    <a:noFill/>
                  </pic:spPr>
                </pic:pic>
              </a:graphicData>
            </a:graphic>
          </wp:inline>
        </w:drawing>
      </w:r>
    </w:p>
    <w:p w14:paraId="263CABDC">
      <w:pPr>
        <w:autoSpaceDE w:val="0"/>
        <w:autoSpaceDN w:val="0"/>
        <w:adjustRightInd w:val="0"/>
        <w:snapToGrid w:val="0"/>
        <w:spacing w:after="156" w:afterLines="50"/>
        <w:jc w:val="center"/>
        <w:rPr>
          <w:rFonts w:ascii="Times New Roman" w:hAnsi="Times New Roman" w:eastAsia="方正仿宋_GBK" w:cs="Times New Roman"/>
          <w:b/>
          <w:bCs/>
          <w:sz w:val="24"/>
          <w:szCs w:val="24"/>
        </w:rPr>
      </w:pPr>
      <w:r>
        <w:rPr>
          <w:rFonts w:hint="eastAsia" w:ascii="Times New Roman" w:hAnsi="Times New Roman" w:eastAsia="方正仿宋_GBK" w:cs="Times New Roman"/>
          <w:b/>
          <w:bCs/>
          <w:sz w:val="24"/>
          <w:szCs w:val="24"/>
        </w:rPr>
        <w:t>图1</w:t>
      </w:r>
      <w:r>
        <w:rPr>
          <w:rFonts w:ascii="Times New Roman" w:hAnsi="Times New Roman" w:eastAsia="方正仿宋_GBK" w:cs="Times New Roman"/>
          <w:b/>
          <w:bCs/>
          <w:sz w:val="24"/>
          <w:szCs w:val="24"/>
        </w:rPr>
        <w:t xml:space="preserve">4 </w:t>
      </w:r>
      <w:r>
        <w:rPr>
          <w:rFonts w:hint="eastAsia" w:ascii="Times New Roman" w:hAnsi="Times New Roman" w:eastAsia="方正仿宋_GBK" w:cs="Times New Roman"/>
          <w:b/>
          <w:bCs/>
          <w:sz w:val="24"/>
          <w:szCs w:val="24"/>
        </w:rPr>
        <w:t>水土绿色生态样板城市建设</w:t>
      </w:r>
    </w:p>
    <w:p w14:paraId="30D96983">
      <w:pPr>
        <w:spacing w:line="594" w:lineRule="exact"/>
        <w:ind w:firstLine="643"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坚持绿色发展，造就高新产业开放高地。</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自建园以来，水土高新技术产业园始终坚守产业门槛底线、空间布局底线和生态保护底线，严格遵循产业定位、规划环评要求，严把产业项目准入审核关，杜绝高污染、高耗能企业落地。园区充分利用产业定位优势，不断创新“绿动力”、注入“绿动能”，围绕“芯屏器核网”全产业链和“云联数算用”要素集群，大力发展高新技术产业和新兴服务业，初步形成大数据及云计算服务、光电显示、半导体集成电路、生物制药及数字化医疗设备、机器人及智能装备制造等五个主导产业聚集区，成为中新（重庆）战略性互联互通示范项目、中国（重庆）自由贸易试验区和两江数字经济产业园核心区，书写高质量发展的“绿色答卷”。园区坚持把减量化、再利用、资源化原则贯穿到生产的各环节和全流程，积极推动绿色工厂、绿色园区建设，建成了首座燃气</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-蒸汽联合循环冷热电三联供综合清洁能源站</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。园区积极推进工业企业和水土污水处理厂水资源循环利用体系建设，结合嘉陵江、竹溪河水质目标要求和水资源保护要求，编制了《重庆市两江新区水土片区中水回用规划》，远期规划1</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0</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万立方米/天中水回用工程；完成了《重庆两江新区水土片区规划修编地表水环境影响专题论证》，明确了近、中、远期废水排放方案，提出了园区产业类型优化调整建议、基础设施优化调整建议、“三线一单”管控要求及水环境减缓措施等，有力指导园区产城景融合发展，保障嘉陵江水环境安全。</w:t>
      </w:r>
    </w:p>
    <w:p w14:paraId="1803D6C7">
      <w:pPr>
        <w:spacing w:line="594" w:lineRule="exact"/>
        <w:ind w:firstLine="643"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坚持创新驱动，引领高质量发展新时代。</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水土高新技术产业园始终将“创新”理念贯穿于管理、科技、党建等方方面面，以中科院重庆绿色智能技术研究院、中科院大学重庆学院为载体搭建创新平台，以国家机器人质量检测（重庆）中心、两江机器人研究院、两江新区半导体产学研基地、两江科技创新中心等为载体搭建研发平台，以盈田工谷、大地企业公园等为载体</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搭建孵化平台</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以中德（水土）智能制造产业园、中以（重庆两江）产业园</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为载体</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搭建载体平台</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在这些平台和载体的加</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持下，已形成具有特色鲜明的“创新平台＋研发平台＋孵化平台＋载体平台”发展模式，</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先后获批建设国家自主创新示范区、国家双创示范基地，创新驱动已成为水土高新技术产业园发展的最大引擎。</w:t>
      </w:r>
    </w:p>
    <w:p w14:paraId="069CCDB1">
      <w:pP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drawing>
          <wp:inline distT="0" distB="0" distL="0" distR="0">
            <wp:extent cx="2667000" cy="2051050"/>
            <wp:effectExtent l="0" t="0" r="0" b="635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l="25893"/>
                    <a:stretch>
                      <a:fillRect/>
                    </a:stretch>
                  </pic:blipFill>
                  <pic:spPr>
                    <a:xfrm>
                      <a:off x="0" y="0"/>
                      <a:ext cx="2674013" cy="2056937"/>
                    </a:xfrm>
                    <a:prstGeom prst="rect">
                      <a:avLst/>
                    </a:prstGeom>
                    <a:noFill/>
                  </pic:spPr>
                </pic:pic>
              </a:graphicData>
            </a:graphic>
          </wp:inline>
        </w:drawing>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 xml:space="preserve"> </w:t>
      </w:r>
      <w:r>
        <w:drawing>
          <wp:inline distT="0" distB="0" distL="0" distR="0">
            <wp:extent cx="2702560" cy="2051685"/>
            <wp:effectExtent l="0" t="0" r="254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702870" cy="2052000"/>
                    </a:xfrm>
                    <a:prstGeom prst="rect">
                      <a:avLst/>
                    </a:prstGeom>
                    <a:noFill/>
                    <a:ln>
                      <a:noFill/>
                    </a:ln>
                  </pic:spPr>
                </pic:pic>
              </a:graphicData>
            </a:graphic>
          </wp:inline>
        </w:drawing>
      </w:r>
    </w:p>
    <w:p w14:paraId="2B92EA96">
      <w:pPr>
        <w:autoSpaceDE w:val="0"/>
        <w:autoSpaceDN w:val="0"/>
        <w:adjustRightInd w:val="0"/>
        <w:snapToGrid w:val="0"/>
        <w:spacing w:after="156" w:afterLines="50"/>
        <w:jc w:val="center"/>
        <w:rPr>
          <w:rFonts w:ascii="Times New Roman" w:hAnsi="Times New Roman" w:eastAsia="方正仿宋_GBK" w:cs="Times New Roman"/>
          <w:b/>
          <w:bCs/>
          <w:sz w:val="24"/>
          <w:szCs w:val="24"/>
        </w:rPr>
      </w:pPr>
      <w:r>
        <w:rPr>
          <w:rFonts w:hint="eastAsia" w:ascii="Times New Roman" w:hAnsi="Times New Roman" w:eastAsia="方正仿宋_GBK" w:cs="Times New Roman"/>
          <w:b/>
          <w:bCs/>
          <w:sz w:val="24"/>
          <w:szCs w:val="24"/>
        </w:rPr>
        <w:t>图</w:t>
      </w:r>
      <w:r>
        <w:rPr>
          <w:rFonts w:ascii="Times New Roman" w:hAnsi="Times New Roman" w:eastAsia="方正仿宋_GBK" w:cs="Times New Roman"/>
          <w:b/>
          <w:bCs/>
          <w:sz w:val="24"/>
          <w:szCs w:val="24"/>
        </w:rPr>
        <w:t xml:space="preserve">15  </w:t>
      </w:r>
      <w:r>
        <w:rPr>
          <w:rFonts w:hint="eastAsia" w:ascii="Times New Roman" w:hAnsi="Times New Roman" w:eastAsia="方正仿宋_GBK" w:cs="Times New Roman"/>
          <w:b/>
          <w:bCs/>
          <w:sz w:val="24"/>
          <w:szCs w:val="24"/>
        </w:rPr>
        <w:t>水土园区创新产业发展</w:t>
      </w:r>
    </w:p>
    <w:p w14:paraId="729269BE">
      <w:pPr>
        <w:spacing w:line="594" w:lineRule="exact"/>
        <w:ind w:firstLine="643"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坚持规划引领，坚决守好绿色发展底线。</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自成立以来，园区按照“推窗见绿、出门见景、四季有花、全域</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4A</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标准</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持续开展“绿满水土”行动，充分利用山水交融、生态良好的自然禀赋，按照“点、线、面”结合的方式，围绕竹溪河生态轴和中梁山、明月山等山川脉络，精心规划建设立体景观长廊、勾勒生态画廊、布局主题公园，打造产业与城市共触、人居与景观互映的特色创意文旅项目，城在林中、家在园中、人在绿中的生态美景随处可见。</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先后累计投入超过30亿元，建设绿地432万平方米，规划建设公园17个</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水土老街、大地孝节牌坊、复兴逊敏书院、文峰白塔等一批文物古迹得到全面保护，两江机器人展示中心、两江云计算服务中心及方正大道、云汉大道、悦复大道生态观光长廊和竹溪河景观一期等文旅项目正成为吸引市民打卡的“高颜值”对象。2</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019</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年</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被全国绿化委员会授</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予“全国绿化模范单位”。</w:t>
      </w:r>
    </w:p>
    <w:p w14:paraId="1407AAFE">
      <w:pPr>
        <w:jc w:val="cente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drawing>
          <wp:inline distT="0" distB="0" distL="0" distR="0">
            <wp:extent cx="5105400" cy="3126740"/>
            <wp:effectExtent l="0" t="0" r="0" b="0"/>
            <wp:docPr id="82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114834" cy="3132731"/>
                    </a:xfrm>
                    <a:prstGeom prst="rect">
                      <a:avLst/>
                    </a:prstGeom>
                    <a:noFill/>
                  </pic:spPr>
                </pic:pic>
              </a:graphicData>
            </a:graphic>
          </wp:inline>
        </w:drawing>
      </w:r>
    </w:p>
    <w:p w14:paraId="771E9F2B">
      <w:pPr>
        <w:autoSpaceDE w:val="0"/>
        <w:autoSpaceDN w:val="0"/>
        <w:adjustRightInd w:val="0"/>
        <w:snapToGrid w:val="0"/>
        <w:spacing w:after="156" w:afterLines="50"/>
        <w:jc w:val="center"/>
        <w:rPr>
          <w:rFonts w:ascii="Times New Roman" w:hAnsi="Times New Roman" w:eastAsia="方正仿宋_GBK" w:cs="Times New Roman"/>
          <w:b/>
          <w:bCs/>
          <w:sz w:val="24"/>
          <w:szCs w:val="24"/>
        </w:rPr>
      </w:pPr>
      <w:r>
        <w:rPr>
          <w:rFonts w:hint="eastAsia" w:ascii="Times New Roman" w:hAnsi="Times New Roman" w:eastAsia="方正仿宋_GBK" w:cs="Times New Roman"/>
          <w:b/>
          <w:bCs/>
          <w:sz w:val="24"/>
          <w:szCs w:val="24"/>
        </w:rPr>
        <w:t>图</w:t>
      </w:r>
      <w:r>
        <w:rPr>
          <w:rFonts w:ascii="Times New Roman" w:hAnsi="Times New Roman" w:eastAsia="方正仿宋_GBK" w:cs="Times New Roman"/>
          <w:b/>
          <w:bCs/>
          <w:sz w:val="24"/>
          <w:szCs w:val="24"/>
        </w:rPr>
        <w:t xml:space="preserve">16  </w:t>
      </w:r>
      <w:r>
        <w:rPr>
          <w:rFonts w:hint="eastAsia" w:ascii="Times New Roman" w:hAnsi="Times New Roman" w:eastAsia="方正仿宋_GBK" w:cs="Times New Roman"/>
          <w:b/>
          <w:bCs/>
          <w:sz w:val="24"/>
          <w:szCs w:val="24"/>
        </w:rPr>
        <w:t>水土园区竹溪河生态轴示意图</w:t>
      </w:r>
    </w:p>
    <w:p w14:paraId="0121C61D">
      <w:pPr>
        <w:spacing w:line="594" w:lineRule="exact"/>
        <w:ind w:firstLine="643" w:firstLineChars="200"/>
        <w:outlineLvl w:val="2"/>
        <w:rPr>
          <w:rFonts w:ascii="Times New Roman" w:hAnsi="Times New Roman" w:eastAsia="方正仿宋_GBK" w:cs="Times New Roman"/>
          <w:b/>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
          <w:bCs/>
          <w:color w:val="0D0D0D" w:themeColor="text1" w:themeTint="F2"/>
          <w:sz w:val="32"/>
          <w:szCs w:val="32"/>
          <w14:textFill>
            <w14:solidFill>
              <w14:schemeClr w14:val="tx1">
                <w14:lumMod w14:val="95000"/>
                <w14:lumOff w14:val="5000"/>
              </w14:schemeClr>
            </w14:solidFill>
          </w14:textFill>
        </w:rPr>
        <w:t>3.筑牢绿色生态本底——江东片区生态屏障保护与乡村振兴</w:t>
      </w:r>
    </w:p>
    <w:p w14:paraId="2C5E5F07">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hint="eastAsia" w:ascii="楷体" w:hAnsi="楷体" w:eastAsia="楷体" w:cs="Times New Roman"/>
          <w:bCs/>
          <w:sz w:val="32"/>
          <w:szCs w:val="32"/>
        </w:rPr>
        <w:t>【区域概况】</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：上世纪卢作孚先生</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在北碚农村地区开展</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了</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20多年的乡村建设运动</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，其在“乡村现代化”建设和乡村治理实践过程中所取得的实践经验</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对今天依然有着重要的启示和积极的借鉴意义</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北碚区自西向东分布有云雾山、缙云山、中梁山、龙王山洞四条山脉，形成天然生态屏障，生态重要性突出。北碚区江东片区乡村与农业资源丰富，有江东生态农业科技产业示范园，有西山坪苓茏苑景区、天宫村花木产业基地、静观花卉苗木基地等产业基地，有静观镇素心村、澄江镇北泉村、柳荫镇东升村等美丽乡村示范村、乡村振兴文化示范村，置身于田野乡村，处处都能感受到现代都市农业发展的勃勃生机。</w:t>
      </w:r>
    </w:p>
    <w:p w14:paraId="699F14EE">
      <w:pPr>
        <w:jc w:val="cente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drawing>
          <wp:inline distT="0" distB="0" distL="0" distR="0">
            <wp:extent cx="5723890" cy="3133725"/>
            <wp:effectExtent l="0" t="0" r="0" b="9525"/>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33">
                      <a:extLst>
                        <a:ext uri="{28A0092B-C50C-407E-A947-70E740481C1C}">
                          <a14:useLocalDpi xmlns:a14="http://schemas.microsoft.com/office/drawing/2010/main" val="0"/>
                        </a:ext>
                      </a:extLst>
                    </a:blip>
                    <a:srcRect b="2988"/>
                    <a:stretch>
                      <a:fillRect/>
                    </a:stretch>
                  </pic:blipFill>
                  <pic:spPr>
                    <a:xfrm>
                      <a:off x="0" y="0"/>
                      <a:ext cx="5723890" cy="3133725"/>
                    </a:xfrm>
                    <a:prstGeom prst="rect">
                      <a:avLst/>
                    </a:prstGeom>
                    <a:ln>
                      <a:noFill/>
                    </a:ln>
                  </pic:spPr>
                </pic:pic>
              </a:graphicData>
            </a:graphic>
          </wp:inline>
        </w:drawing>
      </w:r>
    </w:p>
    <w:p w14:paraId="2A69EAAE">
      <w:pPr>
        <w:autoSpaceDE w:val="0"/>
        <w:autoSpaceDN w:val="0"/>
        <w:adjustRightInd w:val="0"/>
        <w:snapToGrid w:val="0"/>
        <w:spacing w:after="156" w:afterLines="50"/>
        <w:jc w:val="center"/>
        <w:rPr>
          <w:rFonts w:ascii="Times New Roman" w:hAnsi="Times New Roman" w:eastAsia="方正仿宋_GBK" w:cs="Times New Roman"/>
          <w:b/>
          <w:bCs/>
          <w:sz w:val="24"/>
          <w:szCs w:val="24"/>
        </w:rPr>
      </w:pPr>
      <w:r>
        <w:rPr>
          <w:rFonts w:hint="eastAsia" w:ascii="Times New Roman" w:hAnsi="Times New Roman" w:eastAsia="方正仿宋_GBK" w:cs="Times New Roman"/>
          <w:b/>
          <w:bCs/>
          <w:sz w:val="24"/>
          <w:szCs w:val="24"/>
        </w:rPr>
        <w:t>图</w:t>
      </w:r>
      <w:r>
        <w:rPr>
          <w:rFonts w:ascii="Times New Roman" w:hAnsi="Times New Roman" w:eastAsia="方正仿宋_GBK" w:cs="Times New Roman"/>
          <w:b/>
          <w:bCs/>
          <w:sz w:val="24"/>
          <w:szCs w:val="24"/>
        </w:rPr>
        <w:t xml:space="preserve">17  </w:t>
      </w:r>
      <w:r>
        <w:rPr>
          <w:rFonts w:hint="eastAsia" w:ascii="Times New Roman" w:hAnsi="Times New Roman" w:eastAsia="方正仿宋_GBK" w:cs="Times New Roman"/>
          <w:b/>
          <w:bCs/>
          <w:sz w:val="24"/>
          <w:szCs w:val="24"/>
        </w:rPr>
        <w:t>江东片区山水美景</w:t>
      </w:r>
    </w:p>
    <w:p w14:paraId="66E93D98">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hint="eastAsia" w:ascii="华文楷体" w:hAnsi="华文楷体" w:eastAsia="华文楷体"/>
          <w:color w:val="0D0D0D" w:themeColor="text1" w:themeTint="F2"/>
          <w:sz w:val="32"/>
          <w:szCs w:val="32"/>
          <w14:textFill>
            <w14:solidFill>
              <w14:schemeClr w14:val="tx1">
                <w14:lumMod w14:val="95000"/>
                <w14:lumOff w14:val="5000"/>
              </w14:schemeClr>
            </w14:solidFill>
          </w14:textFill>
        </w:rPr>
        <w:t>【取得主要成效】</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：北碚区始终坚持以生态产业振兴美丽乡村，农业产业结构持续深度调整，全区以特色效益农业为抓手，</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大力发展花卉苗木、蔬菜、水果等</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，成功打造“</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1086”工程（即10万亩蔬菜、8万亩花木、6万亩经果林）</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等</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特色高效山地农业</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；现代都市农业稳步发展，孕育了“北碚</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447</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锦橙、诗进葡萄、静观奇峰葡萄、金刀峡邦盛蓝莓、澄江沃柑、西山坪红心猕猴桃、学伦冬枣等地域特色水果品牌</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；深化农旅融合打造休闲农业品牌，相继打造了</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40个休闲农业公园，创建了1个全国休闲农业与乡村旅游示范点，3个市级示范点。北碚澄江镇北泉村被农业部评为2017年中国美丽休闲乡村，静观镇则入选全国农业产业强镇示范建设名单，西山坪片区被评为2018年全市农旅融合示范区，乡村旅游已然成为北碚休闲度假旅游业一张闪亮的名片。</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2</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019</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年</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休闲农业年接待游客人数达180万人次，营业收入达2亿元。</w:t>
      </w:r>
    </w:p>
    <w:p w14:paraId="3F86B968">
      <w:pPr>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drawing>
          <wp:inline distT="0" distB="0" distL="0" distR="0">
            <wp:extent cx="4963160" cy="3307080"/>
            <wp:effectExtent l="0" t="0" r="8890" b="7620"/>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4963746" cy="3307096"/>
                    </a:xfrm>
                    <a:prstGeom prst="rect">
                      <a:avLst/>
                    </a:prstGeom>
                    <a:noFill/>
                  </pic:spPr>
                </pic:pic>
              </a:graphicData>
            </a:graphic>
          </wp:inline>
        </w:drawing>
      </w:r>
    </w:p>
    <w:p w14:paraId="64E6B82E">
      <w:pPr>
        <w:autoSpaceDE w:val="0"/>
        <w:autoSpaceDN w:val="0"/>
        <w:adjustRightInd w:val="0"/>
        <w:snapToGrid w:val="0"/>
        <w:spacing w:after="156" w:afterLines="50"/>
        <w:jc w:val="center"/>
        <w:rPr>
          <w:rFonts w:ascii="Times New Roman" w:hAnsi="Times New Roman" w:eastAsia="方正仿宋_GBK" w:cs="Times New Roman"/>
          <w:b/>
          <w:bCs/>
          <w:sz w:val="24"/>
          <w:szCs w:val="24"/>
        </w:rPr>
      </w:pPr>
      <w:r>
        <w:rPr>
          <w:rFonts w:hint="eastAsia" w:ascii="Times New Roman" w:hAnsi="Times New Roman" w:eastAsia="方正仿宋_GBK" w:cs="Times New Roman"/>
          <w:b/>
          <w:bCs/>
          <w:sz w:val="24"/>
          <w:szCs w:val="24"/>
        </w:rPr>
        <w:t>图1</w:t>
      </w:r>
      <w:r>
        <w:rPr>
          <w:rFonts w:ascii="Times New Roman" w:hAnsi="Times New Roman" w:eastAsia="方正仿宋_GBK" w:cs="Times New Roman"/>
          <w:b/>
          <w:bCs/>
          <w:sz w:val="24"/>
          <w:szCs w:val="24"/>
        </w:rPr>
        <w:t xml:space="preserve">8  </w:t>
      </w:r>
      <w:r>
        <w:rPr>
          <w:rFonts w:hint="eastAsia" w:ascii="Times New Roman" w:hAnsi="Times New Roman" w:eastAsia="方正仿宋_GBK" w:cs="Times New Roman"/>
          <w:b/>
          <w:bCs/>
          <w:sz w:val="24"/>
          <w:szCs w:val="24"/>
        </w:rPr>
        <w:t>江东片区美丽乡村</w:t>
      </w:r>
    </w:p>
    <w:p w14:paraId="27F3CD43">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r>
        <w:rPr>
          <w:rFonts w:hint="eastAsia" w:ascii="楷体" w:hAnsi="楷体" w:eastAsia="楷体" w:cs="Times New Roman"/>
          <w:bCs/>
          <w:sz w:val="32"/>
          <w:szCs w:val="32"/>
        </w:rPr>
        <w:t>两山转化经验</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党的十九大以来，北碚区按照产业兴旺、生态宜居、乡风文明、治理有效、生活富裕的总要求，大力实施乡村振兴战略，统筹推动脱贫攻坚和乡村振兴有效融合，围绕打造“高颜值、微度假”休闲度假旅游目的地这一中心目标，充分发挥都市现代农业的生产、生活、生态功能，着力将农村建设成为宜居、宜业、宜游的大美乡村，全力推进都市现代农业与旅游业的深度融合，促进农村产业兴、生态美、百姓富，同时为城市市民提供休闲、体验、度假的优美空间。</w:t>
      </w:r>
    </w:p>
    <w:p w14:paraId="67AD05C9">
      <w:pPr>
        <w:spacing w:line="594" w:lineRule="exact"/>
        <w:ind w:firstLine="643"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推进农村人居环境，描绘生态文明新画卷。</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北碚区坚持把农村人居环境整治作为实施乡村振兴战略的第一场‘硬仗’，摆在优先位置，全力打好治厕、治污、治房、治路、治废、治风的‘六治’组合拳，通过大力建设“四好农村路”、乡村旅游公路、入户便道、农村危房改造和旧房整治提升、农村水利建设、“村庄绿化”工程、“村庄亮化”工程、生活垃圾分类示范村建设、农村“厕所革命”等“三农”领域基础设施补短板项目，持续推动以“三清一改”村庄清洁行动，深入开展农村人居环境整治月主题活动，深入开展“清洁农户”评比、“最美院落”评选活动，实施美丽乡村·生态家园试点，指导各休闲农业园开展环境综合整治，有效改善农村生产、生活、生态环境，切实增强农民群众的获得感、幸福感。</w:t>
      </w:r>
    </w:p>
    <w:p w14:paraId="79CDE823">
      <w:pPr>
        <w:spacing w:line="594" w:lineRule="exact"/>
        <w:ind w:firstLine="643"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提升农业发展品质，发展特色效益农业。</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持续深度推进特色效益农业发展，突出农业产业“</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1086</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工程（即10万亩蔬菜、8万亩花木、6万亩经果林），</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大力发展设施蔬菜、精品蔬菜和错季蔬菜，加强优质柑橘、杨梅、葡萄、红心猕猴桃、蓝莓特色经果林产业基地建设，特色效益农业产值达</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95%</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。持续加强农业产业项目建设，积极实施乡村振兴示范镇、村产业项目、农业产业发展资金项目、土地宜机化整治项目、产业扶贫项目，推动农业产业标准化基地、科技示范基地、</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扶贫产业基地</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建设</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坚持实施实施农业品牌战略，现有农业产业基础，全力保护好“中国花木之乡”“中国</w:t>
      </w:r>
      <w:bookmarkStart w:id="41" w:name="_Hlk50310649"/>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腊梅</w:t>
      </w:r>
      <w:bookmarkEnd w:id="41"/>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之乡”品牌，重点抓好腊梅鲜切花、腊梅系列加工产品、小型盆栽、三圣和金刀峡手工面、天润豆干、时令果蔬等农特产品的宣传和包装。</w:t>
      </w:r>
    </w:p>
    <w:p w14:paraId="7F8D619C">
      <w:pPr>
        <w:jc w:val="cente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drawing>
          <wp:inline distT="0" distB="0" distL="0" distR="0">
            <wp:extent cx="4831080" cy="3300730"/>
            <wp:effectExtent l="0" t="0" r="7620" b="0"/>
            <wp:docPr id="133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2"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851889" cy="3315461"/>
                    </a:xfrm>
                    <a:prstGeom prst="rect">
                      <a:avLst/>
                    </a:prstGeom>
                    <a:noFill/>
                  </pic:spPr>
                </pic:pic>
              </a:graphicData>
            </a:graphic>
          </wp:inline>
        </w:drawing>
      </w:r>
    </w:p>
    <w:p w14:paraId="6AD716B6">
      <w:pPr>
        <w:autoSpaceDE w:val="0"/>
        <w:autoSpaceDN w:val="0"/>
        <w:adjustRightInd w:val="0"/>
        <w:snapToGrid w:val="0"/>
        <w:spacing w:after="156" w:afterLines="50"/>
        <w:jc w:val="center"/>
        <w:rPr>
          <w:rFonts w:ascii="Times New Roman" w:hAnsi="Times New Roman" w:eastAsia="方正仿宋_GBK" w:cs="Times New Roman"/>
          <w:b/>
          <w:bCs/>
          <w:sz w:val="24"/>
          <w:szCs w:val="24"/>
        </w:rPr>
      </w:pPr>
      <w:r>
        <w:rPr>
          <w:rFonts w:hint="eastAsia" w:ascii="Times New Roman" w:hAnsi="Times New Roman" w:eastAsia="方正仿宋_GBK" w:cs="Times New Roman"/>
          <w:b/>
          <w:bCs/>
          <w:sz w:val="24"/>
          <w:szCs w:val="24"/>
        </w:rPr>
        <w:t>图1</w:t>
      </w:r>
      <w:r>
        <w:rPr>
          <w:rFonts w:ascii="Times New Roman" w:hAnsi="Times New Roman" w:eastAsia="方正仿宋_GBK" w:cs="Times New Roman"/>
          <w:b/>
          <w:bCs/>
          <w:sz w:val="24"/>
          <w:szCs w:val="24"/>
        </w:rPr>
        <w:t xml:space="preserve">9  </w:t>
      </w:r>
      <w:r>
        <w:rPr>
          <w:rFonts w:hint="eastAsia" w:ascii="Times New Roman" w:hAnsi="Times New Roman" w:eastAsia="方正仿宋_GBK" w:cs="Times New Roman"/>
          <w:b/>
          <w:bCs/>
          <w:sz w:val="24"/>
          <w:szCs w:val="24"/>
        </w:rPr>
        <w:t>江东片区特色效益农业发展</w:t>
      </w:r>
    </w:p>
    <w:p w14:paraId="62DC6057">
      <w:pPr>
        <w:spacing w:line="594" w:lineRule="exact"/>
        <w:ind w:firstLine="643"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优化农业产业结构，打造乡村生态产业链。</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按照“调结构、拓功能、延链条”的发展思路，围绕打造“高颜值、微度假”休闲度假旅游目的地中心目标，充分发挥都市现代农业的生产、生活、生态功能，全力推进都市现代农业与旅游业的深度融合，培育新型农业经营主体，吸引市民下乡消费，拓宽农民增收渠道。以江东生态农业科技产业示范园为核心载体，以协信·多利健康田园小镇建设为基础，继续引进有实力的乡村旅游、农产品加工等龙头企业，打造特色农业产业园区，辐射带动周边区域发展。坚持发展壮大村级集体经济，采取合资、合作、租赁、控股等多种形式，广泛开展对外合作，增加村级集体经济收入，形成了“一村一品、一村一业”“村村有特色、个个有亮点”的村级集体经济新格局。扎实推进西山坪农旅融合试点、静观农业产业强镇项目建设，扩建苓茏苑、静观花木、寰宇农业</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3个休闲园；全力打造“静观花木十里走廊”，新建</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腊梅</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精品园2个、花木体验工坊1个、花木良种繁育基地3个，提档升级花木种植标准化基地30个，全区花木种植面积达到6.85万亩；推出精品旅游线路8条，全区主题休闲园达44个，休闲农业年接待游客人数达180万人次。</w:t>
      </w:r>
    </w:p>
    <w:p w14:paraId="35547F58">
      <w:pPr>
        <w:jc w:val="cente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drawing>
          <wp:inline distT="0" distB="0" distL="0" distR="0">
            <wp:extent cx="5123180" cy="3429000"/>
            <wp:effectExtent l="0" t="0" r="1270" b="0"/>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36">
                      <a:extLst>
                        <a:ext uri="{28A0092B-C50C-407E-A947-70E740481C1C}">
                          <a14:useLocalDpi xmlns:a14="http://schemas.microsoft.com/office/drawing/2010/main" val="0"/>
                        </a:ext>
                      </a:extLst>
                    </a:blip>
                    <a:srcRect r="16297"/>
                    <a:stretch>
                      <a:fillRect/>
                    </a:stretch>
                  </pic:blipFill>
                  <pic:spPr>
                    <a:xfrm>
                      <a:off x="0" y="0"/>
                      <a:ext cx="5150235" cy="3447108"/>
                    </a:xfrm>
                    <a:prstGeom prst="rect">
                      <a:avLst/>
                    </a:prstGeom>
                    <a:noFill/>
                    <a:ln>
                      <a:noFill/>
                    </a:ln>
                  </pic:spPr>
                </pic:pic>
              </a:graphicData>
            </a:graphic>
          </wp:inline>
        </w:drawing>
      </w:r>
    </w:p>
    <w:p w14:paraId="41CCBD1D">
      <w:pPr>
        <w:autoSpaceDE w:val="0"/>
        <w:autoSpaceDN w:val="0"/>
        <w:adjustRightInd w:val="0"/>
        <w:snapToGrid w:val="0"/>
        <w:spacing w:after="156" w:afterLines="50"/>
        <w:jc w:val="center"/>
        <w:rPr>
          <w:rFonts w:ascii="Times New Roman" w:hAnsi="Times New Roman" w:eastAsia="方正仿宋_GBK" w:cs="Times New Roman"/>
          <w:b/>
          <w:bCs/>
          <w:sz w:val="24"/>
          <w:szCs w:val="24"/>
        </w:rPr>
      </w:pPr>
      <w:r>
        <w:rPr>
          <w:rFonts w:hint="eastAsia" w:ascii="Times New Roman" w:hAnsi="Times New Roman" w:eastAsia="方正仿宋_GBK" w:cs="Times New Roman"/>
          <w:b/>
          <w:bCs/>
          <w:sz w:val="24"/>
          <w:szCs w:val="24"/>
        </w:rPr>
        <w:t>图</w:t>
      </w:r>
      <w:r>
        <w:rPr>
          <w:rFonts w:ascii="Times New Roman" w:hAnsi="Times New Roman" w:eastAsia="方正仿宋_GBK" w:cs="Times New Roman"/>
          <w:b/>
          <w:bCs/>
          <w:sz w:val="24"/>
          <w:szCs w:val="24"/>
        </w:rPr>
        <w:t xml:space="preserve">20  </w:t>
      </w:r>
      <w:r>
        <w:rPr>
          <w:rFonts w:hint="eastAsia" w:ascii="Times New Roman" w:hAnsi="Times New Roman" w:eastAsia="方正仿宋_GBK" w:cs="Times New Roman"/>
          <w:b/>
          <w:bCs/>
          <w:sz w:val="24"/>
          <w:szCs w:val="24"/>
        </w:rPr>
        <w:t>江东片区生态产业链发展</w:t>
      </w:r>
    </w:p>
    <w:p w14:paraId="2CAB5C92">
      <w:pPr>
        <w:spacing w:line="594" w:lineRule="exact"/>
        <w:ind w:firstLine="720" w:firstLineChars="200"/>
        <w:outlineLvl w:val="0"/>
        <w:rPr>
          <w:rFonts w:ascii="方正黑体_GBK" w:eastAsia="方正黑体_GBK"/>
          <w:bCs/>
          <w:sz w:val="36"/>
          <w:szCs w:val="36"/>
        </w:rPr>
      </w:pPr>
      <w:bookmarkStart w:id="42" w:name="_Toc48157856"/>
      <w:r>
        <w:rPr>
          <w:rFonts w:hint="eastAsia" w:ascii="方正黑体_GBK" w:eastAsia="方正黑体_GBK"/>
          <w:bCs/>
          <w:sz w:val="36"/>
          <w:szCs w:val="36"/>
        </w:rPr>
        <w:t>四、总体思路</w:t>
      </w:r>
      <w:bookmarkEnd w:id="42"/>
    </w:p>
    <w:p w14:paraId="58E724A3">
      <w:pPr>
        <w:spacing w:line="560" w:lineRule="exact"/>
        <w:ind w:firstLine="640" w:firstLineChars="200"/>
        <w:outlineLvl w:val="1"/>
        <w:rPr>
          <w:rFonts w:ascii="方正楷体_GBK" w:hAnsi="Times New Roman" w:eastAsia="方正楷体_GBK" w:cs="Times New Roman"/>
          <w:bCs/>
          <w:color w:val="0D0D0D" w:themeColor="text1" w:themeTint="F2"/>
          <w:sz w:val="32"/>
          <w14:textFill>
            <w14:solidFill>
              <w14:schemeClr w14:val="tx1">
                <w14:lumMod w14:val="95000"/>
                <w14:lumOff w14:val="5000"/>
              </w14:schemeClr>
            </w14:solidFill>
          </w14:textFill>
        </w:rPr>
      </w:pPr>
      <w:bookmarkStart w:id="43" w:name="_Toc48157857"/>
      <w:r>
        <w:rPr>
          <w:rFonts w:hint="eastAsia" w:ascii="方正楷体_GBK" w:hAnsi="Times New Roman" w:eastAsia="方正楷体_GBK" w:cs="Times New Roman"/>
          <w:bCs/>
          <w:color w:val="0D0D0D" w:themeColor="text1" w:themeTint="F2"/>
          <w:sz w:val="32"/>
          <w14:textFill>
            <w14:solidFill>
              <w14:schemeClr w14:val="tx1">
                <w14:lumMod w14:val="95000"/>
                <w14:lumOff w14:val="5000"/>
              </w14:schemeClr>
            </w14:solidFill>
          </w14:textFill>
        </w:rPr>
        <w:t>（一）指导思想</w:t>
      </w:r>
      <w:bookmarkEnd w:id="43"/>
    </w:p>
    <w:p w14:paraId="19E84B5F">
      <w:pPr>
        <w:spacing w:line="594" w:lineRule="exact"/>
        <w:ind w:firstLine="640" w:firstLineChars="200"/>
        <w:rPr>
          <w:rFonts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以习近平新时代中国特色社会主义思想为指导，深学笃用习近平生态文明思想，深入落实习近平总书记对重庆提出的“两点”定位、“两地”“两高”目标、发挥“三个作用”和营造良好政治生态的重要指示要求，切实践行“绿水青山就是金山银山”的理念，牢记习近平总书记强调经济发展不能以破坏生态为代价、生态本身就是经济、保护生态就是发展生产力的殷殷嘱托。围绕生态美、产业兴、百姓富的目标，做好厚植绿水青山、铸就金山银山、夯实“两山”转化三篇文章，坚持不懈改善生态环境养护绿水青山、推动产业生态化转型提质金山银山、推动生态产业化转换铸就金山银山、做实项目落地转化绿水青山、惠及民生幸福共享绿水青山，聚力打通绿水青山向金山银山的转化通道，</w:t>
      </w:r>
      <w:bookmarkStart w:id="44" w:name="_Hlk36647997"/>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高质量高水平建设国家“两山”实践创新基地，把北碚区建设成为成渝地区双城经济圈高质量发展先行区，全力打造长江上游践行“两山”理念的标杆、探索“两山”实践的样板、创新“两山”模式的典范，全面示范引领西南地区乃至全国“两山”实践创新基地建设工作。</w:t>
      </w:r>
    </w:p>
    <w:bookmarkEnd w:id="44"/>
    <w:p w14:paraId="1ADBC7E5">
      <w:pPr>
        <w:spacing w:line="560" w:lineRule="exact"/>
        <w:ind w:firstLine="640" w:firstLineChars="200"/>
        <w:outlineLvl w:val="1"/>
        <w:rPr>
          <w:rFonts w:ascii="方正楷体_GBK" w:hAnsi="Times New Roman" w:eastAsia="方正楷体_GBK" w:cs="Times New Roman"/>
          <w:bCs/>
          <w:color w:val="0D0D0D" w:themeColor="text1" w:themeTint="F2"/>
          <w:sz w:val="32"/>
          <w14:textFill>
            <w14:solidFill>
              <w14:schemeClr w14:val="tx1">
                <w14:lumMod w14:val="95000"/>
                <w14:lumOff w14:val="5000"/>
              </w14:schemeClr>
            </w14:solidFill>
          </w14:textFill>
        </w:rPr>
      </w:pPr>
      <w:bookmarkStart w:id="45" w:name="_Toc48157858"/>
      <w:r>
        <w:rPr>
          <w:rFonts w:hint="eastAsia" w:ascii="方正楷体_GBK" w:hAnsi="Times New Roman" w:eastAsia="方正楷体_GBK" w:cs="Times New Roman"/>
          <w:bCs/>
          <w:color w:val="0D0D0D" w:themeColor="text1" w:themeTint="F2"/>
          <w:sz w:val="32"/>
          <w14:textFill>
            <w14:solidFill>
              <w14:schemeClr w14:val="tx1">
                <w14:lumMod w14:val="95000"/>
                <w14:lumOff w14:val="5000"/>
              </w14:schemeClr>
            </w14:solidFill>
          </w14:textFill>
        </w:rPr>
        <w:t>（二）基本原则</w:t>
      </w:r>
      <w:bookmarkEnd w:id="45"/>
    </w:p>
    <w:p w14:paraId="6222DC96">
      <w:pPr>
        <w:spacing w:line="594" w:lineRule="exact"/>
        <w:ind w:firstLine="640" w:firstLineChars="200"/>
        <w:rPr>
          <w:rFonts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hint="eastAsia" w:ascii="华文楷体" w:hAnsi="华文楷体" w:eastAsia="华文楷体" w:cs="Times New Roman"/>
          <w:bCs/>
          <w:color w:val="0D0D0D" w:themeColor="text1" w:themeTint="F2"/>
          <w:sz w:val="32"/>
          <w:szCs w:val="32"/>
          <w14:textFill>
            <w14:solidFill>
              <w14:schemeClr w14:val="tx1">
                <w14:lumMod w14:val="95000"/>
                <w14:lumOff w14:val="5000"/>
              </w14:schemeClr>
            </w14:solidFill>
          </w14:textFill>
        </w:rPr>
        <w:t>坚持尊重自然、生态优先。</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坚持像对待生命一样对待生态环境，共抓大保护、不搞大开发，高效规范有序开展开发建设活动，保持加强生态环境保护建设的定力，统筹推进山水林田湖草系统治理，持续提升生态资产，促进人与自然和谐共生，筑牢长江上游重要生态屏障，实现绿水青山和金山银山有机统一。</w:t>
      </w:r>
    </w:p>
    <w:p w14:paraId="3000D626">
      <w:pPr>
        <w:spacing w:line="594" w:lineRule="exact"/>
        <w:ind w:firstLine="640" w:firstLineChars="200"/>
        <w:rPr>
          <w:rFonts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hint="eastAsia" w:ascii="华文楷体" w:hAnsi="华文楷体" w:eastAsia="华文楷体" w:cs="Times New Roman"/>
          <w:bCs/>
          <w:color w:val="0D0D0D" w:themeColor="text1" w:themeTint="F2"/>
          <w:sz w:val="32"/>
          <w:szCs w:val="32"/>
          <w14:textFill>
            <w14:solidFill>
              <w14:schemeClr w14:val="tx1">
                <w14:lumMod w14:val="95000"/>
                <w14:lumOff w14:val="5000"/>
              </w14:schemeClr>
            </w14:solidFill>
          </w14:textFill>
        </w:rPr>
        <w:t>坚持两化主线、绿色发展。</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协同推动经济高质量发展和生态环境高水平保护，始终坚持产业生态化、生态产业化的发展思路，将优越的自然资源和良好的生态</w:t>
      </w:r>
      <w:r>
        <w:rPr>
          <w:rFonts w:hint="eastAsia" w:ascii="方正仿宋_GBK" w:hAnsi="Times New Roman" w:eastAsia="方正仿宋_GBK" w:cs="Times New Roman"/>
          <w:bCs/>
          <w:color w:val="0D0D0D" w:themeColor="text1" w:themeTint="F2"/>
          <w:sz w:val="32"/>
          <w:szCs w:val="32"/>
          <w:lang w:val="en-US" w:eastAsia="zh-CN"/>
          <w14:textFill>
            <w14:solidFill>
              <w14:schemeClr w14:val="tx1">
                <w14:lumMod w14:val="95000"/>
                <w14:lumOff w14:val="5000"/>
              </w14:schemeClr>
            </w14:solidFill>
          </w14:textFill>
        </w:rPr>
        <w:t>环境</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转化为生产要素和发展资本，探索出一条北碚特色生产发展、生活富裕、生态良好的高质量发展新路子。</w:t>
      </w:r>
    </w:p>
    <w:p w14:paraId="6B78F852">
      <w:pPr>
        <w:spacing w:line="594" w:lineRule="exact"/>
        <w:ind w:firstLine="640" w:firstLineChars="200"/>
        <w:rPr>
          <w:rFonts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hint="eastAsia" w:ascii="华文楷体" w:hAnsi="华文楷体" w:eastAsia="华文楷体" w:cs="Times New Roman"/>
          <w:bCs/>
          <w:color w:val="0D0D0D" w:themeColor="text1" w:themeTint="F2"/>
          <w:sz w:val="32"/>
          <w:szCs w:val="32"/>
          <w14:textFill>
            <w14:solidFill>
              <w14:schemeClr w14:val="tx1">
                <w14:lumMod w14:val="95000"/>
                <w14:lumOff w14:val="5000"/>
              </w14:schemeClr>
            </w14:solidFill>
          </w14:textFill>
        </w:rPr>
        <w:t>坚持因地制宜、彰显特色。</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立足区域自然条件、资源禀赋和社会经济发展水平，将国家“两山”基地建设工作与四地一枢纽</w:t>
      </w:r>
      <w:r>
        <w:rPr>
          <w:rFonts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footnoteReference w:id="2"/>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建设目标结合，因地制宜推进缙云山生态修复、发展特色生态农业、促进生态旅游，发展生态产业，打通高新技术产业绿色发展路径，充分挖掘生态产品供给的特色与品牌着力建设具有北碚“特色”的“两山”基地。</w:t>
      </w:r>
    </w:p>
    <w:p w14:paraId="6D68B08E">
      <w:pPr>
        <w:spacing w:line="594" w:lineRule="exact"/>
        <w:ind w:firstLine="640" w:firstLineChars="200"/>
        <w:rPr>
          <w:rFonts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hint="eastAsia" w:ascii="华文楷体" w:hAnsi="华文楷体" w:eastAsia="华文楷体" w:cs="Times New Roman"/>
          <w:bCs/>
          <w:color w:val="0D0D0D" w:themeColor="text1" w:themeTint="F2"/>
          <w:sz w:val="32"/>
          <w:szCs w:val="32"/>
          <w14:textFill>
            <w14:solidFill>
              <w14:schemeClr w14:val="tx1">
                <w14:lumMod w14:val="95000"/>
                <w14:lumOff w14:val="5000"/>
              </w14:schemeClr>
            </w14:solidFill>
          </w14:textFill>
        </w:rPr>
        <w:t>坚持生态富民、共享共赢。</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建立党委领导、政府主导、企业主体、公众参与的社会共治新格局，形成全区积极践行“两山”理念的氛围。牢固树立良好生态环境是最公平的公共产品和最普惠的民生福祉理念，持续提高人民群众生活质量和获得感、幸福感，把绿水青山打造成绿色银行，让美丽风景换来百姓美好生活。</w:t>
      </w:r>
    </w:p>
    <w:p w14:paraId="33AABDC0">
      <w:pPr>
        <w:spacing w:line="560" w:lineRule="exact"/>
        <w:ind w:firstLine="640" w:firstLineChars="200"/>
        <w:outlineLvl w:val="1"/>
        <w:rPr>
          <w:rFonts w:ascii="方正楷体_GBK" w:hAnsi="Times New Roman" w:eastAsia="方正楷体_GBK" w:cs="Times New Roman"/>
          <w:bCs/>
          <w:color w:val="0D0D0D" w:themeColor="text1" w:themeTint="F2"/>
          <w:sz w:val="32"/>
          <w14:textFill>
            <w14:solidFill>
              <w14:schemeClr w14:val="tx1">
                <w14:lumMod w14:val="95000"/>
                <w14:lumOff w14:val="5000"/>
              </w14:schemeClr>
            </w14:solidFill>
          </w14:textFill>
        </w:rPr>
      </w:pPr>
      <w:bookmarkStart w:id="46" w:name="_Toc48157859"/>
      <w:r>
        <w:rPr>
          <w:rFonts w:hint="eastAsia" w:ascii="方正楷体_GBK" w:hAnsi="Times New Roman" w:eastAsia="方正楷体_GBK" w:cs="Times New Roman"/>
          <w:bCs/>
          <w:color w:val="0D0D0D" w:themeColor="text1" w:themeTint="F2"/>
          <w:sz w:val="32"/>
          <w14:textFill>
            <w14:solidFill>
              <w14:schemeClr w14:val="tx1">
                <w14:lumMod w14:val="95000"/>
                <w14:lumOff w14:val="5000"/>
              </w14:schemeClr>
            </w14:solidFill>
          </w14:textFill>
        </w:rPr>
        <w:t>（三）总体目标</w:t>
      </w:r>
      <w:bookmarkEnd w:id="46"/>
    </w:p>
    <w:p w14:paraId="3A51880B">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到2020年，</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北碚区全面推进国家“两山”基地建设工作，总结已有的“两山”转化经验，进一步探索“两山”转化路径、发掘“两山”转化价值、巩固和提升“两山”转化成效。在“两山”基地转化模式、政策制度体系、生态产品转化市场机制等领域取得突破，形成具有代表性的典型经验平台。</w:t>
      </w:r>
    </w:p>
    <w:p w14:paraId="268B1E18">
      <w:pPr>
        <w:spacing w:line="594" w:lineRule="exact"/>
        <w:ind w:firstLine="640" w:firstLineChars="200"/>
        <w:rPr>
          <w:rFonts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到2021年，</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全区生态环境质量持续改善，绿水青山的生态环境优势不断彰显，绿色发展取得积极进展，形成缙云山山体保护与整体开发、水土高新生态城产城景融合发展、江东片区生态屏障保护与乡村振兴等重点区域实践经验，全区绿水青山向金山银山转化的路径和通道进一步畅通、形成一批具有示范价值的转化模式，初步构建“两山”持续转化的长效机制，力争创建为国家“两山”基地。</w:t>
      </w:r>
    </w:p>
    <w:p w14:paraId="4795E959">
      <w:pPr>
        <w:spacing w:line="594" w:lineRule="exact"/>
        <w:ind w:firstLine="640" w:firstLineChars="200"/>
        <w:rPr>
          <w:rFonts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到2025年，</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全域持续推进补短板、强弱项、促提升各项工作，各项建设指标均实现达标，各项建设任务和项目均圆满完成，顺利通过国家“两山”基地后评估。北碚“两山”基地在全国示范形象彰显，全区建成以缙云山整治修复提升、筑牢嘉陵江北碚段生态屏障、生态产业助推乡村振兴为代表的具有全国典范和示范价值的“两山”理念和实践先行区、样板区，基本形成较成熟“两山”基地建设的理念、模式、机制、政策、制度体系。全区总体生态资源和环境质量接近国内先行地区水平，优质的、品种繁多的生态供给稳定、丰富、可持续，具有示范和推广价值的典型转化模式逐步畅通，生态环境优势源源不断转化为经济优势。绿水青山真正成为北碚经济高质量发展的支撑点、人民高品质和富裕幸福生活的着力点。</w:t>
      </w:r>
    </w:p>
    <w:p w14:paraId="4CBD853E">
      <w:pPr>
        <w:spacing w:line="594" w:lineRule="exact"/>
        <w:ind w:firstLine="641"/>
        <w:outlineLvl w:val="1"/>
        <w:rPr>
          <w:rFonts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pPr>
      <w:bookmarkStart w:id="47" w:name="_Toc48157860"/>
      <w:r>
        <w:rPr>
          <w:rFonts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t>（四）建设指标</w:t>
      </w:r>
      <w:bookmarkEnd w:id="47"/>
    </w:p>
    <w:p w14:paraId="3813C0EB">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按生态环境部</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《“绿水青山就是金山银山”实践创新基地建设管理规程》要求，北碚区立足区情，以“突出特色、转化有效、打造样板”为原则，以国家“两山指数”评估指标为基础，制定了具有本地特色的“两山指数”</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评估指标（见表1），共8大类21个指标。</w:t>
      </w:r>
    </w:p>
    <w:p w14:paraId="4AACEDBC">
      <w:pPr>
        <w:adjustRightInd w:val="0"/>
        <w:snapToGrid w:val="0"/>
        <w:spacing w:before="100" w:beforeAutospacing="1" w:line="276" w:lineRule="auto"/>
        <w:ind w:firstLine="482" w:firstLineChars="200"/>
        <w:jc w:val="center"/>
        <w:rPr>
          <w:rFonts w:ascii="方正仿宋_GBK" w:hAnsi="Times New Roman" w:eastAsia="方正仿宋_GBK"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方正仿宋_GBK" w:cs="Times New Roman"/>
          <w:b/>
          <w:color w:val="0D0D0D" w:themeColor="text1" w:themeTint="F2"/>
          <w:sz w:val="24"/>
          <w:szCs w:val="24"/>
          <w14:textFill>
            <w14:solidFill>
              <w14:schemeClr w14:val="tx1">
                <w14:lumMod w14:val="95000"/>
                <w14:lumOff w14:val="5000"/>
              </w14:schemeClr>
            </w14:solidFill>
          </w14:textFill>
        </w:rPr>
        <w:t xml:space="preserve">表1 </w:t>
      </w:r>
      <w:bookmarkStart w:id="48" w:name="_Hlk50311419"/>
      <w:r>
        <w:rPr>
          <w:rFonts w:hint="eastAsia" w:ascii="方正仿宋_GBK" w:hAnsi="Times New Roman" w:eastAsia="方正仿宋_GBK" w:cs="Times New Roman"/>
          <w:b/>
          <w:color w:val="0D0D0D" w:themeColor="text1" w:themeTint="F2"/>
          <w:sz w:val="24"/>
          <w:szCs w:val="24"/>
          <w14:textFill>
            <w14:solidFill>
              <w14:schemeClr w14:val="tx1">
                <w14:lumMod w14:val="95000"/>
                <w14:lumOff w14:val="5000"/>
              </w14:schemeClr>
            </w14:solidFill>
          </w14:textFill>
        </w:rPr>
        <w:t>“两山指数”评估指标</w:t>
      </w:r>
      <w:bookmarkEnd w:id="48"/>
    </w:p>
    <w:tbl>
      <w:tblPr>
        <w:tblStyle w:val="5"/>
        <w:tblW w:w="96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649"/>
        <w:gridCol w:w="762"/>
        <w:gridCol w:w="459"/>
        <w:gridCol w:w="3795"/>
        <w:gridCol w:w="1134"/>
        <w:gridCol w:w="1134"/>
        <w:gridCol w:w="1701"/>
      </w:tblGrid>
      <w:tr w14:paraId="0D7B7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405" w:hRule="atLeast"/>
          <w:tblHeader/>
          <w:jc w:val="center"/>
        </w:trPr>
        <w:tc>
          <w:tcPr>
            <w:tcW w:w="649" w:type="dxa"/>
            <w:vAlign w:val="center"/>
          </w:tcPr>
          <w:p w14:paraId="60BDBFB0">
            <w:pPr>
              <w:spacing w:line="300" w:lineRule="exact"/>
              <w:jc w:val="cente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t>目标</w:t>
            </w:r>
          </w:p>
        </w:tc>
        <w:tc>
          <w:tcPr>
            <w:tcW w:w="762" w:type="dxa"/>
            <w:vAlign w:val="center"/>
          </w:tcPr>
          <w:p w14:paraId="0B3D7D11">
            <w:pPr>
              <w:spacing w:line="300" w:lineRule="exact"/>
              <w:jc w:val="cente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t>任务</w:t>
            </w:r>
          </w:p>
        </w:tc>
        <w:tc>
          <w:tcPr>
            <w:tcW w:w="459" w:type="dxa"/>
            <w:vAlign w:val="center"/>
          </w:tcPr>
          <w:p w14:paraId="2E8ABED7">
            <w:pPr>
              <w:spacing w:line="300" w:lineRule="exact"/>
              <w:jc w:val="cente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t>序号</w:t>
            </w:r>
          </w:p>
        </w:tc>
        <w:tc>
          <w:tcPr>
            <w:tcW w:w="3795" w:type="dxa"/>
            <w:vAlign w:val="center"/>
          </w:tcPr>
          <w:p w14:paraId="280C6654">
            <w:pPr>
              <w:spacing w:line="300" w:lineRule="exact"/>
              <w:jc w:val="cente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t>指标</w:t>
            </w:r>
          </w:p>
        </w:tc>
        <w:tc>
          <w:tcPr>
            <w:tcW w:w="1134" w:type="dxa"/>
            <w:vAlign w:val="center"/>
          </w:tcPr>
          <w:p w14:paraId="5FAD2581">
            <w:pPr>
              <w:spacing w:line="300" w:lineRule="exact"/>
              <w:jc w:val="cente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t>2019年</w:t>
            </w:r>
          </w:p>
          <w:p w14:paraId="795FEFF4">
            <w:pPr>
              <w:spacing w:line="300" w:lineRule="exact"/>
              <w:jc w:val="cente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t>现状值</w:t>
            </w:r>
          </w:p>
        </w:tc>
        <w:tc>
          <w:tcPr>
            <w:tcW w:w="1134" w:type="dxa"/>
            <w:vAlign w:val="center"/>
          </w:tcPr>
          <w:p w14:paraId="4C928A83">
            <w:pPr>
              <w:spacing w:line="300" w:lineRule="exact"/>
              <w:jc w:val="cente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t>2025年</w:t>
            </w:r>
          </w:p>
          <w:p w14:paraId="564DBFAA">
            <w:pPr>
              <w:spacing w:line="300" w:lineRule="exact"/>
              <w:jc w:val="cente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t>目标值</w:t>
            </w:r>
          </w:p>
        </w:tc>
        <w:tc>
          <w:tcPr>
            <w:tcW w:w="1701" w:type="dxa"/>
            <w:vAlign w:val="center"/>
          </w:tcPr>
          <w:p w14:paraId="2B042F4B">
            <w:pPr>
              <w:spacing w:line="300" w:lineRule="exact"/>
              <w:jc w:val="cente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t>备注</w:t>
            </w:r>
          </w:p>
        </w:tc>
      </w:tr>
      <w:tr w14:paraId="7A91E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649" w:type="dxa"/>
            <w:vMerge w:val="restart"/>
            <w:vAlign w:val="center"/>
          </w:tcPr>
          <w:p w14:paraId="2D38241A">
            <w:pPr>
              <w:spacing w:line="300" w:lineRule="exact"/>
              <w:jc w:val="cente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pPr>
            <w:bookmarkStart w:id="49" w:name="_Hlk49162613"/>
            <w: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t>构筑绿水青山</w:t>
            </w:r>
          </w:p>
        </w:tc>
        <w:tc>
          <w:tcPr>
            <w:tcW w:w="762" w:type="dxa"/>
            <w:vMerge w:val="restart"/>
            <w:vAlign w:val="center"/>
          </w:tcPr>
          <w:p w14:paraId="10BF7CE6">
            <w:pPr>
              <w:spacing w:line="300" w:lineRule="exact"/>
              <w:jc w:val="cente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t>环境质量</w:t>
            </w:r>
          </w:p>
        </w:tc>
        <w:tc>
          <w:tcPr>
            <w:tcW w:w="459" w:type="dxa"/>
            <w:vAlign w:val="center"/>
          </w:tcPr>
          <w:p w14:paraId="063194A5">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1</w:t>
            </w:r>
          </w:p>
        </w:tc>
        <w:tc>
          <w:tcPr>
            <w:tcW w:w="3795" w:type="dxa"/>
            <w:vAlign w:val="center"/>
          </w:tcPr>
          <w:p w14:paraId="2E71B4CF">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环境空气质量优良天数比例</w:t>
            </w:r>
          </w:p>
        </w:tc>
        <w:tc>
          <w:tcPr>
            <w:tcW w:w="1134" w:type="dxa"/>
            <w:vAlign w:val="center"/>
          </w:tcPr>
          <w:p w14:paraId="1268233B">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87.67%</w:t>
            </w:r>
          </w:p>
        </w:tc>
        <w:tc>
          <w:tcPr>
            <w:tcW w:w="1134" w:type="dxa"/>
            <w:vAlign w:val="center"/>
          </w:tcPr>
          <w:p w14:paraId="68DC7D8F">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≥9</w:t>
            </w: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0%</w:t>
            </w:r>
          </w:p>
        </w:tc>
        <w:tc>
          <w:tcPr>
            <w:tcW w:w="1701" w:type="dxa"/>
            <w:vAlign w:val="center"/>
          </w:tcPr>
          <w:p w14:paraId="3EAD0637">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2019年优良天数320天</w:t>
            </w:r>
          </w:p>
        </w:tc>
      </w:tr>
      <w:tr w14:paraId="5C6F2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499" w:hRule="atLeast"/>
          <w:jc w:val="center"/>
        </w:trPr>
        <w:tc>
          <w:tcPr>
            <w:tcW w:w="649" w:type="dxa"/>
            <w:vMerge w:val="continue"/>
            <w:vAlign w:val="center"/>
          </w:tcPr>
          <w:p w14:paraId="0A62063E">
            <w:pPr>
              <w:spacing w:line="300" w:lineRule="exact"/>
              <w:jc w:val="cente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pPr>
          </w:p>
        </w:tc>
        <w:tc>
          <w:tcPr>
            <w:tcW w:w="762" w:type="dxa"/>
            <w:vMerge w:val="continue"/>
            <w:vAlign w:val="center"/>
          </w:tcPr>
          <w:p w14:paraId="699AD815">
            <w:pPr>
              <w:spacing w:line="300" w:lineRule="exact"/>
              <w:jc w:val="cente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pPr>
          </w:p>
        </w:tc>
        <w:tc>
          <w:tcPr>
            <w:tcW w:w="459" w:type="dxa"/>
            <w:vAlign w:val="center"/>
          </w:tcPr>
          <w:p w14:paraId="3C1B511F">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2</w:t>
            </w:r>
          </w:p>
        </w:tc>
        <w:tc>
          <w:tcPr>
            <w:tcW w:w="3795" w:type="dxa"/>
            <w:vAlign w:val="center"/>
          </w:tcPr>
          <w:p w14:paraId="3C36A3E9">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集中式饮用水水源地水质达标率</w:t>
            </w:r>
          </w:p>
        </w:tc>
        <w:tc>
          <w:tcPr>
            <w:tcW w:w="1134" w:type="dxa"/>
            <w:vAlign w:val="center"/>
          </w:tcPr>
          <w:p w14:paraId="2DCE509D">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100%</w:t>
            </w:r>
          </w:p>
        </w:tc>
        <w:tc>
          <w:tcPr>
            <w:tcW w:w="1134" w:type="dxa"/>
            <w:vAlign w:val="center"/>
          </w:tcPr>
          <w:p w14:paraId="48F25875">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100%</w:t>
            </w:r>
          </w:p>
        </w:tc>
        <w:tc>
          <w:tcPr>
            <w:tcW w:w="1701" w:type="dxa"/>
            <w:vAlign w:val="center"/>
          </w:tcPr>
          <w:p w14:paraId="56283A8D">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p>
        </w:tc>
      </w:tr>
      <w:tr w14:paraId="77BFE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420" w:hRule="atLeast"/>
          <w:jc w:val="center"/>
        </w:trPr>
        <w:tc>
          <w:tcPr>
            <w:tcW w:w="649" w:type="dxa"/>
            <w:vMerge w:val="continue"/>
            <w:vAlign w:val="center"/>
          </w:tcPr>
          <w:p w14:paraId="002B0CC3">
            <w:pPr>
              <w:spacing w:line="300" w:lineRule="exact"/>
              <w:jc w:val="cente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pPr>
          </w:p>
        </w:tc>
        <w:tc>
          <w:tcPr>
            <w:tcW w:w="762" w:type="dxa"/>
            <w:vMerge w:val="continue"/>
            <w:vAlign w:val="center"/>
          </w:tcPr>
          <w:p w14:paraId="34572B0C">
            <w:pPr>
              <w:numPr>
                <w:ilvl w:val="0"/>
                <w:numId w:val="0"/>
              </w:numPr>
              <w:spacing w:line="300" w:lineRule="exact"/>
              <w:ind w:left="0" w:firstLine="0"/>
              <w:jc w:val="cente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pPr>
          </w:p>
        </w:tc>
        <w:tc>
          <w:tcPr>
            <w:tcW w:w="459" w:type="dxa"/>
            <w:vAlign w:val="center"/>
          </w:tcPr>
          <w:p w14:paraId="15E103A8">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3</w:t>
            </w:r>
          </w:p>
        </w:tc>
        <w:tc>
          <w:tcPr>
            <w:tcW w:w="3795" w:type="dxa"/>
            <w:vAlign w:val="center"/>
          </w:tcPr>
          <w:p w14:paraId="66D4B9CA">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地表水水质达到或优于</w:t>
            </w:r>
            <w:r>
              <w:rPr>
                <w:rFonts w:hint="eastAsia" w:ascii="宋体" w:hAnsi="宋体" w:eastAsia="宋体" w:cs="宋体"/>
                <w:bCs/>
                <w:color w:val="0D0D0D" w:themeColor="text1" w:themeTint="F2"/>
                <w:kern w:val="0"/>
                <w:szCs w:val="21"/>
                <w14:textFill>
                  <w14:solidFill>
                    <w14:schemeClr w14:val="tx1">
                      <w14:lumMod w14:val="95000"/>
                      <w14:lumOff w14:val="5000"/>
                    </w14:schemeClr>
                  </w14:solidFill>
                </w14:textFill>
              </w:rPr>
              <w:t>Ⅲ</w:t>
            </w: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类水的比例</w:t>
            </w:r>
          </w:p>
        </w:tc>
        <w:tc>
          <w:tcPr>
            <w:tcW w:w="1134" w:type="dxa"/>
            <w:vAlign w:val="center"/>
          </w:tcPr>
          <w:p w14:paraId="25CE84E4">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稳定提升</w:t>
            </w:r>
          </w:p>
        </w:tc>
        <w:tc>
          <w:tcPr>
            <w:tcW w:w="1134" w:type="dxa"/>
            <w:vAlign w:val="center"/>
          </w:tcPr>
          <w:p w14:paraId="478C388D">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稳定提升</w:t>
            </w:r>
          </w:p>
        </w:tc>
        <w:tc>
          <w:tcPr>
            <w:tcW w:w="1701" w:type="dxa"/>
            <w:vAlign w:val="center"/>
          </w:tcPr>
          <w:p w14:paraId="6646114E">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2</w:t>
            </w: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019</w:t>
            </w:r>
            <w:r>
              <w:rPr>
                <w:rFonts w:hint="eastAsia"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年为7</w:t>
            </w: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5%</w:t>
            </w:r>
          </w:p>
        </w:tc>
      </w:tr>
      <w:tr w14:paraId="03D16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412" w:hRule="atLeast"/>
          <w:jc w:val="center"/>
        </w:trPr>
        <w:tc>
          <w:tcPr>
            <w:tcW w:w="649" w:type="dxa"/>
            <w:vMerge w:val="continue"/>
            <w:vAlign w:val="center"/>
          </w:tcPr>
          <w:p w14:paraId="3D4022F5">
            <w:pPr>
              <w:spacing w:line="300" w:lineRule="exact"/>
              <w:jc w:val="cente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pPr>
          </w:p>
        </w:tc>
        <w:tc>
          <w:tcPr>
            <w:tcW w:w="762" w:type="dxa"/>
            <w:vMerge w:val="continue"/>
            <w:vAlign w:val="center"/>
          </w:tcPr>
          <w:p w14:paraId="1DE687CB">
            <w:pPr>
              <w:numPr>
                <w:ilvl w:val="0"/>
                <w:numId w:val="0"/>
              </w:numPr>
              <w:spacing w:line="300" w:lineRule="exact"/>
              <w:ind w:left="0" w:firstLine="0"/>
              <w:jc w:val="cente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pPr>
          </w:p>
        </w:tc>
        <w:tc>
          <w:tcPr>
            <w:tcW w:w="459" w:type="dxa"/>
            <w:vAlign w:val="center"/>
          </w:tcPr>
          <w:p w14:paraId="1C34C43C">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4</w:t>
            </w:r>
          </w:p>
        </w:tc>
        <w:tc>
          <w:tcPr>
            <w:tcW w:w="3795" w:type="dxa"/>
            <w:vAlign w:val="center"/>
          </w:tcPr>
          <w:p w14:paraId="267AEC9B">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地下水水质达到或优于</w:t>
            </w:r>
            <w:r>
              <w:rPr>
                <w:rFonts w:hint="eastAsia" w:ascii="宋体" w:hAnsi="宋体" w:eastAsia="宋体" w:cs="宋体"/>
                <w:bCs/>
                <w:color w:val="0D0D0D" w:themeColor="text1" w:themeTint="F2"/>
                <w:kern w:val="0"/>
                <w:szCs w:val="21"/>
                <w14:textFill>
                  <w14:solidFill>
                    <w14:schemeClr w14:val="tx1">
                      <w14:lumMod w14:val="95000"/>
                      <w14:lumOff w14:val="5000"/>
                    </w14:schemeClr>
                  </w14:solidFill>
                </w14:textFill>
              </w:rPr>
              <w:t>Ⅲ</w:t>
            </w: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类水的比例</w:t>
            </w:r>
          </w:p>
        </w:tc>
        <w:tc>
          <w:tcPr>
            <w:tcW w:w="1134" w:type="dxa"/>
            <w:vAlign w:val="center"/>
          </w:tcPr>
          <w:p w14:paraId="4607A7B2">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保持稳定</w:t>
            </w:r>
          </w:p>
        </w:tc>
        <w:tc>
          <w:tcPr>
            <w:tcW w:w="1134" w:type="dxa"/>
            <w:vAlign w:val="center"/>
          </w:tcPr>
          <w:p w14:paraId="38CFE2B7">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稳定提高</w:t>
            </w:r>
          </w:p>
        </w:tc>
        <w:tc>
          <w:tcPr>
            <w:tcW w:w="1701" w:type="dxa"/>
            <w:vAlign w:val="center"/>
          </w:tcPr>
          <w:p w14:paraId="34C307EC">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p>
        </w:tc>
      </w:tr>
      <w:tr w14:paraId="6C518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419" w:hRule="atLeast"/>
          <w:jc w:val="center"/>
        </w:trPr>
        <w:tc>
          <w:tcPr>
            <w:tcW w:w="649" w:type="dxa"/>
            <w:vMerge w:val="continue"/>
            <w:vAlign w:val="center"/>
          </w:tcPr>
          <w:p w14:paraId="7C2D1360">
            <w:pPr>
              <w:spacing w:line="300" w:lineRule="exact"/>
              <w:jc w:val="cente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pPr>
          </w:p>
        </w:tc>
        <w:tc>
          <w:tcPr>
            <w:tcW w:w="762" w:type="dxa"/>
            <w:vMerge w:val="continue"/>
            <w:vAlign w:val="center"/>
          </w:tcPr>
          <w:p w14:paraId="60CF3590">
            <w:pPr>
              <w:spacing w:line="300" w:lineRule="exact"/>
              <w:jc w:val="cente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pPr>
          </w:p>
        </w:tc>
        <w:tc>
          <w:tcPr>
            <w:tcW w:w="459" w:type="dxa"/>
            <w:vAlign w:val="center"/>
          </w:tcPr>
          <w:p w14:paraId="3B62B299">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5</w:t>
            </w:r>
          </w:p>
        </w:tc>
        <w:tc>
          <w:tcPr>
            <w:tcW w:w="3795" w:type="dxa"/>
            <w:vAlign w:val="center"/>
          </w:tcPr>
          <w:p w14:paraId="376CB1FB">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受污染耕地安全利用率</w:t>
            </w:r>
          </w:p>
        </w:tc>
        <w:tc>
          <w:tcPr>
            <w:tcW w:w="1134" w:type="dxa"/>
            <w:vAlign w:val="center"/>
          </w:tcPr>
          <w:p w14:paraId="11971814">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保持稳定</w:t>
            </w:r>
          </w:p>
        </w:tc>
        <w:tc>
          <w:tcPr>
            <w:tcW w:w="1134" w:type="dxa"/>
            <w:vAlign w:val="center"/>
          </w:tcPr>
          <w:p w14:paraId="38ACEB23">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&gt;95%</w:t>
            </w:r>
          </w:p>
        </w:tc>
        <w:tc>
          <w:tcPr>
            <w:tcW w:w="1701" w:type="dxa"/>
            <w:vAlign w:val="center"/>
          </w:tcPr>
          <w:p w14:paraId="7CBE417D">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以市级及区级农业农村行政主管部门公布的监测结果为准</w:t>
            </w:r>
          </w:p>
        </w:tc>
      </w:tr>
      <w:tr w14:paraId="15E32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411" w:hRule="atLeast"/>
          <w:jc w:val="center"/>
        </w:trPr>
        <w:tc>
          <w:tcPr>
            <w:tcW w:w="649" w:type="dxa"/>
            <w:vMerge w:val="continue"/>
            <w:vAlign w:val="center"/>
          </w:tcPr>
          <w:p w14:paraId="43BEBE97">
            <w:pPr>
              <w:spacing w:line="300" w:lineRule="exact"/>
              <w:jc w:val="cente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pPr>
          </w:p>
        </w:tc>
        <w:tc>
          <w:tcPr>
            <w:tcW w:w="762" w:type="dxa"/>
            <w:vMerge w:val="continue"/>
            <w:vAlign w:val="center"/>
          </w:tcPr>
          <w:p w14:paraId="7D1301B2">
            <w:pPr>
              <w:spacing w:line="300" w:lineRule="exact"/>
              <w:jc w:val="cente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pPr>
          </w:p>
        </w:tc>
        <w:tc>
          <w:tcPr>
            <w:tcW w:w="459" w:type="dxa"/>
            <w:vAlign w:val="center"/>
          </w:tcPr>
          <w:p w14:paraId="2DE106FD">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6</w:t>
            </w:r>
          </w:p>
        </w:tc>
        <w:tc>
          <w:tcPr>
            <w:tcW w:w="3795" w:type="dxa"/>
            <w:vAlign w:val="center"/>
          </w:tcPr>
          <w:p w14:paraId="049FD9D0">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污染地块安全利用率</w:t>
            </w:r>
          </w:p>
        </w:tc>
        <w:tc>
          <w:tcPr>
            <w:tcW w:w="1134" w:type="dxa"/>
            <w:vAlign w:val="center"/>
          </w:tcPr>
          <w:p w14:paraId="0E7F4C02">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保持稳定</w:t>
            </w:r>
          </w:p>
        </w:tc>
        <w:tc>
          <w:tcPr>
            <w:tcW w:w="1134" w:type="dxa"/>
            <w:vAlign w:val="center"/>
          </w:tcPr>
          <w:p w14:paraId="22BB23E0">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&gt;95%</w:t>
            </w:r>
          </w:p>
        </w:tc>
        <w:tc>
          <w:tcPr>
            <w:tcW w:w="1701" w:type="dxa"/>
            <w:vAlign w:val="center"/>
          </w:tcPr>
          <w:p w14:paraId="57C9F3F8">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以市级及区级生态环境行政主管部门认定结果为准</w:t>
            </w:r>
          </w:p>
        </w:tc>
      </w:tr>
      <w:tr w14:paraId="0396A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649" w:type="dxa"/>
            <w:vMerge w:val="continue"/>
            <w:vAlign w:val="center"/>
          </w:tcPr>
          <w:p w14:paraId="7357C336">
            <w:pPr>
              <w:spacing w:line="300" w:lineRule="exact"/>
              <w:jc w:val="cente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pPr>
          </w:p>
        </w:tc>
        <w:tc>
          <w:tcPr>
            <w:tcW w:w="762" w:type="dxa"/>
            <w:vMerge w:val="restart"/>
            <w:vAlign w:val="center"/>
          </w:tcPr>
          <w:p w14:paraId="21D5B158">
            <w:pPr>
              <w:spacing w:line="300" w:lineRule="exact"/>
              <w:jc w:val="cente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t>生态状况</w:t>
            </w:r>
          </w:p>
        </w:tc>
        <w:tc>
          <w:tcPr>
            <w:tcW w:w="459" w:type="dxa"/>
            <w:vAlign w:val="center"/>
          </w:tcPr>
          <w:p w14:paraId="6730E72D">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7</w:t>
            </w:r>
          </w:p>
        </w:tc>
        <w:tc>
          <w:tcPr>
            <w:tcW w:w="3795" w:type="dxa"/>
            <w:vAlign w:val="center"/>
          </w:tcPr>
          <w:p w14:paraId="7EC08B14">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林草覆盖率</w:t>
            </w:r>
          </w:p>
        </w:tc>
        <w:tc>
          <w:tcPr>
            <w:tcW w:w="1134" w:type="dxa"/>
            <w:vAlign w:val="center"/>
          </w:tcPr>
          <w:p w14:paraId="5E2B87E8">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53.13%</w:t>
            </w:r>
          </w:p>
        </w:tc>
        <w:tc>
          <w:tcPr>
            <w:tcW w:w="1134" w:type="dxa"/>
            <w:vAlign w:val="center"/>
          </w:tcPr>
          <w:p w14:paraId="004506B1">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丘陵区&gt;40%</w:t>
            </w:r>
          </w:p>
        </w:tc>
        <w:tc>
          <w:tcPr>
            <w:tcW w:w="1701" w:type="dxa"/>
            <w:vAlign w:val="center"/>
          </w:tcPr>
          <w:p w14:paraId="09B689AA">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北碚丘陵占比4</w:t>
            </w: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9.77%</w:t>
            </w:r>
            <w:r>
              <w:rPr>
                <w:rFonts w:hint="eastAsia"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，山地占比2</w:t>
            </w: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3.23%</w:t>
            </w:r>
            <w:r>
              <w:rPr>
                <w:rFonts w:hint="eastAsia"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，其他地形占比2</w:t>
            </w: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7%</w:t>
            </w:r>
            <w:r>
              <w:rPr>
                <w:rFonts w:hint="eastAsia"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，执行丘陵标准。</w:t>
            </w:r>
          </w:p>
        </w:tc>
      </w:tr>
      <w:tr w14:paraId="317C3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649" w:type="dxa"/>
            <w:vMerge w:val="continue"/>
            <w:vAlign w:val="center"/>
          </w:tcPr>
          <w:p w14:paraId="4D25797F">
            <w:pPr>
              <w:spacing w:line="300" w:lineRule="exact"/>
              <w:jc w:val="cente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pPr>
          </w:p>
        </w:tc>
        <w:tc>
          <w:tcPr>
            <w:tcW w:w="762" w:type="dxa"/>
            <w:vMerge w:val="continue"/>
            <w:vAlign w:val="center"/>
          </w:tcPr>
          <w:p w14:paraId="1127FFA2">
            <w:pPr>
              <w:numPr>
                <w:ilvl w:val="0"/>
                <w:numId w:val="0"/>
              </w:numPr>
              <w:spacing w:line="300" w:lineRule="exact"/>
              <w:ind w:left="0" w:firstLine="0"/>
              <w:jc w:val="cente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pPr>
          </w:p>
        </w:tc>
        <w:tc>
          <w:tcPr>
            <w:tcW w:w="459" w:type="dxa"/>
            <w:vAlign w:val="center"/>
          </w:tcPr>
          <w:p w14:paraId="41187205">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8</w:t>
            </w:r>
          </w:p>
        </w:tc>
        <w:tc>
          <w:tcPr>
            <w:tcW w:w="3795" w:type="dxa"/>
            <w:vAlign w:val="center"/>
          </w:tcPr>
          <w:p w14:paraId="139DCD23">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物种丰富度</w:t>
            </w:r>
          </w:p>
        </w:tc>
        <w:tc>
          <w:tcPr>
            <w:tcW w:w="1134" w:type="dxa"/>
            <w:vAlign w:val="center"/>
          </w:tcPr>
          <w:p w14:paraId="762A43B5">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保持稳定</w:t>
            </w:r>
          </w:p>
        </w:tc>
        <w:tc>
          <w:tcPr>
            <w:tcW w:w="1134" w:type="dxa"/>
            <w:vAlign w:val="center"/>
          </w:tcPr>
          <w:p w14:paraId="2BB8036B">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稳定提高</w:t>
            </w:r>
          </w:p>
        </w:tc>
        <w:tc>
          <w:tcPr>
            <w:tcW w:w="1701" w:type="dxa"/>
            <w:vAlign w:val="center"/>
          </w:tcPr>
          <w:p w14:paraId="1F6C642C">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p>
        </w:tc>
      </w:tr>
      <w:tr w14:paraId="05066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430" w:hRule="atLeast"/>
          <w:jc w:val="center"/>
        </w:trPr>
        <w:tc>
          <w:tcPr>
            <w:tcW w:w="649" w:type="dxa"/>
            <w:vMerge w:val="continue"/>
            <w:vAlign w:val="center"/>
          </w:tcPr>
          <w:p w14:paraId="245A63DC">
            <w:pPr>
              <w:spacing w:line="300" w:lineRule="exact"/>
              <w:jc w:val="cente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pPr>
          </w:p>
        </w:tc>
        <w:tc>
          <w:tcPr>
            <w:tcW w:w="762" w:type="dxa"/>
            <w:vMerge w:val="continue"/>
            <w:vAlign w:val="center"/>
          </w:tcPr>
          <w:p w14:paraId="3CD5B573">
            <w:pPr>
              <w:numPr>
                <w:ilvl w:val="0"/>
                <w:numId w:val="0"/>
              </w:numPr>
              <w:spacing w:line="300" w:lineRule="exact"/>
              <w:ind w:left="0" w:firstLine="0"/>
              <w:jc w:val="cente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pPr>
          </w:p>
        </w:tc>
        <w:tc>
          <w:tcPr>
            <w:tcW w:w="459" w:type="dxa"/>
            <w:vAlign w:val="center"/>
          </w:tcPr>
          <w:p w14:paraId="72E60CC5">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9</w:t>
            </w:r>
          </w:p>
        </w:tc>
        <w:tc>
          <w:tcPr>
            <w:tcW w:w="3795" w:type="dxa"/>
            <w:vAlign w:val="center"/>
          </w:tcPr>
          <w:p w14:paraId="3EB841D7">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生态保护红线面积</w:t>
            </w:r>
          </w:p>
        </w:tc>
        <w:tc>
          <w:tcPr>
            <w:tcW w:w="1134" w:type="dxa"/>
            <w:vAlign w:val="center"/>
          </w:tcPr>
          <w:p w14:paraId="5E25FA28">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待确定</w:t>
            </w:r>
          </w:p>
        </w:tc>
        <w:tc>
          <w:tcPr>
            <w:tcW w:w="1134" w:type="dxa"/>
            <w:vAlign w:val="center"/>
          </w:tcPr>
          <w:p w14:paraId="618E135A">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不减少</w:t>
            </w:r>
          </w:p>
        </w:tc>
        <w:tc>
          <w:tcPr>
            <w:tcW w:w="1701" w:type="dxa"/>
            <w:vAlign w:val="center"/>
          </w:tcPr>
          <w:p w14:paraId="71A4778F">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生态保护红线最终面积以评估结果为准</w:t>
            </w:r>
          </w:p>
        </w:tc>
      </w:tr>
      <w:tr w14:paraId="1EAB8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503" w:hRule="atLeast"/>
          <w:jc w:val="center"/>
        </w:trPr>
        <w:tc>
          <w:tcPr>
            <w:tcW w:w="649" w:type="dxa"/>
            <w:vMerge w:val="continue"/>
            <w:vAlign w:val="center"/>
          </w:tcPr>
          <w:p w14:paraId="222E4BB8">
            <w:pPr>
              <w:spacing w:line="300" w:lineRule="exact"/>
              <w:jc w:val="cente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pPr>
          </w:p>
        </w:tc>
        <w:tc>
          <w:tcPr>
            <w:tcW w:w="762" w:type="dxa"/>
            <w:vMerge w:val="continue"/>
            <w:vAlign w:val="center"/>
          </w:tcPr>
          <w:p w14:paraId="3688061C">
            <w:pPr>
              <w:numPr>
                <w:ilvl w:val="0"/>
                <w:numId w:val="0"/>
              </w:numPr>
              <w:spacing w:line="300" w:lineRule="exact"/>
              <w:ind w:left="0" w:firstLine="0"/>
              <w:jc w:val="cente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pPr>
          </w:p>
        </w:tc>
        <w:tc>
          <w:tcPr>
            <w:tcW w:w="459" w:type="dxa"/>
            <w:vAlign w:val="center"/>
          </w:tcPr>
          <w:p w14:paraId="4B597486">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10</w:t>
            </w:r>
          </w:p>
        </w:tc>
        <w:tc>
          <w:tcPr>
            <w:tcW w:w="3795" w:type="dxa"/>
            <w:vAlign w:val="center"/>
          </w:tcPr>
          <w:p w14:paraId="5F6AD4CC">
            <w:pPr>
              <w:spacing w:line="300" w:lineRule="exact"/>
              <w:jc w:val="center"/>
              <w:rPr>
                <w:rFonts w:ascii="Times New Roman" w:hAnsi="Times New Roman" w:eastAsia="方正仿宋_GBK" w:cs="Times New Roman"/>
                <w:bCs/>
                <w:kern w:val="0"/>
                <w:szCs w:val="21"/>
              </w:rPr>
            </w:pPr>
            <w:r>
              <w:rPr>
                <w:rFonts w:ascii="Times New Roman" w:hAnsi="Times New Roman" w:eastAsia="方正仿宋_GBK" w:cs="Times New Roman"/>
                <w:bCs/>
                <w:kern w:val="0"/>
                <w:szCs w:val="21"/>
              </w:rPr>
              <w:t>单位国土面积生态系统生产总值</w:t>
            </w:r>
          </w:p>
        </w:tc>
        <w:tc>
          <w:tcPr>
            <w:tcW w:w="1134" w:type="dxa"/>
            <w:vAlign w:val="center"/>
          </w:tcPr>
          <w:p w14:paraId="0E9D0EC4">
            <w:pPr>
              <w:spacing w:line="300" w:lineRule="exact"/>
              <w:jc w:val="center"/>
              <w:rPr>
                <w:rFonts w:ascii="Times New Roman" w:hAnsi="Times New Roman" w:eastAsia="方正仿宋_GBK" w:cs="Times New Roman"/>
                <w:bCs/>
                <w:kern w:val="0"/>
                <w:szCs w:val="21"/>
              </w:rPr>
            </w:pPr>
            <w:r>
              <w:rPr>
                <w:rFonts w:hint="eastAsia" w:ascii="Times New Roman" w:hAnsi="Times New Roman" w:eastAsia="方正仿宋_GBK" w:cs="Times New Roman"/>
                <w:bCs/>
                <w:kern w:val="0"/>
                <w:szCs w:val="21"/>
              </w:rPr>
              <w:t>未统计</w:t>
            </w:r>
          </w:p>
        </w:tc>
        <w:tc>
          <w:tcPr>
            <w:tcW w:w="1134" w:type="dxa"/>
            <w:vAlign w:val="center"/>
          </w:tcPr>
          <w:p w14:paraId="2AA5969D">
            <w:pPr>
              <w:spacing w:line="300" w:lineRule="exact"/>
              <w:jc w:val="center"/>
              <w:rPr>
                <w:rFonts w:ascii="Times New Roman" w:hAnsi="Times New Roman" w:eastAsia="方正仿宋_GBK" w:cs="Times New Roman"/>
                <w:bCs/>
                <w:kern w:val="0"/>
                <w:szCs w:val="21"/>
              </w:rPr>
            </w:pPr>
            <w:r>
              <w:rPr>
                <w:rFonts w:ascii="Times New Roman" w:hAnsi="Times New Roman" w:eastAsia="方正仿宋_GBK" w:cs="Times New Roman"/>
                <w:bCs/>
                <w:kern w:val="0"/>
                <w:szCs w:val="21"/>
              </w:rPr>
              <w:t>稳定提高</w:t>
            </w:r>
          </w:p>
        </w:tc>
        <w:tc>
          <w:tcPr>
            <w:tcW w:w="1701" w:type="dxa"/>
            <w:vAlign w:val="center"/>
          </w:tcPr>
          <w:p w14:paraId="158AD745">
            <w:pPr>
              <w:spacing w:line="300" w:lineRule="exact"/>
              <w:jc w:val="center"/>
              <w:rPr>
                <w:rFonts w:ascii="Times New Roman" w:hAnsi="Times New Roman" w:eastAsia="方正仿宋_GBK" w:cs="Times New Roman"/>
                <w:bCs/>
                <w:kern w:val="0"/>
                <w:szCs w:val="21"/>
              </w:rPr>
            </w:pPr>
          </w:p>
        </w:tc>
      </w:tr>
      <w:tr w14:paraId="2CD0B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649" w:type="dxa"/>
            <w:vMerge w:val="restart"/>
            <w:vAlign w:val="center"/>
          </w:tcPr>
          <w:p w14:paraId="62A22510">
            <w:pPr>
              <w:spacing w:line="300" w:lineRule="exact"/>
              <w:jc w:val="cente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t>推动“两山”转化</w:t>
            </w:r>
          </w:p>
        </w:tc>
        <w:tc>
          <w:tcPr>
            <w:tcW w:w="762" w:type="dxa"/>
            <w:vAlign w:val="center"/>
          </w:tcPr>
          <w:p w14:paraId="2FD63132">
            <w:pPr>
              <w:spacing w:line="300" w:lineRule="exact"/>
              <w:jc w:val="cente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t>民生福祉</w:t>
            </w:r>
          </w:p>
        </w:tc>
        <w:tc>
          <w:tcPr>
            <w:tcW w:w="459" w:type="dxa"/>
            <w:vAlign w:val="center"/>
          </w:tcPr>
          <w:p w14:paraId="04DA6301">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11</w:t>
            </w:r>
          </w:p>
        </w:tc>
        <w:tc>
          <w:tcPr>
            <w:tcW w:w="3795" w:type="dxa"/>
            <w:vAlign w:val="center"/>
          </w:tcPr>
          <w:p w14:paraId="25D50103">
            <w:pPr>
              <w:spacing w:line="300" w:lineRule="exact"/>
              <w:jc w:val="center"/>
              <w:rPr>
                <w:rFonts w:ascii="Times New Roman" w:hAnsi="Times New Roman" w:eastAsia="方正仿宋_GBK" w:cs="Times New Roman"/>
                <w:bCs/>
                <w:kern w:val="0"/>
                <w:szCs w:val="21"/>
              </w:rPr>
            </w:pPr>
            <w:r>
              <w:rPr>
                <w:rFonts w:ascii="Times New Roman" w:hAnsi="Times New Roman" w:eastAsia="方正仿宋_GBK" w:cs="Times New Roman"/>
                <w:bCs/>
                <w:kern w:val="0"/>
                <w:szCs w:val="21"/>
              </w:rPr>
              <w:t>居民人均生态产品产值占比</w:t>
            </w:r>
          </w:p>
        </w:tc>
        <w:tc>
          <w:tcPr>
            <w:tcW w:w="1134" w:type="dxa"/>
            <w:vAlign w:val="center"/>
          </w:tcPr>
          <w:p w14:paraId="4D4C6157">
            <w:pPr>
              <w:spacing w:line="300" w:lineRule="exact"/>
              <w:jc w:val="center"/>
              <w:rPr>
                <w:rFonts w:ascii="Times New Roman" w:hAnsi="Times New Roman" w:eastAsia="方正仿宋_GBK" w:cs="Times New Roman"/>
                <w:bCs/>
                <w:kern w:val="0"/>
                <w:szCs w:val="21"/>
              </w:rPr>
            </w:pPr>
            <w:r>
              <w:rPr>
                <w:rFonts w:hint="eastAsia" w:ascii="Times New Roman" w:hAnsi="Times New Roman" w:eastAsia="方正仿宋_GBK" w:cs="Times New Roman"/>
                <w:bCs/>
                <w:kern w:val="0"/>
                <w:szCs w:val="21"/>
              </w:rPr>
              <w:t>未统计</w:t>
            </w:r>
          </w:p>
        </w:tc>
        <w:tc>
          <w:tcPr>
            <w:tcW w:w="1134" w:type="dxa"/>
            <w:vAlign w:val="center"/>
          </w:tcPr>
          <w:p w14:paraId="507AAC95">
            <w:pPr>
              <w:spacing w:line="300" w:lineRule="exact"/>
              <w:jc w:val="center"/>
              <w:rPr>
                <w:rFonts w:ascii="Times New Roman" w:hAnsi="Times New Roman" w:eastAsia="方正仿宋_GBK" w:cs="Times New Roman"/>
                <w:bCs/>
                <w:kern w:val="0"/>
                <w:szCs w:val="21"/>
              </w:rPr>
            </w:pPr>
            <w:r>
              <w:rPr>
                <w:rFonts w:ascii="Times New Roman" w:hAnsi="Times New Roman" w:eastAsia="方正仿宋_GBK" w:cs="Times New Roman"/>
                <w:bCs/>
                <w:kern w:val="0"/>
                <w:szCs w:val="21"/>
              </w:rPr>
              <w:t>稳定提高</w:t>
            </w:r>
          </w:p>
        </w:tc>
        <w:tc>
          <w:tcPr>
            <w:tcW w:w="1701" w:type="dxa"/>
            <w:vAlign w:val="center"/>
          </w:tcPr>
          <w:p w14:paraId="7A24B24A">
            <w:pPr>
              <w:spacing w:line="300" w:lineRule="exact"/>
              <w:jc w:val="center"/>
              <w:rPr>
                <w:rFonts w:ascii="Times New Roman" w:hAnsi="Times New Roman" w:eastAsia="方正仿宋_GBK" w:cs="Times New Roman"/>
                <w:bCs/>
                <w:kern w:val="0"/>
                <w:szCs w:val="21"/>
              </w:rPr>
            </w:pPr>
          </w:p>
        </w:tc>
      </w:tr>
      <w:tr w14:paraId="7BAC6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649" w:type="dxa"/>
            <w:vMerge w:val="continue"/>
            <w:vAlign w:val="center"/>
          </w:tcPr>
          <w:p w14:paraId="7DB7E6B3">
            <w:pPr>
              <w:spacing w:line="300" w:lineRule="exact"/>
              <w:jc w:val="cente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pPr>
          </w:p>
        </w:tc>
        <w:tc>
          <w:tcPr>
            <w:tcW w:w="762" w:type="dxa"/>
            <w:vMerge w:val="restart"/>
            <w:vAlign w:val="center"/>
          </w:tcPr>
          <w:p w14:paraId="241155A5">
            <w:pPr>
              <w:spacing w:line="300" w:lineRule="exact"/>
              <w:jc w:val="cente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t>生态经济</w:t>
            </w:r>
          </w:p>
        </w:tc>
        <w:tc>
          <w:tcPr>
            <w:tcW w:w="459" w:type="dxa"/>
            <w:vAlign w:val="center"/>
          </w:tcPr>
          <w:p w14:paraId="396A29A2">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12</w:t>
            </w:r>
          </w:p>
        </w:tc>
        <w:tc>
          <w:tcPr>
            <w:tcW w:w="3795" w:type="dxa"/>
            <w:vAlign w:val="center"/>
          </w:tcPr>
          <w:p w14:paraId="69B8EA7A">
            <w:pPr>
              <w:spacing w:line="300" w:lineRule="exact"/>
              <w:jc w:val="center"/>
              <w:rPr>
                <w:rFonts w:ascii="Times New Roman" w:hAnsi="Times New Roman" w:eastAsia="方正仿宋_GBK" w:cs="Times New Roman"/>
                <w:bCs/>
                <w:kern w:val="0"/>
                <w:szCs w:val="21"/>
              </w:rPr>
            </w:pPr>
            <w:r>
              <w:rPr>
                <w:rFonts w:hint="eastAsia" w:ascii="Times New Roman" w:hAnsi="Times New Roman" w:eastAsia="方正仿宋_GBK" w:cs="Times New Roman"/>
                <w:bCs/>
                <w:kern w:val="0"/>
                <w:szCs w:val="21"/>
              </w:rPr>
              <w:t>绿色、有机农产品产值占农业总产值比重</w:t>
            </w:r>
          </w:p>
        </w:tc>
        <w:tc>
          <w:tcPr>
            <w:tcW w:w="1134" w:type="dxa"/>
            <w:vAlign w:val="center"/>
          </w:tcPr>
          <w:p w14:paraId="6EF48423">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稳定提高</w:t>
            </w:r>
          </w:p>
        </w:tc>
        <w:tc>
          <w:tcPr>
            <w:tcW w:w="1134" w:type="dxa"/>
            <w:vAlign w:val="center"/>
          </w:tcPr>
          <w:p w14:paraId="6161DDE7">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稳定提高</w:t>
            </w:r>
          </w:p>
        </w:tc>
        <w:tc>
          <w:tcPr>
            <w:tcW w:w="1701" w:type="dxa"/>
            <w:vAlign w:val="center"/>
          </w:tcPr>
          <w:p w14:paraId="7887F648">
            <w:pPr>
              <w:spacing w:line="300" w:lineRule="exact"/>
              <w:jc w:val="center"/>
              <w:rPr>
                <w:rFonts w:ascii="Times New Roman" w:hAnsi="Times New Roman" w:eastAsia="方正仿宋_GBK" w:cs="Times New Roman"/>
                <w:bCs/>
                <w:kern w:val="0"/>
                <w:szCs w:val="21"/>
              </w:rPr>
            </w:pPr>
          </w:p>
        </w:tc>
      </w:tr>
      <w:tr w14:paraId="5F877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470" w:hRule="atLeast"/>
          <w:jc w:val="center"/>
        </w:trPr>
        <w:tc>
          <w:tcPr>
            <w:tcW w:w="649" w:type="dxa"/>
            <w:vMerge w:val="continue"/>
            <w:vAlign w:val="center"/>
          </w:tcPr>
          <w:p w14:paraId="12E676E1">
            <w:pPr>
              <w:spacing w:line="300" w:lineRule="exact"/>
              <w:jc w:val="cente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pPr>
          </w:p>
        </w:tc>
        <w:tc>
          <w:tcPr>
            <w:tcW w:w="762" w:type="dxa"/>
            <w:vMerge w:val="continue"/>
            <w:vAlign w:val="center"/>
          </w:tcPr>
          <w:p w14:paraId="7B7F9C86">
            <w:pPr>
              <w:numPr>
                <w:ilvl w:val="0"/>
                <w:numId w:val="0"/>
              </w:numPr>
              <w:spacing w:line="300" w:lineRule="exact"/>
              <w:ind w:left="0" w:firstLine="0"/>
              <w:jc w:val="cente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pPr>
          </w:p>
        </w:tc>
        <w:tc>
          <w:tcPr>
            <w:tcW w:w="459" w:type="dxa"/>
            <w:vAlign w:val="center"/>
          </w:tcPr>
          <w:p w14:paraId="4DB6D97C">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1</w:t>
            </w: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3</w:t>
            </w:r>
          </w:p>
        </w:tc>
        <w:tc>
          <w:tcPr>
            <w:tcW w:w="3795" w:type="dxa"/>
            <w:vAlign w:val="center"/>
          </w:tcPr>
          <w:p w14:paraId="55AC6FB7">
            <w:pPr>
              <w:spacing w:line="300" w:lineRule="exact"/>
              <w:jc w:val="center"/>
              <w:rPr>
                <w:rFonts w:ascii="Times New Roman" w:hAnsi="Times New Roman" w:eastAsia="方正仿宋_GBK" w:cs="Times New Roman"/>
                <w:bCs/>
                <w:kern w:val="0"/>
                <w:szCs w:val="21"/>
              </w:rPr>
            </w:pPr>
            <w:r>
              <w:rPr>
                <w:rFonts w:hint="eastAsia" w:ascii="Times New Roman" w:hAnsi="Times New Roman" w:eastAsia="方正仿宋_GBK" w:cs="Times New Roman"/>
                <w:bCs/>
                <w:kern w:val="0"/>
                <w:szCs w:val="21"/>
              </w:rPr>
              <w:t>生态加工业产值占工业总产值比重</w:t>
            </w:r>
          </w:p>
        </w:tc>
        <w:tc>
          <w:tcPr>
            <w:tcW w:w="1134" w:type="dxa"/>
            <w:vAlign w:val="center"/>
          </w:tcPr>
          <w:p w14:paraId="4661F72F">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稳定提高</w:t>
            </w:r>
          </w:p>
        </w:tc>
        <w:tc>
          <w:tcPr>
            <w:tcW w:w="1134" w:type="dxa"/>
            <w:vAlign w:val="center"/>
          </w:tcPr>
          <w:p w14:paraId="2601DD82">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稳定提高</w:t>
            </w:r>
          </w:p>
        </w:tc>
        <w:tc>
          <w:tcPr>
            <w:tcW w:w="1701" w:type="dxa"/>
            <w:vAlign w:val="center"/>
          </w:tcPr>
          <w:p w14:paraId="670DC61B">
            <w:pPr>
              <w:spacing w:line="300" w:lineRule="exact"/>
              <w:jc w:val="center"/>
              <w:rPr>
                <w:rFonts w:ascii="Times New Roman" w:hAnsi="Times New Roman" w:eastAsia="方正仿宋_GBK" w:cs="Times New Roman"/>
                <w:bCs/>
                <w:kern w:val="0"/>
                <w:szCs w:val="21"/>
              </w:rPr>
            </w:pPr>
          </w:p>
        </w:tc>
      </w:tr>
      <w:tr w14:paraId="54C6A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407" w:hRule="atLeast"/>
          <w:jc w:val="center"/>
        </w:trPr>
        <w:tc>
          <w:tcPr>
            <w:tcW w:w="649" w:type="dxa"/>
            <w:vMerge w:val="continue"/>
            <w:vAlign w:val="center"/>
          </w:tcPr>
          <w:p w14:paraId="739D215D">
            <w:pPr>
              <w:spacing w:line="300" w:lineRule="exact"/>
              <w:jc w:val="cente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pPr>
          </w:p>
        </w:tc>
        <w:tc>
          <w:tcPr>
            <w:tcW w:w="762" w:type="dxa"/>
            <w:vMerge w:val="continue"/>
            <w:vAlign w:val="center"/>
          </w:tcPr>
          <w:p w14:paraId="7CCC5FC6">
            <w:pPr>
              <w:numPr>
                <w:ilvl w:val="0"/>
                <w:numId w:val="0"/>
              </w:numPr>
              <w:spacing w:line="300" w:lineRule="exact"/>
              <w:ind w:left="0" w:firstLine="0"/>
              <w:jc w:val="cente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pPr>
          </w:p>
        </w:tc>
        <w:tc>
          <w:tcPr>
            <w:tcW w:w="459" w:type="dxa"/>
            <w:vAlign w:val="center"/>
          </w:tcPr>
          <w:p w14:paraId="2A8B7067">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14</w:t>
            </w:r>
          </w:p>
        </w:tc>
        <w:tc>
          <w:tcPr>
            <w:tcW w:w="3795" w:type="dxa"/>
            <w:vAlign w:val="center"/>
          </w:tcPr>
          <w:p w14:paraId="03C08624">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生态旅游收入占服务业总产值比重</w:t>
            </w:r>
          </w:p>
        </w:tc>
        <w:tc>
          <w:tcPr>
            <w:tcW w:w="1134" w:type="dxa"/>
            <w:vAlign w:val="center"/>
          </w:tcPr>
          <w:p w14:paraId="3D25AE86">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稳定提高</w:t>
            </w:r>
          </w:p>
        </w:tc>
        <w:tc>
          <w:tcPr>
            <w:tcW w:w="1134" w:type="dxa"/>
            <w:vAlign w:val="center"/>
          </w:tcPr>
          <w:p w14:paraId="67EDC58B">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稳定提高</w:t>
            </w:r>
          </w:p>
        </w:tc>
        <w:tc>
          <w:tcPr>
            <w:tcW w:w="1701" w:type="dxa"/>
            <w:vAlign w:val="center"/>
          </w:tcPr>
          <w:p w14:paraId="5AB9E25F">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p>
        </w:tc>
      </w:tr>
      <w:tr w14:paraId="75B84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407" w:hRule="atLeast"/>
          <w:jc w:val="center"/>
        </w:trPr>
        <w:tc>
          <w:tcPr>
            <w:tcW w:w="649" w:type="dxa"/>
            <w:vMerge w:val="continue"/>
            <w:vAlign w:val="center"/>
          </w:tcPr>
          <w:p w14:paraId="61A2CE8D">
            <w:pPr>
              <w:spacing w:line="300" w:lineRule="exact"/>
              <w:jc w:val="cente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pPr>
          </w:p>
        </w:tc>
        <w:tc>
          <w:tcPr>
            <w:tcW w:w="762" w:type="dxa"/>
            <w:vMerge w:val="continue"/>
            <w:vAlign w:val="center"/>
          </w:tcPr>
          <w:p w14:paraId="76FC17EE">
            <w:pPr>
              <w:numPr>
                <w:ilvl w:val="0"/>
                <w:numId w:val="0"/>
              </w:numPr>
              <w:spacing w:line="300" w:lineRule="exact"/>
              <w:ind w:left="0" w:firstLine="0"/>
              <w:jc w:val="cente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pPr>
          </w:p>
        </w:tc>
        <w:tc>
          <w:tcPr>
            <w:tcW w:w="459" w:type="dxa"/>
            <w:vAlign w:val="center"/>
          </w:tcPr>
          <w:p w14:paraId="7BC8389E">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15</w:t>
            </w:r>
          </w:p>
        </w:tc>
        <w:tc>
          <w:tcPr>
            <w:tcW w:w="3795" w:type="dxa"/>
            <w:vAlign w:val="center"/>
          </w:tcPr>
          <w:p w14:paraId="6E37E97C">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hint="eastAsia" w:ascii="Times New Roman" w:hAnsi="Times New Roman" w:eastAsia="方正仿宋_GBK" w:cs="Times New Roman"/>
                <w:bCs/>
                <w:kern w:val="0"/>
                <w:szCs w:val="21"/>
              </w:rPr>
              <w:t>战略新兴产业产值占全区规上工业产值</w:t>
            </w:r>
          </w:p>
        </w:tc>
        <w:tc>
          <w:tcPr>
            <w:tcW w:w="1134" w:type="dxa"/>
            <w:vAlign w:val="center"/>
          </w:tcPr>
          <w:p w14:paraId="136FEE8B">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稳定提高</w:t>
            </w:r>
          </w:p>
        </w:tc>
        <w:tc>
          <w:tcPr>
            <w:tcW w:w="1134" w:type="dxa"/>
            <w:vAlign w:val="center"/>
          </w:tcPr>
          <w:p w14:paraId="70D60DAE">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稳定提高</w:t>
            </w:r>
          </w:p>
        </w:tc>
        <w:tc>
          <w:tcPr>
            <w:tcW w:w="1701" w:type="dxa"/>
            <w:vAlign w:val="center"/>
          </w:tcPr>
          <w:p w14:paraId="091CF97A">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p>
        </w:tc>
      </w:tr>
      <w:tr w14:paraId="3E840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649" w:type="dxa"/>
            <w:vMerge w:val="continue"/>
            <w:vAlign w:val="center"/>
          </w:tcPr>
          <w:p w14:paraId="67BB778B">
            <w:pPr>
              <w:spacing w:line="300" w:lineRule="exact"/>
              <w:jc w:val="cente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pPr>
          </w:p>
        </w:tc>
        <w:tc>
          <w:tcPr>
            <w:tcW w:w="762" w:type="dxa"/>
            <w:vAlign w:val="center"/>
          </w:tcPr>
          <w:p w14:paraId="5C6378B7">
            <w:pPr>
              <w:spacing w:line="300" w:lineRule="exact"/>
              <w:jc w:val="cente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t>生态补偿</w:t>
            </w:r>
          </w:p>
        </w:tc>
        <w:tc>
          <w:tcPr>
            <w:tcW w:w="459" w:type="dxa"/>
            <w:vAlign w:val="center"/>
          </w:tcPr>
          <w:p w14:paraId="1AC38374">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16</w:t>
            </w:r>
          </w:p>
        </w:tc>
        <w:tc>
          <w:tcPr>
            <w:tcW w:w="3795" w:type="dxa"/>
            <w:vAlign w:val="center"/>
          </w:tcPr>
          <w:p w14:paraId="6A4B7524">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生态补偿类收入占财政总收入比重</w:t>
            </w:r>
          </w:p>
        </w:tc>
        <w:tc>
          <w:tcPr>
            <w:tcW w:w="1134" w:type="dxa"/>
            <w:vAlign w:val="center"/>
          </w:tcPr>
          <w:p w14:paraId="01AC1964">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稳定提高</w:t>
            </w:r>
          </w:p>
        </w:tc>
        <w:tc>
          <w:tcPr>
            <w:tcW w:w="1134" w:type="dxa"/>
            <w:vAlign w:val="center"/>
          </w:tcPr>
          <w:p w14:paraId="697F0681">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稳定提高</w:t>
            </w:r>
          </w:p>
        </w:tc>
        <w:tc>
          <w:tcPr>
            <w:tcW w:w="1701" w:type="dxa"/>
            <w:vAlign w:val="center"/>
          </w:tcPr>
          <w:p w14:paraId="1D35B822">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p>
        </w:tc>
      </w:tr>
      <w:tr w14:paraId="0E96E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649" w:type="dxa"/>
            <w:vMerge w:val="continue"/>
            <w:vAlign w:val="center"/>
          </w:tcPr>
          <w:p w14:paraId="7B820A55">
            <w:pPr>
              <w:spacing w:line="300" w:lineRule="exact"/>
              <w:jc w:val="cente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pPr>
          </w:p>
        </w:tc>
        <w:tc>
          <w:tcPr>
            <w:tcW w:w="762" w:type="dxa"/>
            <w:vMerge w:val="restart"/>
            <w:vAlign w:val="center"/>
          </w:tcPr>
          <w:p w14:paraId="4D6E3C7B">
            <w:pPr>
              <w:spacing w:line="300" w:lineRule="exact"/>
              <w:jc w:val="cente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t>社会效益</w:t>
            </w:r>
          </w:p>
        </w:tc>
        <w:tc>
          <w:tcPr>
            <w:tcW w:w="459" w:type="dxa"/>
            <w:vAlign w:val="center"/>
          </w:tcPr>
          <w:p w14:paraId="26604E1E">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17</w:t>
            </w:r>
          </w:p>
        </w:tc>
        <w:tc>
          <w:tcPr>
            <w:tcW w:w="3795" w:type="dxa"/>
            <w:vAlign w:val="center"/>
          </w:tcPr>
          <w:p w14:paraId="24E8ADED">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国际国内生态文化品牌</w:t>
            </w:r>
          </w:p>
        </w:tc>
        <w:tc>
          <w:tcPr>
            <w:tcW w:w="1134" w:type="dxa"/>
            <w:vAlign w:val="center"/>
          </w:tcPr>
          <w:p w14:paraId="3B8E1AA0">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获得多个</w:t>
            </w:r>
          </w:p>
        </w:tc>
        <w:tc>
          <w:tcPr>
            <w:tcW w:w="1134" w:type="dxa"/>
            <w:vAlign w:val="center"/>
          </w:tcPr>
          <w:p w14:paraId="2971A553">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获得</w:t>
            </w:r>
          </w:p>
        </w:tc>
        <w:tc>
          <w:tcPr>
            <w:tcW w:w="1701" w:type="dxa"/>
            <w:vAlign w:val="center"/>
          </w:tcPr>
          <w:p w14:paraId="020EB7EB">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国家园林城区、国家生态文明建设示范区、迪拜国际人居环境良好范例奖、北碚剪纸（联合国教科文组织评定的“人类非物质文化遗产代表作品录”）</w:t>
            </w:r>
          </w:p>
        </w:tc>
      </w:tr>
      <w:tr w14:paraId="79AAA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649" w:type="dxa"/>
            <w:vMerge w:val="continue"/>
            <w:vAlign w:val="center"/>
          </w:tcPr>
          <w:p w14:paraId="68F4DFE2">
            <w:pPr>
              <w:spacing w:line="300" w:lineRule="exact"/>
              <w:jc w:val="cente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pPr>
          </w:p>
        </w:tc>
        <w:tc>
          <w:tcPr>
            <w:tcW w:w="762" w:type="dxa"/>
            <w:vMerge w:val="continue"/>
            <w:vAlign w:val="center"/>
          </w:tcPr>
          <w:p w14:paraId="5422D6A3">
            <w:pPr>
              <w:numPr>
                <w:ilvl w:val="0"/>
                <w:numId w:val="0"/>
              </w:numPr>
              <w:spacing w:line="300" w:lineRule="exact"/>
              <w:ind w:left="0" w:firstLine="0"/>
              <w:jc w:val="cente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pPr>
          </w:p>
        </w:tc>
        <w:tc>
          <w:tcPr>
            <w:tcW w:w="459" w:type="dxa"/>
            <w:vAlign w:val="center"/>
          </w:tcPr>
          <w:p w14:paraId="0B6A3B40">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18</w:t>
            </w:r>
          </w:p>
        </w:tc>
        <w:tc>
          <w:tcPr>
            <w:tcW w:w="3795" w:type="dxa"/>
            <w:vAlign w:val="center"/>
          </w:tcPr>
          <w:p w14:paraId="7A0A2028">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“两山”建设成效公众满意度</w:t>
            </w:r>
          </w:p>
        </w:tc>
        <w:tc>
          <w:tcPr>
            <w:tcW w:w="1134" w:type="dxa"/>
            <w:vAlign w:val="center"/>
          </w:tcPr>
          <w:p w14:paraId="0AB0F08B">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93.78%</w:t>
            </w:r>
          </w:p>
        </w:tc>
        <w:tc>
          <w:tcPr>
            <w:tcW w:w="1134" w:type="dxa"/>
            <w:vAlign w:val="center"/>
          </w:tcPr>
          <w:p w14:paraId="60508F29">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&gt;95%</w:t>
            </w:r>
          </w:p>
        </w:tc>
        <w:tc>
          <w:tcPr>
            <w:tcW w:w="1701" w:type="dxa"/>
            <w:vAlign w:val="center"/>
          </w:tcPr>
          <w:p w14:paraId="7971B3E5">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现状值为公众对生态文明建设的满意度</w:t>
            </w:r>
          </w:p>
        </w:tc>
      </w:tr>
      <w:tr w14:paraId="319C5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649" w:type="dxa"/>
            <w:vMerge w:val="restart"/>
            <w:vAlign w:val="center"/>
          </w:tcPr>
          <w:p w14:paraId="71388E6E">
            <w:pPr>
              <w:spacing w:line="300" w:lineRule="exact"/>
              <w:jc w:val="cente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t>建立长效机制</w:t>
            </w:r>
          </w:p>
        </w:tc>
        <w:tc>
          <w:tcPr>
            <w:tcW w:w="762" w:type="dxa"/>
            <w:vMerge w:val="restart"/>
            <w:vAlign w:val="center"/>
          </w:tcPr>
          <w:p w14:paraId="1FACD840">
            <w:pPr>
              <w:spacing w:line="300" w:lineRule="exact"/>
              <w:jc w:val="cente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t>制度创新</w:t>
            </w:r>
          </w:p>
        </w:tc>
        <w:tc>
          <w:tcPr>
            <w:tcW w:w="459" w:type="dxa"/>
            <w:vAlign w:val="center"/>
          </w:tcPr>
          <w:p w14:paraId="17389BF1">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19</w:t>
            </w:r>
          </w:p>
        </w:tc>
        <w:tc>
          <w:tcPr>
            <w:tcW w:w="3795" w:type="dxa"/>
            <w:vAlign w:val="center"/>
          </w:tcPr>
          <w:p w14:paraId="368CA4A1">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“两山”基地制度建设</w:t>
            </w:r>
          </w:p>
        </w:tc>
        <w:tc>
          <w:tcPr>
            <w:tcW w:w="1134" w:type="dxa"/>
            <w:vAlign w:val="center"/>
          </w:tcPr>
          <w:p w14:paraId="70101510">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初步建立</w:t>
            </w:r>
          </w:p>
        </w:tc>
        <w:tc>
          <w:tcPr>
            <w:tcW w:w="1134" w:type="dxa"/>
            <w:vAlign w:val="center"/>
          </w:tcPr>
          <w:p w14:paraId="12A1E694">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建立实施</w:t>
            </w:r>
          </w:p>
        </w:tc>
        <w:tc>
          <w:tcPr>
            <w:tcW w:w="1701" w:type="dxa"/>
            <w:vAlign w:val="center"/>
          </w:tcPr>
          <w:p w14:paraId="775BFBF7">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p>
        </w:tc>
      </w:tr>
      <w:tr w14:paraId="05AEC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649" w:type="dxa"/>
            <w:vMerge w:val="continue"/>
            <w:vAlign w:val="center"/>
          </w:tcPr>
          <w:p w14:paraId="18FF2AD0">
            <w:pPr>
              <w:spacing w:line="300" w:lineRule="exact"/>
              <w:jc w:val="cente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pPr>
          </w:p>
        </w:tc>
        <w:tc>
          <w:tcPr>
            <w:tcW w:w="762" w:type="dxa"/>
            <w:vMerge w:val="continue"/>
            <w:vAlign w:val="center"/>
          </w:tcPr>
          <w:p w14:paraId="564FC495">
            <w:pPr>
              <w:spacing w:line="300" w:lineRule="exact"/>
              <w:jc w:val="cente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pPr>
          </w:p>
        </w:tc>
        <w:tc>
          <w:tcPr>
            <w:tcW w:w="459" w:type="dxa"/>
            <w:vAlign w:val="center"/>
          </w:tcPr>
          <w:p w14:paraId="31AAAC25">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20</w:t>
            </w:r>
          </w:p>
        </w:tc>
        <w:tc>
          <w:tcPr>
            <w:tcW w:w="3795" w:type="dxa"/>
            <w:vAlign w:val="center"/>
          </w:tcPr>
          <w:p w14:paraId="1D8484D0">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生态产品市场化机制</w:t>
            </w:r>
          </w:p>
        </w:tc>
        <w:tc>
          <w:tcPr>
            <w:tcW w:w="1134" w:type="dxa"/>
            <w:vAlign w:val="center"/>
          </w:tcPr>
          <w:p w14:paraId="22D5D82B">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逐步建立</w:t>
            </w:r>
          </w:p>
        </w:tc>
        <w:tc>
          <w:tcPr>
            <w:tcW w:w="1134" w:type="dxa"/>
            <w:vAlign w:val="center"/>
          </w:tcPr>
          <w:p w14:paraId="22034398">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建立实施</w:t>
            </w:r>
          </w:p>
        </w:tc>
        <w:tc>
          <w:tcPr>
            <w:tcW w:w="1701" w:type="dxa"/>
            <w:vAlign w:val="center"/>
          </w:tcPr>
          <w:p w14:paraId="31988587">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p>
        </w:tc>
      </w:tr>
      <w:tr w14:paraId="4D666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649" w:type="dxa"/>
            <w:vMerge w:val="continue"/>
            <w:vAlign w:val="center"/>
          </w:tcPr>
          <w:p w14:paraId="2DD9B327">
            <w:pPr>
              <w:spacing w:line="300" w:lineRule="exact"/>
              <w:jc w:val="cente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pPr>
          </w:p>
        </w:tc>
        <w:tc>
          <w:tcPr>
            <w:tcW w:w="762" w:type="dxa"/>
            <w:vAlign w:val="center"/>
          </w:tcPr>
          <w:p w14:paraId="15D22698">
            <w:pPr>
              <w:spacing w:line="300" w:lineRule="exact"/>
              <w:jc w:val="cente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黑体_GBK" w:cs="Times New Roman"/>
                <w:bCs/>
                <w:color w:val="0D0D0D" w:themeColor="text1" w:themeTint="F2"/>
                <w:kern w:val="0"/>
                <w:szCs w:val="21"/>
                <w14:textFill>
                  <w14:solidFill>
                    <w14:schemeClr w14:val="tx1">
                      <w14:lumMod w14:val="95000"/>
                      <w14:lumOff w14:val="5000"/>
                    </w14:schemeClr>
                  </w14:solidFill>
                </w14:textFill>
              </w:rPr>
              <w:t>资金保障</w:t>
            </w:r>
          </w:p>
        </w:tc>
        <w:tc>
          <w:tcPr>
            <w:tcW w:w="459" w:type="dxa"/>
            <w:vAlign w:val="center"/>
          </w:tcPr>
          <w:p w14:paraId="7C479D05">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21</w:t>
            </w:r>
          </w:p>
        </w:tc>
        <w:tc>
          <w:tcPr>
            <w:tcW w:w="3795" w:type="dxa"/>
            <w:vAlign w:val="center"/>
          </w:tcPr>
          <w:p w14:paraId="055B38FC">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生态环保投入占GDP比重</w:t>
            </w:r>
          </w:p>
        </w:tc>
        <w:tc>
          <w:tcPr>
            <w:tcW w:w="1134" w:type="dxa"/>
            <w:vAlign w:val="center"/>
          </w:tcPr>
          <w:p w14:paraId="28FDB7E9">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2</w:t>
            </w: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.97%</w:t>
            </w:r>
          </w:p>
        </w:tc>
        <w:tc>
          <w:tcPr>
            <w:tcW w:w="1134" w:type="dxa"/>
            <w:vAlign w:val="center"/>
          </w:tcPr>
          <w:p w14:paraId="28FC7D9D">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&gt;3%</w:t>
            </w:r>
          </w:p>
        </w:tc>
        <w:tc>
          <w:tcPr>
            <w:tcW w:w="1701" w:type="dxa"/>
            <w:vAlign w:val="center"/>
          </w:tcPr>
          <w:p w14:paraId="24179832">
            <w:pPr>
              <w:spacing w:line="300" w:lineRule="exact"/>
              <w:jc w:val="cente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pPr>
          </w:p>
        </w:tc>
      </w:tr>
      <w:bookmarkEnd w:id="49"/>
    </w:tbl>
    <w:p w14:paraId="5440AED4">
      <w:pPr>
        <w:spacing w:before="100" w:beforeAutospacing="1" w:line="594" w:lineRule="exact"/>
        <w:ind w:firstLine="641"/>
        <w:outlineLvl w:val="1"/>
        <w:rPr>
          <w:rFonts w:ascii="方正楷体_GBK" w:hAnsi="Times New Roman" w:eastAsia="方正楷体_GBK" w:cs="Times New Roman"/>
          <w:bCs/>
          <w:color w:val="0D0D0D" w:themeColor="text1" w:themeTint="F2"/>
          <w:sz w:val="32"/>
          <w14:textFill>
            <w14:solidFill>
              <w14:schemeClr w14:val="tx1">
                <w14:lumMod w14:val="95000"/>
                <w14:lumOff w14:val="5000"/>
              </w14:schemeClr>
            </w14:solidFill>
          </w14:textFill>
        </w:rPr>
      </w:pPr>
      <w:bookmarkStart w:id="50" w:name="_Toc37070753"/>
      <w:bookmarkStart w:id="51" w:name="_Toc48157861"/>
      <w:r>
        <w:rPr>
          <w:rFonts w:hint="eastAsia" w:ascii="方正楷体_GBK" w:hAnsi="Times New Roman" w:eastAsia="方正楷体_GBK" w:cs="Times New Roman"/>
          <w:bCs/>
          <w:color w:val="0D0D0D" w:themeColor="text1" w:themeTint="F2"/>
          <w:sz w:val="32"/>
          <w14:textFill>
            <w14:solidFill>
              <w14:schemeClr w14:val="tx1">
                <w14:lumMod w14:val="95000"/>
                <w14:lumOff w14:val="5000"/>
              </w14:schemeClr>
            </w14:solidFill>
          </w14:textFill>
        </w:rPr>
        <w:t>（五）</w:t>
      </w:r>
      <w:r>
        <w:rPr>
          <w:rFonts w:ascii="方正楷体_GBK" w:hAnsi="Times New Roman" w:eastAsia="方正楷体_GBK" w:cs="Times New Roman"/>
          <w:bCs/>
          <w:color w:val="0D0D0D" w:themeColor="text1" w:themeTint="F2"/>
          <w:sz w:val="32"/>
          <w14:textFill>
            <w14:solidFill>
              <w14:schemeClr w14:val="tx1">
                <w14:lumMod w14:val="95000"/>
                <w14:lumOff w14:val="5000"/>
              </w14:schemeClr>
            </w14:solidFill>
          </w14:textFill>
        </w:rPr>
        <w:t>总体</w:t>
      </w:r>
      <w:bookmarkEnd w:id="50"/>
      <w:r>
        <w:rPr>
          <w:rFonts w:hint="eastAsia" w:ascii="方正楷体_GBK" w:hAnsi="Times New Roman" w:eastAsia="方正楷体_GBK" w:cs="Times New Roman"/>
          <w:bCs/>
          <w:color w:val="0D0D0D" w:themeColor="text1" w:themeTint="F2"/>
          <w:sz w:val="32"/>
          <w14:textFill>
            <w14:solidFill>
              <w14:schemeClr w14:val="tx1">
                <w14:lumMod w14:val="95000"/>
                <w14:lumOff w14:val="5000"/>
              </w14:schemeClr>
            </w14:solidFill>
          </w14:textFill>
        </w:rPr>
        <w:t>路线</w:t>
      </w:r>
      <w:bookmarkEnd w:id="51"/>
    </w:p>
    <w:p w14:paraId="41152376">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立足北碚区“两山”基地建设战略定位，围绕生态美、产业兴、百姓富三大目标，坚持北碚“两山”基地建设“三步走”的路线图。</w:t>
      </w:r>
    </w:p>
    <w:p w14:paraId="53DEAC91">
      <w:pPr>
        <w:spacing w:line="594" w:lineRule="exact"/>
        <w:ind w:firstLine="640" w:firstLineChars="200"/>
        <w:rPr>
          <w:rFonts w:ascii="Times New Roman" w:hAnsi="Times New Roman" w:eastAsia="方正仿宋_GBK"/>
          <w:sz w:val="32"/>
        </w:rPr>
      </w:pPr>
      <w:r>
        <w:rPr>
          <w:rFonts w:hint="eastAsia" w:ascii="方正楷体_GBK" w:hAnsi="Times New Roman" w:eastAsia="方正楷体_GBK"/>
          <w:sz w:val="32"/>
        </w:rPr>
        <w:t>一是全域建设，全面推进。</w:t>
      </w:r>
      <w:r>
        <w:rPr>
          <w:rFonts w:hint="eastAsia" w:ascii="方正仿宋_GBK" w:hAnsi="Times New Roman" w:eastAsia="方正仿宋_GBK"/>
          <w:sz w:val="32"/>
        </w:rPr>
        <w:t>以北碚区目前优良的生态环境本底为基础，科学审视自身发展优势，初步探索出“两山”转化路径和取得的成效。</w:t>
      </w:r>
      <w:r>
        <w:rPr>
          <w:rFonts w:hint="eastAsia" w:ascii="Times New Roman" w:hAnsi="Times New Roman" w:eastAsia="方正仿宋_GBK"/>
          <w:sz w:val="32"/>
        </w:rPr>
        <w:t>持续改善全区生态环境质量，不断巩固缙云山、中梁山、云雾山、龙王洞山山体屏障优势和嘉陵江流域自然资源，不断探索自然生态资源价值实现机制，努力把全域“绿水青山”所蕴含的生态产品价值和服务价值转化为“金山银山”，整体推进“两山”基地建设，全面实现生态产业持续升级、全区人民共享建设成果，满足人民对良好生态环境的新时代需求。</w:t>
      </w:r>
    </w:p>
    <w:p w14:paraId="4BD7A069">
      <w:pPr>
        <w:spacing w:line="594" w:lineRule="exact"/>
        <w:ind w:firstLine="640" w:firstLineChars="200"/>
        <w:rPr>
          <w:rFonts w:ascii="Times New Roman" w:hAnsi="Times New Roman" w:eastAsia="方正仿宋_GBK"/>
          <w:sz w:val="32"/>
        </w:rPr>
      </w:pPr>
      <w:r>
        <w:rPr>
          <w:rFonts w:hint="eastAsia" w:ascii="方正楷体_GBK" w:hAnsi="Times New Roman" w:eastAsia="方正楷体_GBK"/>
          <w:sz w:val="32"/>
        </w:rPr>
        <w:t>二是分门别类，重点突出。</w:t>
      </w:r>
      <w:r>
        <w:rPr>
          <w:rFonts w:hint="eastAsia" w:ascii="Times New Roman" w:hAnsi="Times New Roman" w:eastAsia="方正仿宋_GBK"/>
          <w:sz w:val="32"/>
        </w:rPr>
        <w:t>推进缙云山山体保护与整体开发、嘉陵江水生态保护与水土高新园区协同发展、筑牢绿色生态屏障助力乡村振兴三大实践案例区域建设；试点示范并最终形成实践区保护绿水青山，资源经济增值保值的举措和方法；总结提炼实践区绿水青山向金山银山转化的路径和通道；归纳总结不同生态本底向绿色经济发展的新思路、新动能；立柱架梁，构建起推动“两山”持续转化的平台和长效机制；最终实现用金山银山的成果富民、惠民、利民，在永续发展中践行护水守山的责任担当。</w:t>
      </w:r>
    </w:p>
    <w:p w14:paraId="02EA69B5">
      <w:pPr>
        <w:ind w:firstLine="640" w:firstLineChars="200"/>
        <w:rPr>
          <w:rFonts w:ascii="Times New Roman" w:hAnsi="Times New Roman" w:eastAsia="方正仿宋_GBK"/>
          <w:sz w:val="32"/>
        </w:rPr>
      </w:pPr>
      <w:r>
        <w:rPr>
          <w:rFonts w:ascii="Times New Roman" w:hAnsi="Times New Roman" w:eastAsia="方正仿宋_GBK"/>
          <w:sz w:val="32"/>
        </w:rPr>
        <w:drawing>
          <wp:inline distT="0" distB="0" distL="0" distR="0">
            <wp:extent cx="4667250" cy="606742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667250" cy="6067425"/>
                    </a:xfrm>
                    <a:prstGeom prst="rect">
                      <a:avLst/>
                    </a:prstGeom>
                    <a:noFill/>
                    <a:ln>
                      <a:noFill/>
                    </a:ln>
                  </pic:spPr>
                </pic:pic>
              </a:graphicData>
            </a:graphic>
          </wp:inline>
        </w:drawing>
      </w:r>
    </w:p>
    <w:p w14:paraId="467B1950">
      <w:pPr>
        <w:autoSpaceDE w:val="0"/>
        <w:autoSpaceDN w:val="0"/>
        <w:adjustRightInd w:val="0"/>
        <w:snapToGrid w:val="0"/>
        <w:spacing w:after="156" w:afterLines="50"/>
        <w:jc w:val="center"/>
        <w:rPr>
          <w:rFonts w:ascii="Times New Roman" w:hAnsi="Times New Roman" w:eastAsia="方正仿宋_GBK" w:cs="Times New Roman"/>
          <w:b/>
          <w:bCs/>
          <w:sz w:val="24"/>
          <w:szCs w:val="24"/>
        </w:rPr>
      </w:pPr>
      <w:r>
        <w:rPr>
          <w:rFonts w:hint="eastAsia" w:ascii="Times New Roman" w:hAnsi="Times New Roman" w:eastAsia="方正仿宋_GBK" w:cs="Times New Roman"/>
          <w:b/>
          <w:bCs/>
          <w:sz w:val="24"/>
          <w:szCs w:val="24"/>
        </w:rPr>
        <w:t>图2</w:t>
      </w:r>
      <w:r>
        <w:rPr>
          <w:rFonts w:ascii="Times New Roman" w:hAnsi="Times New Roman" w:eastAsia="方正仿宋_GBK" w:cs="Times New Roman"/>
          <w:b/>
          <w:bCs/>
          <w:sz w:val="24"/>
          <w:szCs w:val="24"/>
        </w:rPr>
        <w:t xml:space="preserve">1  </w:t>
      </w:r>
      <w:r>
        <w:rPr>
          <w:rFonts w:hint="eastAsia" w:ascii="Times New Roman" w:hAnsi="Times New Roman" w:eastAsia="方正仿宋_GBK" w:cs="Times New Roman"/>
          <w:b/>
          <w:bCs/>
          <w:sz w:val="24"/>
          <w:szCs w:val="24"/>
        </w:rPr>
        <w:t>北碚“两山”实践基地建设三大实践区域示意图</w:t>
      </w:r>
    </w:p>
    <w:p w14:paraId="58A20F21">
      <w:pPr>
        <w:spacing w:line="594" w:lineRule="exact"/>
        <w:ind w:firstLine="640" w:firstLineChars="200"/>
        <w:rPr>
          <w:rFonts w:ascii="Times New Roman" w:hAnsi="Times New Roman" w:eastAsia="方正仿宋_GBK"/>
          <w:sz w:val="32"/>
        </w:rPr>
      </w:pPr>
      <w:r>
        <w:rPr>
          <w:rFonts w:hint="eastAsia" w:ascii="方正楷体_GBK" w:hAnsi="Times New Roman" w:eastAsia="方正楷体_GBK"/>
          <w:sz w:val="32"/>
        </w:rPr>
        <w:t>三是长效跟踪、总结分享。</w:t>
      </w:r>
      <w:r>
        <w:rPr>
          <w:rFonts w:hint="eastAsia" w:ascii="Times New Roman" w:hAnsi="Times New Roman" w:eastAsia="方正仿宋_GBK"/>
          <w:sz w:val="32"/>
        </w:rPr>
        <w:t>建立全域及三大实践区域“两山”建设跟踪、监测、评估体系，通过评估精准剖析在建设过程中不同阶段的“两山”转化深度、转化程度、转化优势及短板，生态产品及生态服务的品牌效应影响范围，体制机制体系对“两山”基地建设的支撑能力等，全面总结及预测北碚“两山”转化过程中的问题、难点和相应对策，及时总结经验、教训。将成熟的做法向北碚辖域内相似地区推广复制，对全区承载发展的生态产品要素形成有效的正向激励机制。在实践的同时，加以深化、凝练和落地，最终形成可复制可推广的北碚“两山”创建理念、模式、机制、政策、制度体系，向全市乃至全国示范分享。</w:t>
      </w:r>
    </w:p>
    <w:p w14:paraId="6E84CD8A">
      <w:pPr>
        <w:spacing w:line="594" w:lineRule="exact"/>
        <w:ind w:firstLine="641"/>
        <w:outlineLvl w:val="1"/>
        <w:rPr>
          <w:rFonts w:ascii="方正楷体_GBK" w:hAnsi="Times New Roman" w:eastAsia="方正楷体_GBK" w:cs="Times New Roman"/>
          <w:bCs/>
          <w:color w:val="0D0D0D" w:themeColor="text1" w:themeTint="F2"/>
          <w:sz w:val="32"/>
          <w14:textFill>
            <w14:solidFill>
              <w14:schemeClr w14:val="tx1">
                <w14:lumMod w14:val="95000"/>
                <w14:lumOff w14:val="5000"/>
              </w14:schemeClr>
            </w14:solidFill>
          </w14:textFill>
        </w:rPr>
      </w:pPr>
      <w:bookmarkStart w:id="52" w:name="_Toc48157862"/>
      <w:bookmarkStart w:id="53" w:name="_Hlk45646774"/>
      <w:r>
        <w:rPr>
          <w:rFonts w:hint="eastAsia" w:ascii="方正楷体_GBK" w:hAnsi="Times New Roman" w:eastAsia="方正楷体_GBK" w:cs="Times New Roman"/>
          <w:bCs/>
          <w:color w:val="0D0D0D" w:themeColor="text1" w:themeTint="F2"/>
          <w:sz w:val="32"/>
          <w14:textFill>
            <w14:solidFill>
              <w14:schemeClr w14:val="tx1">
                <w14:lumMod w14:val="95000"/>
                <w14:lumOff w14:val="5000"/>
              </w14:schemeClr>
            </w14:solidFill>
          </w14:textFill>
        </w:rPr>
        <w:t>（六）三</w:t>
      </w:r>
      <w:r>
        <w:rPr>
          <w:rFonts w:ascii="方正楷体_GBK" w:hAnsi="Times New Roman" w:eastAsia="方正楷体_GBK" w:cs="Times New Roman"/>
          <w:bCs/>
          <w:color w:val="0D0D0D" w:themeColor="text1" w:themeTint="F2"/>
          <w:sz w:val="32"/>
          <w14:textFill>
            <w14:solidFill>
              <w14:schemeClr w14:val="tx1">
                <w14:lumMod w14:val="95000"/>
                <w14:lumOff w14:val="5000"/>
              </w14:schemeClr>
            </w14:solidFill>
          </w14:textFill>
        </w:rPr>
        <w:t>大</w:t>
      </w:r>
      <w:r>
        <w:rPr>
          <w:rFonts w:hint="eastAsia" w:ascii="方正楷体_GBK" w:hAnsi="Times New Roman" w:eastAsia="方正楷体_GBK" w:cs="Times New Roman"/>
          <w:bCs/>
          <w:color w:val="0D0D0D" w:themeColor="text1" w:themeTint="F2"/>
          <w:sz w:val="32"/>
          <w14:textFill>
            <w14:solidFill>
              <w14:schemeClr w14:val="tx1">
                <w14:lumMod w14:val="95000"/>
                <w14:lumOff w14:val="5000"/>
              </w14:schemeClr>
            </w14:solidFill>
          </w14:textFill>
        </w:rPr>
        <w:t>实践区域建设重点布局</w:t>
      </w:r>
      <w:bookmarkEnd w:id="52"/>
      <w:bookmarkEnd w:id="53"/>
    </w:p>
    <w:p w14:paraId="509608D5">
      <w:pPr>
        <w:spacing w:line="594" w:lineRule="exact"/>
        <w:ind w:firstLine="641"/>
        <w:outlineLvl w:val="2"/>
        <w:rPr>
          <w:rFonts w:ascii="Times New Roman" w:hAnsi="Times New Roman" w:eastAsia="方正仿宋_GBK" w:cs="Times New Roman"/>
          <w:b/>
          <w:color w:val="0D0D0D" w:themeColor="text1" w:themeTint="F2"/>
          <w:sz w:val="32"/>
          <w14:textFill>
            <w14:solidFill>
              <w14:schemeClr w14:val="tx1">
                <w14:lumMod w14:val="95000"/>
                <w14:lumOff w14:val="5000"/>
              </w14:schemeClr>
            </w14:solidFill>
          </w14:textFill>
        </w:rPr>
      </w:pPr>
      <w:r>
        <w:rPr>
          <w:rFonts w:ascii="Times New Roman" w:hAnsi="Times New Roman" w:eastAsia="方正仿宋_GBK" w:cs="Times New Roman"/>
          <w:b/>
          <w:color w:val="0D0D0D" w:themeColor="text1" w:themeTint="F2"/>
          <w:sz w:val="32"/>
          <w14:textFill>
            <w14:solidFill>
              <w14:schemeClr w14:val="tx1">
                <w14:lumMod w14:val="95000"/>
                <w14:lumOff w14:val="5000"/>
              </w14:schemeClr>
            </w14:solidFill>
          </w14:textFill>
        </w:rPr>
        <w:t>1.缙云山山体保护与整体开发</w:t>
      </w:r>
    </w:p>
    <w:p w14:paraId="30356DFD">
      <w:pPr>
        <w:spacing w:line="594" w:lineRule="exact"/>
        <w:ind w:firstLine="1920" w:firstLineChars="600"/>
        <w:jc w:val="left"/>
        <w:rPr>
          <w:rFonts w:ascii="方正楷体_GBK" w:hAnsi="Times New Roman" w:eastAsia="方正楷体_GBK" w:cs="Times New Roman"/>
          <w:bCs/>
          <w:sz w:val="32"/>
          <w:szCs w:val="36"/>
        </w:rPr>
      </w:pPr>
      <w:r>
        <w:rPr>
          <w:rFonts w:hint="eastAsia" w:ascii="方正楷体_GBK" w:hAnsi="Times New Roman" w:eastAsia="方正楷体_GBK" w:cs="Times New Roman"/>
          <w:bCs/>
          <w:sz w:val="32"/>
          <w:szCs w:val="36"/>
        </w:rPr>
        <w:t>——做好生态加减法，力促“青山”变“金山”</w:t>
      </w:r>
    </w:p>
    <w:p w14:paraId="145F320D">
      <w:pPr>
        <w:spacing w:line="594" w:lineRule="exact"/>
        <w:ind w:firstLine="640"/>
        <w:rPr>
          <w:rFonts w:ascii="Times New Roman" w:hAnsi="Times New Roman" w:eastAsia="方正仿宋_GBK" w:cs="Times New Roman"/>
          <w:bCs/>
          <w:sz w:val="32"/>
          <w:szCs w:val="32"/>
        </w:rPr>
      </w:pP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r>
        <w:rPr>
          <w:rFonts w:hint="eastAsia" w:ascii="楷体" w:hAnsi="楷体" w:eastAsia="楷体" w:cs="Times New Roman"/>
          <w:bCs/>
          <w:sz w:val="32"/>
          <w:szCs w:val="32"/>
        </w:rPr>
        <w:t>发展战略与定位</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r>
        <w:rPr>
          <w:rFonts w:hint="eastAsia" w:ascii="方正仿宋_GBK" w:hAnsi="Times New Roman" w:eastAsia="方正仿宋_GBK" w:cs="Times New Roman"/>
          <w:bCs/>
          <w:sz w:val="32"/>
          <w:szCs w:val="32"/>
        </w:rPr>
        <w:t>“山上做减法，应拆尽拆；半山做特色，市民共享；山下做加法，升级产业”。全力</w:t>
      </w:r>
      <w:r>
        <w:rPr>
          <w:rFonts w:hint="eastAsia" w:ascii="Times New Roman" w:hAnsi="Times New Roman" w:eastAsia="方正仿宋_GBK" w:cs="Times New Roman"/>
          <w:bCs/>
          <w:sz w:val="32"/>
          <w:szCs w:val="32"/>
        </w:rPr>
        <w:t>保护好缙云山自然生态资源与历史文化资源，守护好“植物物种基因库”，整体做好生态的修复和提升、文化的保护与传承，引导缙云山生态文旅融合发展，打造集旅游、文化、运动、康养于一体的生态文明示范核心区。</w:t>
      </w:r>
    </w:p>
    <w:p w14:paraId="2B37E9B4">
      <w:pPr>
        <w:spacing w:line="594" w:lineRule="exact"/>
        <w:ind w:firstLine="640"/>
        <w:rPr>
          <w:rFonts w:ascii="楷体" w:hAnsi="楷体" w:eastAsia="楷体" w:cs="Times New Roman"/>
          <w:bCs/>
          <w:sz w:val="32"/>
          <w:szCs w:val="32"/>
        </w:rPr>
      </w:pPr>
      <w:r>
        <w:rPr>
          <w:rFonts w:hint="eastAsia" w:ascii="楷体" w:hAnsi="楷体" w:eastAsia="楷体" w:cs="Times New Roman"/>
          <w:bCs/>
          <w:sz w:val="32"/>
          <w:szCs w:val="32"/>
        </w:rPr>
        <w:t>【两山转化路径】：</w:t>
      </w:r>
    </w:p>
    <w:p w14:paraId="35475FC1">
      <w:pPr>
        <w:spacing w:line="594" w:lineRule="exact"/>
        <w:ind w:firstLine="64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（1）统筹推进缙云山山水林田湖草系统治理，重点抓好缙云山生态修复工作，加强缙云山生物多样性保护，推进自然保护地体系建设试点，守护好“植物物种基因库”，全面提升缙云山生态价值。</w:t>
      </w:r>
    </w:p>
    <w:p w14:paraId="0CA1698B">
      <w:pPr>
        <w:spacing w:line="594" w:lineRule="exact"/>
        <w:ind w:firstLine="64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（2）积极发展生态复合型</w:t>
      </w:r>
      <w:r>
        <w:rPr>
          <w:rFonts w:ascii="Times New Roman" w:hAnsi="Times New Roman" w:eastAsia="方正仿宋_GBK" w:cs="Times New Roman"/>
          <w:bCs/>
          <w:sz w:val="32"/>
          <w:szCs w:val="32"/>
        </w:rPr>
        <w:t>产业</w:t>
      </w:r>
      <w:r>
        <w:rPr>
          <w:rFonts w:hint="eastAsia" w:ascii="Times New Roman" w:hAnsi="Times New Roman" w:eastAsia="方正仿宋_GBK" w:cs="Times New Roman"/>
          <w:bCs/>
          <w:sz w:val="32"/>
          <w:szCs w:val="32"/>
        </w:rPr>
        <w:t>，进一步挖掘缙云山自然生态和历史人文资源，统筹布局一批生态、文旅、休闲等新业态，打造户外生态体育产业、生态康养等生态产业转化新业态品牌；</w:t>
      </w:r>
      <w:r>
        <w:rPr>
          <w:rFonts w:ascii="Times New Roman" w:hAnsi="Times New Roman" w:eastAsia="方正仿宋_GBK" w:cs="Times New Roman"/>
          <w:bCs/>
          <w:sz w:val="32"/>
          <w:szCs w:val="32"/>
        </w:rPr>
        <w:t>建立利益联结</w:t>
      </w:r>
      <w:r>
        <w:rPr>
          <w:rFonts w:hint="eastAsia" w:ascii="Times New Roman" w:hAnsi="Times New Roman" w:eastAsia="方正仿宋_GBK" w:cs="Times New Roman"/>
          <w:bCs/>
          <w:sz w:val="32"/>
          <w:szCs w:val="32"/>
        </w:rPr>
        <w:t>共享</w:t>
      </w:r>
      <w:r>
        <w:rPr>
          <w:rFonts w:ascii="Times New Roman" w:hAnsi="Times New Roman" w:eastAsia="方正仿宋_GBK" w:cs="Times New Roman"/>
          <w:bCs/>
          <w:sz w:val="32"/>
          <w:szCs w:val="32"/>
        </w:rPr>
        <w:t>机制</w:t>
      </w:r>
      <w:r>
        <w:rPr>
          <w:rFonts w:hint="eastAsia" w:ascii="Times New Roman" w:hAnsi="Times New Roman" w:eastAsia="方正仿宋_GBK" w:cs="Times New Roman"/>
          <w:bCs/>
          <w:sz w:val="32"/>
          <w:szCs w:val="32"/>
        </w:rPr>
        <w:t>，</w:t>
      </w:r>
      <w:r>
        <w:rPr>
          <w:rFonts w:ascii="Times New Roman" w:hAnsi="Times New Roman" w:eastAsia="方正仿宋_GBK" w:cs="Times New Roman"/>
          <w:bCs/>
          <w:sz w:val="32"/>
          <w:szCs w:val="32"/>
        </w:rPr>
        <w:t>保障群众的民生权益</w:t>
      </w:r>
      <w:r>
        <w:rPr>
          <w:rFonts w:hint="eastAsia" w:ascii="Times New Roman" w:hAnsi="Times New Roman" w:eastAsia="方正仿宋_GBK" w:cs="Times New Roman"/>
          <w:bCs/>
          <w:sz w:val="32"/>
          <w:szCs w:val="32"/>
        </w:rPr>
        <w:t>、</w:t>
      </w:r>
    </w:p>
    <w:p w14:paraId="7A959162">
      <w:pPr>
        <w:spacing w:line="594" w:lineRule="exact"/>
        <w:ind w:firstLine="64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（3）</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建立“两山”转化的跟踪评估机制</w:t>
      </w:r>
      <w:r>
        <w:rPr>
          <w:rFonts w:hint="eastAsia" w:ascii="Times New Roman" w:hAnsi="Times New Roman" w:eastAsia="方正仿宋_GBK" w:cs="Times New Roman"/>
          <w:bCs/>
          <w:sz w:val="32"/>
          <w:szCs w:val="32"/>
        </w:rPr>
        <w:t>，</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结合“两山指数”部分指标及区域特色指标，形成可监测、可计算、可统计的指标体系，</w:t>
      </w:r>
      <w:r>
        <w:rPr>
          <w:rFonts w:hint="eastAsia" w:ascii="Times New Roman" w:hAnsi="Times New Roman" w:eastAsia="方正仿宋_GBK" w:cs="Times New Roman"/>
          <w:bCs/>
          <w:sz w:val="32"/>
          <w:szCs w:val="32"/>
        </w:rPr>
        <w:t>对缙云山生产服务价值持续的量化及评估。</w:t>
      </w:r>
    </w:p>
    <w:p w14:paraId="6EDE9379">
      <w:pPr>
        <w:spacing w:line="594" w:lineRule="exact"/>
        <w:ind w:firstLine="641"/>
        <w:outlineLvl w:val="2"/>
        <w:rPr>
          <w:rFonts w:ascii="Times New Roman" w:hAnsi="Times New Roman" w:eastAsia="方正仿宋_GBK" w:cs="Times New Roman"/>
          <w:b/>
          <w:color w:val="0D0D0D" w:themeColor="text1" w:themeTint="F2"/>
          <w:sz w:val="32"/>
          <w14:textFill>
            <w14:solidFill>
              <w14:schemeClr w14:val="tx1">
                <w14:lumMod w14:val="95000"/>
                <w14:lumOff w14:val="5000"/>
              </w14:schemeClr>
            </w14:solidFill>
          </w14:textFill>
        </w:rPr>
      </w:pPr>
      <w:bookmarkStart w:id="54" w:name="_Hlk47292761"/>
      <w:r>
        <w:rPr>
          <w:rFonts w:hint="eastAsia" w:ascii="Times New Roman" w:hAnsi="Times New Roman" w:eastAsia="方正仿宋_GBK" w:cs="Times New Roman"/>
          <w:b/>
          <w:color w:val="0D0D0D" w:themeColor="text1" w:themeTint="F2"/>
          <w:sz w:val="32"/>
          <w14:textFill>
            <w14:solidFill>
              <w14:schemeClr w14:val="tx1">
                <w14:lumMod w14:val="95000"/>
                <w14:lumOff w14:val="5000"/>
              </w14:schemeClr>
            </w14:solidFill>
          </w14:textFill>
        </w:rPr>
        <w:t>2</w:t>
      </w:r>
      <w:r>
        <w:rPr>
          <w:rFonts w:ascii="Times New Roman" w:hAnsi="Times New Roman" w:eastAsia="方正仿宋_GBK" w:cs="Times New Roman"/>
          <w:b/>
          <w:color w:val="0D0D0D" w:themeColor="text1" w:themeTint="F2"/>
          <w:sz w:val="32"/>
          <w14:textFill>
            <w14:solidFill>
              <w14:schemeClr w14:val="tx1">
                <w14:lumMod w14:val="95000"/>
                <w14:lumOff w14:val="5000"/>
              </w14:schemeClr>
            </w14:solidFill>
          </w14:textFill>
        </w:rPr>
        <w:t>.</w:t>
      </w:r>
      <w:r>
        <w:rPr>
          <w:rFonts w:hint="eastAsia" w:ascii="Times New Roman" w:hAnsi="Times New Roman" w:eastAsia="方正仿宋_GBK" w:cs="Times New Roman"/>
          <w:b/>
          <w:color w:val="0D0D0D" w:themeColor="text1" w:themeTint="F2"/>
          <w:sz w:val="32"/>
          <w14:textFill>
            <w14:solidFill>
              <w14:schemeClr w14:val="tx1">
                <w14:lumMod w14:val="95000"/>
                <w14:lumOff w14:val="5000"/>
              </w14:schemeClr>
            </w14:solidFill>
          </w14:textFill>
        </w:rPr>
        <w:t>水土高新生态城产城景融合发展</w:t>
      </w:r>
      <w:bookmarkEnd w:id="54"/>
    </w:p>
    <w:p w14:paraId="2EF87D13">
      <w:pPr>
        <w:spacing w:line="594" w:lineRule="exact"/>
        <w:ind w:right="-58" w:firstLine="848" w:firstLineChars="265"/>
        <w:rPr>
          <w:rFonts w:ascii="方正楷体_GBK" w:hAnsi="Times New Roman" w:eastAsia="方正楷体_GBK" w:cs="Times New Roman"/>
          <w:bCs/>
          <w:color w:val="0D0D0D" w:themeColor="text1" w:themeTint="F2"/>
          <w:sz w:val="32"/>
          <w14:textFill>
            <w14:solidFill>
              <w14:schemeClr w14:val="tx1">
                <w14:lumMod w14:val="95000"/>
                <w14:lumOff w14:val="5000"/>
              </w14:schemeClr>
            </w14:solidFill>
          </w14:textFill>
        </w:rPr>
      </w:pPr>
      <w:r>
        <w:rPr>
          <w:rFonts w:hint="eastAsia" w:ascii="方正楷体_GBK" w:eastAsia="方正楷体_GBK"/>
          <w:bCs/>
          <w:sz w:val="32"/>
          <w:szCs w:val="36"/>
        </w:rPr>
        <w:t>——</w:t>
      </w:r>
      <w:r>
        <w:rPr>
          <w:rFonts w:hint="eastAsia" w:ascii="方正楷体_GBK" w:hAnsi="Times New Roman" w:eastAsia="方正楷体_GBK" w:cs="Times New Roman"/>
          <w:bCs/>
          <w:color w:val="0D0D0D" w:themeColor="text1" w:themeTint="F2"/>
          <w:sz w:val="32"/>
          <w14:textFill>
            <w14:solidFill>
              <w14:schemeClr w14:val="tx1">
                <w14:lumMod w14:val="95000"/>
                <w14:lumOff w14:val="5000"/>
              </w14:schemeClr>
            </w14:solidFill>
          </w14:textFill>
        </w:rPr>
        <w:t>守护嘉陵江水域安全，建设宜居宜业宜游智慧生态城</w:t>
      </w:r>
    </w:p>
    <w:p w14:paraId="65A85A0C">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hint="eastAsia" w:ascii="楷体" w:hAnsi="楷体" w:eastAsia="楷体" w:cs="Times New Roman"/>
          <w:bCs/>
          <w:sz w:val="32"/>
          <w:szCs w:val="32"/>
        </w:rPr>
        <w:t>【发展战略与定位】</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：坚持尊重自然、顺应自然、保护自然的生态文明理念，</w:t>
      </w:r>
      <w:bookmarkStart w:id="55" w:name="_Hlk45652419"/>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以产城景融合为基调，统筹水土高新产业园生产、生活、生态三大布局，大力推进宜居宜业宜游智慧生态城建设，推动嘉陵江流域水生态环境保护与园区协同发展，打造经济高质量发展和生态环境高水平保护协同推进的高新产业园区样板。</w:t>
      </w:r>
      <w:bookmarkEnd w:id="55"/>
    </w:p>
    <w:p w14:paraId="5A184798">
      <w:pPr>
        <w:spacing w:line="594" w:lineRule="exact"/>
        <w:ind w:firstLine="640"/>
        <w:rPr>
          <w:rFonts w:ascii="楷体" w:hAnsi="楷体" w:eastAsia="楷体" w:cs="Times New Roman"/>
          <w:bCs/>
          <w:sz w:val="32"/>
          <w:szCs w:val="32"/>
        </w:rPr>
      </w:pPr>
      <w:r>
        <w:rPr>
          <w:rFonts w:hint="eastAsia" w:ascii="楷体" w:hAnsi="楷体" w:eastAsia="楷体" w:cs="Times New Roman"/>
          <w:bCs/>
          <w:sz w:val="32"/>
          <w:szCs w:val="32"/>
        </w:rPr>
        <w:t>【两山转化路径】：</w:t>
      </w:r>
    </w:p>
    <w:p w14:paraId="6273E8EA">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bookmarkStart w:id="56" w:name="_Hlk45652457"/>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（1）落实最严格的水资源管理制度，推进工业企业和园区污水处理厂水资源循环利用体系建设，保障嘉陵江水生态环境安全。强化嘉陵江下游悦来水厂水源地水环境保护，提升水质预警能力。</w:t>
      </w:r>
    </w:p>
    <w:p w14:paraId="7D9E060B">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（2）坚持走生态产业化、产业生态化的绿色发展之路，实施更加严格的产业环境准入，完善“芯屏器核网”全产业链和“云联数算用”要素集群，</w:t>
      </w:r>
      <w:bookmarkStart w:id="57" w:name="_Hlk45459006"/>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大力发展</w:t>
      </w:r>
      <w:bookmarkEnd w:id="57"/>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战略性新兴产业，提升创新研发功能。统筹考虑嘉陵江和竹溪河水环境承载力、嘉陵江沿岸重庆中心城区集中式饮用水源地布局和水土高新技术产业园产业体系，进一步论证和调整优化园区产业发展定位，推动园区可持续发展。</w:t>
      </w:r>
    </w:p>
    <w:p w14:paraId="7C02A9D6">
      <w:pPr>
        <w:spacing w:line="594"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（3）精心打造天然山水文脉，注重城市开发建设与自然生态环境有机融合，完善城市功能，优化布局绿色化功能体系，提升城市生态品质。</w:t>
      </w:r>
      <w:r>
        <w:rPr>
          <w:rFonts w:hint="eastAsia" w:ascii="Times New Roman" w:hAnsi="Times New Roman" w:eastAsia="方正仿宋_GBK" w:cs="Times New Roman"/>
          <w:bCs/>
          <w:sz w:val="32"/>
          <w:szCs w:val="32"/>
        </w:rPr>
        <w:t>完善智慧城市信息基础设施，推动城市管理手段、管理模式、管理理念创新，切实提高人民群众获得感、幸福感和安全感。</w:t>
      </w:r>
    </w:p>
    <w:bookmarkEnd w:id="56"/>
    <w:p w14:paraId="45208A93">
      <w:pPr>
        <w:spacing w:line="594" w:lineRule="exact"/>
        <w:ind w:firstLine="641"/>
        <w:outlineLvl w:val="2"/>
        <w:rPr>
          <w:rFonts w:ascii="Times New Roman" w:hAnsi="Times New Roman" w:eastAsia="方正仿宋_GBK" w:cs="Times New Roman"/>
          <w:b/>
          <w:color w:val="0D0D0D" w:themeColor="text1" w:themeTint="F2"/>
          <w:sz w:val="32"/>
          <w14:textFill>
            <w14:solidFill>
              <w14:schemeClr w14:val="tx1">
                <w14:lumMod w14:val="95000"/>
                <w14:lumOff w14:val="5000"/>
              </w14:schemeClr>
            </w14:solidFill>
          </w14:textFill>
        </w:rPr>
      </w:pPr>
      <w:r>
        <w:rPr>
          <w:rFonts w:hint="eastAsia" w:ascii="Times New Roman" w:hAnsi="Times New Roman" w:eastAsia="方正仿宋_GBK" w:cs="Times New Roman"/>
          <w:b/>
          <w:color w:val="0D0D0D" w:themeColor="text1" w:themeTint="F2"/>
          <w:sz w:val="32"/>
          <w14:textFill>
            <w14:solidFill>
              <w14:schemeClr w14:val="tx1">
                <w14:lumMod w14:val="95000"/>
                <w14:lumOff w14:val="5000"/>
              </w14:schemeClr>
            </w14:solidFill>
          </w14:textFill>
        </w:rPr>
        <w:t>3</w:t>
      </w:r>
      <w:r>
        <w:rPr>
          <w:rFonts w:ascii="Times New Roman" w:hAnsi="Times New Roman" w:eastAsia="方正仿宋_GBK" w:cs="Times New Roman"/>
          <w:b/>
          <w:color w:val="0D0D0D" w:themeColor="text1" w:themeTint="F2"/>
          <w:sz w:val="32"/>
          <w14:textFill>
            <w14:solidFill>
              <w14:schemeClr w14:val="tx1">
                <w14:lumMod w14:val="95000"/>
                <w14:lumOff w14:val="5000"/>
              </w14:schemeClr>
            </w14:solidFill>
          </w14:textFill>
        </w:rPr>
        <w:t>.</w:t>
      </w:r>
      <w:r>
        <w:rPr>
          <w:rFonts w:hint="eastAsia" w:ascii="Times New Roman" w:hAnsi="Times New Roman" w:eastAsia="方正仿宋_GBK" w:cs="Times New Roman"/>
          <w:b/>
          <w:color w:val="0D0D0D" w:themeColor="text1" w:themeTint="F2"/>
          <w:sz w:val="32"/>
          <w14:textFill>
            <w14:solidFill>
              <w14:schemeClr w14:val="tx1">
                <w14:lumMod w14:val="95000"/>
                <w14:lumOff w14:val="5000"/>
              </w14:schemeClr>
            </w14:solidFill>
          </w14:textFill>
        </w:rPr>
        <w:t>江东片区生态屏障保护与乡村振兴</w:t>
      </w:r>
    </w:p>
    <w:p w14:paraId="2E58B218">
      <w:pPr>
        <w:spacing w:line="594" w:lineRule="exact"/>
        <w:ind w:right="83" w:firstLine="1120" w:firstLineChars="350"/>
        <w:rPr>
          <w:rFonts w:ascii="方正楷体_GBK" w:hAnsi="Times New Roman" w:eastAsia="方正楷体_GBK" w:cs="Times New Roman"/>
          <w:bCs/>
          <w:color w:val="0D0D0D" w:themeColor="text1" w:themeTint="F2"/>
          <w:sz w:val="32"/>
          <w14:textFill>
            <w14:solidFill>
              <w14:schemeClr w14:val="tx1">
                <w14:lumMod w14:val="95000"/>
                <w14:lumOff w14:val="5000"/>
              </w14:schemeClr>
            </w14:solidFill>
          </w14:textFill>
        </w:rPr>
      </w:pPr>
      <w:r>
        <w:rPr>
          <w:rFonts w:hint="eastAsia" w:ascii="方正楷体_GBK" w:eastAsia="方正楷体_GBK"/>
          <w:bCs/>
          <w:sz w:val="32"/>
          <w:szCs w:val="36"/>
        </w:rPr>
        <w:t>——</w:t>
      </w:r>
      <w:r>
        <w:rPr>
          <w:rFonts w:hint="eastAsia" w:ascii="方正楷体_GBK" w:hAnsi="Times New Roman" w:eastAsia="方正楷体_GBK" w:cs="Times New Roman"/>
          <w:bCs/>
          <w:color w:val="0D0D0D" w:themeColor="text1" w:themeTint="F2"/>
          <w:sz w:val="32"/>
          <w14:textFill>
            <w14:solidFill>
              <w14:schemeClr w14:val="tx1">
                <w14:lumMod w14:val="95000"/>
                <w14:lumOff w14:val="5000"/>
              </w14:schemeClr>
            </w14:solidFill>
          </w14:textFill>
        </w:rPr>
        <w:t>筑牢绿色生态本底</w:t>
      </w:r>
      <w:r>
        <w:rPr>
          <w:rFonts w:hint="eastAsia" w:ascii="方正楷体_GBK" w:eastAsia="方正楷体_GBK"/>
          <w:bCs/>
          <w:sz w:val="32"/>
          <w:szCs w:val="36"/>
        </w:rPr>
        <w:t>，</w:t>
      </w:r>
      <w:bookmarkStart w:id="58" w:name="_Hlk45376946"/>
      <w:r>
        <w:rPr>
          <w:rFonts w:hint="eastAsia" w:ascii="方正楷体_GBK" w:hAnsi="Times New Roman" w:eastAsia="方正楷体_GBK" w:cs="Times New Roman"/>
          <w:bCs/>
          <w:color w:val="0D0D0D" w:themeColor="text1" w:themeTint="F2"/>
          <w:sz w:val="32"/>
          <w14:textFill>
            <w14:solidFill>
              <w14:schemeClr w14:val="tx1">
                <w14:lumMod w14:val="95000"/>
                <w14:lumOff w14:val="5000"/>
              </w14:schemeClr>
            </w14:solidFill>
          </w14:textFill>
        </w:rPr>
        <w:t>打造深度融合发展的乡村生态产业链</w:t>
      </w:r>
    </w:p>
    <w:bookmarkEnd w:id="58"/>
    <w:p w14:paraId="1543D1A4">
      <w:pPr>
        <w:spacing w:line="594" w:lineRule="exact"/>
        <w:ind w:firstLine="643"/>
        <w:rPr>
          <w:rFonts w:ascii="Times New Roman" w:hAnsi="Times New Roman" w:eastAsia="方正仿宋_GBK" w:cs="Times New Roman"/>
          <w:bCs/>
          <w:sz w:val="32"/>
          <w:szCs w:val="32"/>
        </w:rPr>
      </w:pPr>
      <w:r>
        <w:rPr>
          <w:rFonts w:hint="eastAsia" w:ascii="楷体" w:hAnsi="楷体" w:eastAsia="楷体" w:cs="Times New Roman"/>
          <w:bCs/>
          <w:sz w:val="32"/>
          <w:szCs w:val="32"/>
        </w:rPr>
        <w:t>【发展战略与定位】</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bookmarkStart w:id="59" w:name="_Hlk45652588"/>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走“产出高效、产品安全、资源节约、环境友好”的现代化农业发展道路，强化农村自然资源和人居环境保护，</w:t>
      </w:r>
      <w:r>
        <w:rPr>
          <w:rFonts w:hint="eastAsia" w:ascii="Times New Roman" w:hAnsi="Times New Roman" w:eastAsia="方正仿宋_GBK" w:cs="Times New Roman"/>
          <w:bCs/>
          <w:sz w:val="32"/>
          <w:szCs w:val="32"/>
        </w:rPr>
        <w:t>培育和建设一批美丽乡村、田园综合体、乡村文化品牌、特色小镇、“生态</w:t>
      </w:r>
      <w:r>
        <w:rPr>
          <w:rFonts w:ascii="Times New Roman" w:hAnsi="Times New Roman" w:eastAsia="方正仿宋_GBK" w:cs="Times New Roman"/>
          <w:bCs/>
          <w:sz w:val="32"/>
          <w:szCs w:val="32"/>
        </w:rPr>
        <w:t>+</w:t>
      </w:r>
      <w:r>
        <w:rPr>
          <w:rFonts w:hint="eastAsia" w:ascii="Times New Roman" w:hAnsi="Times New Roman" w:eastAsia="方正仿宋_GBK" w:cs="Times New Roman"/>
          <w:bCs/>
          <w:sz w:val="32"/>
          <w:szCs w:val="32"/>
        </w:rPr>
        <w:t>文化</w:t>
      </w:r>
      <w:r>
        <w:rPr>
          <w:rFonts w:ascii="Times New Roman" w:hAnsi="Times New Roman" w:eastAsia="方正仿宋_GBK" w:cs="Times New Roman"/>
          <w:bCs/>
          <w:sz w:val="32"/>
          <w:szCs w:val="32"/>
        </w:rPr>
        <w:t>”</w:t>
      </w:r>
      <w:r>
        <w:rPr>
          <w:rFonts w:hint="eastAsia" w:ascii="Times New Roman" w:hAnsi="Times New Roman" w:eastAsia="方正仿宋_GBK" w:cs="Times New Roman"/>
          <w:bCs/>
          <w:sz w:val="32"/>
          <w:szCs w:val="32"/>
        </w:rPr>
        <w:t>等美丽经济载体，</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探索形成产业链完整、业态多元化、利益联结紧密的农村产业融合发展新格局，推动北碚乡村美丽化、美丽产业化、产业经济化，</w:t>
      </w:r>
      <w:r>
        <w:rPr>
          <w:rFonts w:hint="eastAsia" w:ascii="Times New Roman" w:hAnsi="Times New Roman" w:eastAsia="方正仿宋_GBK" w:cs="Times New Roman"/>
          <w:bCs/>
          <w:sz w:val="32"/>
          <w:szCs w:val="32"/>
        </w:rPr>
        <w:t>探索示范全国的美丽乡村变美丽经济转化路径。</w:t>
      </w:r>
    </w:p>
    <w:p w14:paraId="60389B89">
      <w:pPr>
        <w:spacing w:line="594" w:lineRule="exact"/>
        <w:ind w:firstLine="64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hint="eastAsia" w:ascii="楷体" w:hAnsi="楷体" w:eastAsia="楷体" w:cs="Times New Roman"/>
          <w:bCs/>
          <w:sz w:val="32"/>
          <w:szCs w:val="32"/>
        </w:rPr>
        <w:t>【两山转化路径】：</w:t>
      </w:r>
    </w:p>
    <w:p w14:paraId="707737BC">
      <w:pPr>
        <w:spacing w:line="594" w:lineRule="exact"/>
        <w:ind w:firstLine="64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（1）强化自然资源保护与人居环境改善。实施最严格的生态空间管控，加强生态保护红线管控，加强云雾山、缙云山、中梁山、龙王山洞等生态屏障保护建设。完善乡村基础设施，完成东山环线、西山环线等</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乡村旅游公路</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建设，推进4大农业板块基础设施建设。推进农村人居环境整治，强化农村污水、垃圾、黑臭水体治理，提升美丽乡村建设水平。</w:t>
      </w:r>
    </w:p>
    <w:p w14:paraId="3B04A547">
      <w:pPr>
        <w:spacing w:line="594" w:lineRule="exact"/>
        <w:ind w:firstLine="64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2</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）加快农业供给侧结构性改革，</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打造现代农业全产业链</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大力发展特色效益农业，积极发展创意农业、会展农业、精致农业等新型业态，大力发展农产品加工，完善乡村物流体系。推动农业与旅游业、服务业、文化、信息化等融合发展，推进乡村重点景区产业升级，推进品牌营销服务和经营体系创新，推动农户分享产业增值收益。</w:t>
      </w:r>
    </w:p>
    <w:p w14:paraId="0CE0650B">
      <w:pPr>
        <w:spacing w:line="594" w:lineRule="exact"/>
        <w:ind w:firstLine="643"/>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（3）加强农业农村文化教育与人才队伍培养。</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深化“两山”</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基地、美丽乡村、乡村振兴等宣传教育，推进乡村美术馆、乡村文艺创作基地建设，推动文化生活在乡村落地生根。</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利用高校科研优势，深化农业农村科技支撑、农业产业发展、美丽乡村建设、“两山”人才培养培训、</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产学研深度融合</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等合作。强化各级干部队伍培训，</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提升整体素质。</w:t>
      </w:r>
    </w:p>
    <w:p w14:paraId="45692D0D">
      <w:pPr>
        <w:spacing w:line="594" w:lineRule="exact"/>
        <w:ind w:firstLine="640"/>
        <w:rPr>
          <w:rFonts w:ascii="Times New Roman" w:hAnsi="Times New Roman" w:eastAsia="方正仿宋_GBK" w:cs="Times New Roman"/>
          <w:bCs/>
          <w:sz w:val="32"/>
          <w:szCs w:val="32"/>
        </w:rPr>
      </w:pP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（4）完善乡村生态产业建设保障机制。加大区级财税支持力度，加强涉农资金统筹，优先保障“三农”投入。完善农户、农业普惠金融服务体系，抓好农业补贴政策落实。</w:t>
      </w:r>
      <w:r>
        <w:rPr>
          <w:rFonts w:hint="eastAsia" w:ascii="Times New Roman" w:hAnsi="Times New Roman" w:eastAsia="方正仿宋_GBK" w:cs="Times New Roman"/>
          <w:bCs/>
          <w:sz w:val="32"/>
          <w:szCs w:val="32"/>
        </w:rPr>
        <w:t>完善利益联结机制，开展农业项目财政补助资金股权化改革，</w:t>
      </w:r>
      <w:r>
        <w:rPr>
          <w:rFonts w:ascii="Times New Roman" w:hAnsi="Times New Roman" w:eastAsia="方正仿宋_GBK" w:cs="Times New Roman"/>
          <w:bCs/>
          <w:sz w:val="32"/>
          <w:szCs w:val="32"/>
        </w:rPr>
        <w:t>引导发展多种形式的农业混合所有制经济</w:t>
      </w:r>
      <w:r>
        <w:rPr>
          <w:rFonts w:hint="eastAsia" w:ascii="Times New Roman" w:hAnsi="Times New Roman" w:eastAsia="方正仿宋_GBK" w:cs="Times New Roman"/>
          <w:bCs/>
          <w:sz w:val="32"/>
          <w:szCs w:val="32"/>
        </w:rPr>
        <w:t>，</w:t>
      </w:r>
      <w:r>
        <w:rPr>
          <w:rFonts w:ascii="Times New Roman" w:hAnsi="Times New Roman" w:eastAsia="方正仿宋_GBK" w:cs="Times New Roman"/>
          <w:bCs/>
          <w:sz w:val="32"/>
          <w:szCs w:val="32"/>
        </w:rPr>
        <w:t>引导和鼓励农民自愿入股参与农业产业化经营</w:t>
      </w:r>
      <w:r>
        <w:rPr>
          <w:rFonts w:hint="eastAsia" w:ascii="Times New Roman" w:hAnsi="Times New Roman" w:eastAsia="方正仿宋_GBK" w:cs="Times New Roman"/>
          <w:bCs/>
          <w:sz w:val="32"/>
          <w:szCs w:val="32"/>
        </w:rPr>
        <w:t>，</w:t>
      </w:r>
      <w:r>
        <w:rPr>
          <w:rFonts w:ascii="Times New Roman" w:hAnsi="Times New Roman" w:eastAsia="方正仿宋_GBK" w:cs="Times New Roman"/>
          <w:bCs/>
          <w:sz w:val="32"/>
          <w:szCs w:val="32"/>
        </w:rPr>
        <w:t>把农产品加工、流通等化解的收益更多留在农村、留给农民。</w:t>
      </w:r>
    </w:p>
    <w:bookmarkEnd w:id="59"/>
    <w:p w14:paraId="3E3F38F5">
      <w:pPr>
        <w:spacing w:line="594" w:lineRule="exact"/>
        <w:ind w:firstLine="640" w:firstLineChars="200"/>
        <w:outlineLvl w:val="0"/>
        <w:rPr>
          <w:rFonts w:ascii="Times New Roman" w:hAnsi="Times New Roman" w:eastAsia="黑体" w:cs="Times New Roman"/>
          <w:bCs/>
          <w:color w:val="0D0D0D" w:themeColor="text1" w:themeTint="F2"/>
          <w:sz w:val="32"/>
          <w14:textFill>
            <w14:solidFill>
              <w14:schemeClr w14:val="tx1">
                <w14:lumMod w14:val="95000"/>
                <w14:lumOff w14:val="5000"/>
              </w14:schemeClr>
            </w14:solidFill>
          </w14:textFill>
        </w:rPr>
      </w:pPr>
      <w:bookmarkStart w:id="60" w:name="_Toc48157863"/>
      <w:r>
        <w:rPr>
          <w:rFonts w:hint="eastAsia" w:ascii="Times New Roman" w:hAnsi="Times New Roman" w:eastAsia="黑体" w:cs="Times New Roman"/>
          <w:bCs/>
          <w:color w:val="0D0D0D" w:themeColor="text1" w:themeTint="F2"/>
          <w:sz w:val="32"/>
          <w14:textFill>
            <w14:solidFill>
              <w14:schemeClr w14:val="tx1">
                <w14:lumMod w14:val="95000"/>
                <w14:lumOff w14:val="5000"/>
              </w14:schemeClr>
            </w14:solidFill>
          </w14:textFill>
        </w:rPr>
        <w:t>五、重点任务</w:t>
      </w:r>
      <w:bookmarkEnd w:id="60"/>
    </w:p>
    <w:p w14:paraId="6CAB00AB">
      <w:pPr>
        <w:spacing w:line="594" w:lineRule="exact"/>
        <w:ind w:firstLine="640" w:firstLineChars="200"/>
        <w:outlineLvl w:val="1"/>
        <w:rPr>
          <w:rFonts w:ascii="方正楷体_GBK" w:hAnsi="Times New Roman" w:eastAsia="方正楷体_GBK" w:cs="Times New Roman"/>
          <w:bCs/>
          <w:color w:val="0D0D0D" w:themeColor="text1" w:themeTint="F2"/>
          <w:sz w:val="32"/>
          <w14:textFill>
            <w14:solidFill>
              <w14:schemeClr w14:val="tx1">
                <w14:lumMod w14:val="95000"/>
                <w14:lumOff w14:val="5000"/>
              </w14:schemeClr>
            </w14:solidFill>
          </w14:textFill>
        </w:rPr>
      </w:pPr>
      <w:bookmarkStart w:id="61" w:name="_Toc48157864"/>
      <w:r>
        <w:rPr>
          <w:rFonts w:hint="eastAsia" w:ascii="方正楷体_GBK" w:hAnsi="Times New Roman" w:eastAsia="方正楷体_GBK" w:cs="Times New Roman"/>
          <w:bCs/>
          <w:color w:val="0D0D0D" w:themeColor="text1" w:themeTint="F2"/>
          <w:sz w:val="32"/>
          <w14:textFill>
            <w14:solidFill>
              <w14:schemeClr w14:val="tx1">
                <w14:lumMod w14:val="95000"/>
                <w14:lumOff w14:val="5000"/>
              </w14:schemeClr>
            </w14:solidFill>
          </w14:textFill>
        </w:rPr>
        <w:t>（一）强化自然生态空间管控，坚决守住绿水青山</w:t>
      </w:r>
      <w:bookmarkEnd w:id="61"/>
    </w:p>
    <w:p w14:paraId="6A0B33F1">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坚持像保护眼睛一样保护生态环境，像对待生命一样对待生态环境，</w:t>
      </w:r>
      <w:r>
        <w:rPr>
          <w:rFonts w:ascii="Times New Roman" w:hAnsi="Times New Roman" w:eastAsia="方正仿宋_GBK" w:cs="Times New Roman"/>
          <w:bCs/>
          <w:color w:val="0D0D0D" w:themeColor="text1" w:themeTint="F2"/>
          <w:kern w:val="0"/>
          <w:sz w:val="32"/>
          <w:szCs w:val="32"/>
          <w14:textFill>
            <w14:solidFill>
              <w14:schemeClr w14:val="tx1">
                <w14:lumMod w14:val="95000"/>
                <w14:lumOff w14:val="5000"/>
              </w14:schemeClr>
            </w14:solidFill>
          </w14:textFill>
        </w:rPr>
        <w:t>严格落实主体功能区战略，</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强化国土空间开发保护，</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提升环境质量，</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严格守住绿水青山</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筑牢长江上游生态屏障</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p>
    <w:p w14:paraId="1663E404">
      <w:pPr>
        <w:spacing w:line="594" w:lineRule="exact"/>
        <w:ind w:firstLine="643" w:firstLineChars="200"/>
        <w:outlineLvl w:val="2"/>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pPr>
      <w:bookmarkStart w:id="62" w:name="_Toc45540698"/>
      <w:bookmarkStart w:id="63" w:name="_Hlk516323028"/>
      <w:r>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1.落实主体功能区战略</w:t>
      </w:r>
      <w:bookmarkEnd w:id="62"/>
    </w:p>
    <w:p w14:paraId="6B5614E8">
      <w:pPr>
        <w:spacing w:line="594" w:lineRule="exact"/>
        <w:ind w:firstLine="640" w:firstLineChars="200"/>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 w:val="32"/>
          <w:szCs w:val="32"/>
          <w14:textFill>
            <w14:solidFill>
              <w14:schemeClr w14:val="tx1">
                <w14:lumMod w14:val="95000"/>
                <w14:lumOff w14:val="5000"/>
              </w14:schemeClr>
            </w14:solidFill>
          </w14:textFill>
        </w:rPr>
        <w:t>认真贯彻落实</w:t>
      </w:r>
      <w:bookmarkEnd w:id="63"/>
      <w:bookmarkStart w:id="64" w:name="_Hlk516323016"/>
      <w:r>
        <w:rPr>
          <w:rFonts w:ascii="Times New Roman" w:hAnsi="Times New Roman" w:eastAsia="方正仿宋_GBK" w:cs="Times New Roman"/>
          <w:bCs/>
          <w:color w:val="0D0D0D" w:themeColor="text1" w:themeTint="F2"/>
          <w:kern w:val="0"/>
          <w:sz w:val="32"/>
          <w:szCs w:val="32"/>
          <w14:textFill>
            <w14:solidFill>
              <w14:schemeClr w14:val="tx1">
                <w14:lumMod w14:val="95000"/>
                <w14:lumOff w14:val="5000"/>
              </w14:schemeClr>
            </w14:solidFill>
          </w14:textFill>
        </w:rPr>
        <w:t>主体功能区战略</w:t>
      </w:r>
      <w:bookmarkEnd w:id="64"/>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，严禁不符合主体功能定位的项目落地。推进北碚区国土空间总体规划编制，构建城镇建设空间、农业生产空间、生态保护空间协调统一的空间规划管控体系。</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开展分区规划编制，完善缙云山国土空间规划等专项规划，推动区域详细规划编制工作。</w:t>
      </w:r>
      <w:r>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区规划自然资源局</w:t>
      </w:r>
      <w:r>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；配合单位：区发改委、区生态环境局、</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区交通局、</w:t>
      </w:r>
      <w:r>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区农业农村委、区水利局、区经济信息委、各街镇）</w:t>
      </w:r>
    </w:p>
    <w:p w14:paraId="19E3A228">
      <w:pPr>
        <w:spacing w:line="594" w:lineRule="exact"/>
        <w:ind w:firstLine="643" w:firstLineChars="200"/>
        <w:outlineLvl w:val="2"/>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pPr>
      <w:bookmarkStart w:id="65" w:name="_Toc45540699"/>
      <w:r>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2.</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严格生态空间管控</w:t>
      </w:r>
      <w:bookmarkEnd w:id="65"/>
    </w:p>
    <w:p w14:paraId="76704DCD">
      <w:pPr>
        <w:spacing w:line="594" w:lineRule="exact"/>
        <w:ind w:firstLine="640" w:firstLineChars="200"/>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严守</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生态保护红线</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推进生态保护红线勘界定标工作，确保生态保护红线落地准确、边界清晰。</w:t>
      </w:r>
      <w:r>
        <w:rPr>
          <w:rFonts w:ascii="Times New Roman" w:hAnsi="Times New Roman" w:eastAsia="方正仿宋_GBK" w:cs="Times New Roman"/>
          <w:bCs/>
          <w:color w:val="0D0D0D" w:themeColor="text1" w:themeTint="F2"/>
          <w:kern w:val="0"/>
          <w:sz w:val="32"/>
          <w:szCs w:val="28"/>
          <w14:textFill>
            <w14:solidFill>
              <w14:schemeClr w14:val="tx1">
                <w14:lumMod w14:val="95000"/>
                <w14:lumOff w14:val="5000"/>
              </w14:schemeClr>
            </w14:solidFill>
          </w14:textFill>
        </w:rPr>
        <w:t>加强生态保护红线管控，严控生态保护红线区域内的开发建设活动，建立生态保护红线常态化执法机制，建立健全生态保护红线管理工作考核体系，严格守住生态保护底线。</w:t>
      </w:r>
      <w:r>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区规划自然资源局</w:t>
      </w:r>
      <w:r>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；配合单位：区发改委、区经济信息委、区生态环境局、区住房城乡建委、区交通局、区水利局、区林业局、区农业农村委、相关街镇）</w:t>
      </w:r>
    </w:p>
    <w:p w14:paraId="6C4AFBDA">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严格耕地红线管控</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bookmarkStart w:id="66" w:name="_Hlk516325580"/>
      <w:bookmarkStart w:id="67" w:name="_Hlk508563488"/>
      <w:r>
        <w:rPr>
          <w:rFonts w:ascii="Times New Roman" w:hAnsi="Times New Roman" w:eastAsia="方正仿宋_GBK" w:cs="Times New Roman"/>
          <w:bCs/>
          <w:color w:val="0D0D0D" w:themeColor="text1" w:themeTint="F2"/>
          <w:kern w:val="0"/>
          <w:sz w:val="32"/>
          <w:szCs w:val="28"/>
          <w14:textFill>
            <w14:solidFill>
              <w14:schemeClr w14:val="tx1">
                <w14:lumMod w14:val="95000"/>
                <w14:lumOff w14:val="5000"/>
              </w14:schemeClr>
            </w14:solidFill>
          </w14:textFill>
        </w:rPr>
        <w:t>实行最严格的耕地保护制度，落实耕地和基本农田保护目标责任制。</w:t>
      </w:r>
      <w:bookmarkEnd w:id="66"/>
      <w:r>
        <w:rPr>
          <w:rFonts w:ascii="Times New Roman" w:hAnsi="Times New Roman" w:eastAsia="方正仿宋_GBK" w:cs="Times New Roman"/>
          <w:bCs/>
          <w:color w:val="0D0D0D" w:themeColor="text1" w:themeTint="F2"/>
          <w:kern w:val="0"/>
          <w:sz w:val="32"/>
          <w:szCs w:val="28"/>
          <w14:textFill>
            <w14:solidFill>
              <w14:schemeClr w14:val="tx1">
                <w14:lumMod w14:val="95000"/>
                <w14:lumOff w14:val="5000"/>
              </w14:schemeClr>
            </w14:solidFill>
          </w14:textFill>
        </w:rPr>
        <w:t>通过实施土地整理项目、高标准基本农田建设等工程，加强村土地利用规划编制和土地规划符合性认定等工作，严格执行耕地占补平衡等制度，</w:t>
      </w:r>
      <w:bookmarkEnd w:id="67"/>
      <w:r>
        <w:rPr>
          <w:rFonts w:ascii="Times New Roman" w:hAnsi="Times New Roman" w:eastAsia="方正仿宋_GBK" w:cs="Times New Roman"/>
          <w:bCs/>
          <w:color w:val="0D0D0D" w:themeColor="text1" w:themeTint="F2"/>
          <w:kern w:val="0"/>
          <w:sz w:val="32"/>
          <w:szCs w:val="28"/>
          <w14:textFill>
            <w14:solidFill>
              <w14:schemeClr w14:val="tx1">
                <w14:lumMod w14:val="95000"/>
                <w14:lumOff w14:val="5000"/>
              </w14:schemeClr>
            </w14:solidFill>
          </w14:textFill>
        </w:rPr>
        <w:t>加强耕地保护巡查频度和违法占用查处力度，到2025年，全面完成市级下达的耕地保护目标任务。</w:t>
      </w:r>
      <w:r>
        <w:rPr>
          <w:rFonts w:ascii="Times New Roman" w:hAnsi="Times New Roman" w:eastAsia="方正仿宋_GBK" w:cs="Times New Roman"/>
          <w:b/>
          <w:color w:val="0D0D0D" w:themeColor="text1" w:themeTint="F2"/>
          <w:kern w:val="0"/>
          <w:sz w:val="32"/>
          <w:szCs w:val="28"/>
          <w14:textFill>
            <w14:solidFill>
              <w14:schemeClr w14:val="tx1">
                <w14:lumMod w14:val="95000"/>
                <w14:lumOff w14:val="5000"/>
              </w14:schemeClr>
            </w14:solidFill>
          </w14:textFill>
        </w:rPr>
        <w:t>（</w:t>
      </w:r>
      <w:r>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w:t>
      </w:r>
      <w:r>
        <w:rPr>
          <w:rFonts w:hint="eastAsia" w:ascii="Times New Roman" w:hAnsi="Times New Roman" w:eastAsia="方正仿宋_GBK" w:cs="Times New Roman"/>
          <w:b/>
          <w:color w:val="0D0D0D" w:themeColor="text1" w:themeTint="F2"/>
          <w:kern w:val="0"/>
          <w:sz w:val="32"/>
          <w:szCs w:val="28"/>
          <w14:textFill>
            <w14:solidFill>
              <w14:schemeClr w14:val="tx1">
                <w14:lumMod w14:val="95000"/>
                <w14:lumOff w14:val="5000"/>
              </w14:schemeClr>
            </w14:solidFill>
          </w14:textFill>
        </w:rPr>
        <w:t>区规划自然资源局</w:t>
      </w:r>
      <w:r>
        <w:rPr>
          <w:rFonts w:ascii="Times New Roman" w:hAnsi="Times New Roman" w:eastAsia="方正仿宋_GBK" w:cs="Times New Roman"/>
          <w:b/>
          <w:color w:val="0D0D0D" w:themeColor="text1" w:themeTint="F2"/>
          <w:kern w:val="0"/>
          <w:sz w:val="32"/>
          <w:szCs w:val="28"/>
          <w14:textFill>
            <w14:solidFill>
              <w14:schemeClr w14:val="tx1">
                <w14:lumMod w14:val="95000"/>
                <w14:lumOff w14:val="5000"/>
              </w14:schemeClr>
            </w14:solidFill>
          </w14:textFill>
        </w:rPr>
        <w:t>；配合单位：区农业农村委、相关街镇）</w:t>
      </w:r>
    </w:p>
    <w:p w14:paraId="3D17012C">
      <w:pPr>
        <w:spacing w:line="594" w:lineRule="exact"/>
        <w:ind w:firstLine="640" w:firstLineChars="200"/>
        <w:rPr>
          <w:rFonts w:ascii="Times New Roman" w:hAnsi="Times New Roman" w:eastAsia="方正仿宋_GBK" w:cs="Times New Roman"/>
          <w:bCs/>
          <w:color w:val="0D0D0D" w:themeColor="text1" w:themeTint="F2"/>
          <w:kern w:val="0"/>
          <w:sz w:val="32"/>
          <w:szCs w:val="28"/>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落实“四山”建设管控</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r>
        <w:rPr>
          <w:rFonts w:ascii="Times New Roman" w:hAnsi="Times New Roman" w:eastAsia="方正仿宋_GBK" w:cs="Times New Roman"/>
          <w:bCs/>
          <w:color w:val="0D0D0D" w:themeColor="text1" w:themeTint="F2"/>
          <w:kern w:val="0"/>
          <w:sz w:val="32"/>
          <w:szCs w:val="28"/>
          <w14:textFill>
            <w14:solidFill>
              <w14:schemeClr w14:val="tx1">
                <w14:lumMod w14:val="95000"/>
                <w14:lumOff w14:val="5000"/>
              </w14:schemeClr>
            </w14:solidFill>
          </w14:textFill>
        </w:rPr>
        <w:t>严格落实重庆市“四山”地区开发建设管制规定，控制北碚区“四山”规划调整和项目准入，严控“四山”建设用地总量。优化完善北碚区“四山”各类国土空间规划，推进自然生态资源保护，实施山水林田湖草生态保护修复，抓好“四山”文化保护和传承。</w:t>
      </w:r>
      <w:r>
        <w:rPr>
          <w:rFonts w:ascii="Times New Roman" w:hAnsi="Times New Roman" w:eastAsia="方正仿宋_GBK" w:cs="Times New Roman"/>
          <w:b/>
          <w:color w:val="0D0D0D" w:themeColor="text1" w:themeTint="F2"/>
          <w:kern w:val="0"/>
          <w:sz w:val="32"/>
          <w:szCs w:val="28"/>
          <w14:textFill>
            <w14:solidFill>
              <w14:schemeClr w14:val="tx1">
                <w14:lumMod w14:val="95000"/>
                <w14:lumOff w14:val="5000"/>
              </w14:schemeClr>
            </w14:solidFill>
          </w14:textFill>
        </w:rPr>
        <w:t>（</w:t>
      </w:r>
      <w:r>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w:t>
      </w:r>
      <w:r>
        <w:rPr>
          <w:rFonts w:hint="eastAsia" w:ascii="Times New Roman" w:hAnsi="Times New Roman" w:eastAsia="方正仿宋_GBK" w:cs="Times New Roman"/>
          <w:b/>
          <w:color w:val="0D0D0D" w:themeColor="text1" w:themeTint="F2"/>
          <w:kern w:val="0"/>
          <w:sz w:val="32"/>
          <w:szCs w:val="28"/>
          <w14:textFill>
            <w14:solidFill>
              <w14:schemeClr w14:val="tx1">
                <w14:lumMod w14:val="95000"/>
                <w14:lumOff w14:val="5000"/>
              </w14:schemeClr>
            </w14:solidFill>
          </w14:textFill>
        </w:rPr>
        <w:t>区规划自然资源局</w:t>
      </w:r>
      <w:r>
        <w:rPr>
          <w:rFonts w:ascii="Times New Roman" w:hAnsi="Times New Roman" w:eastAsia="方正仿宋_GBK" w:cs="Times New Roman"/>
          <w:b/>
          <w:color w:val="0D0D0D" w:themeColor="text1" w:themeTint="F2"/>
          <w:kern w:val="0"/>
          <w:sz w:val="32"/>
          <w:szCs w:val="28"/>
          <w14:textFill>
            <w14:solidFill>
              <w14:schemeClr w14:val="tx1">
                <w14:lumMod w14:val="95000"/>
                <w14:lumOff w14:val="5000"/>
              </w14:schemeClr>
            </w14:solidFill>
          </w14:textFill>
        </w:rPr>
        <w:t>；配合单位：区生态环境</w:t>
      </w:r>
      <w:r>
        <w:rPr>
          <w:rFonts w:hint="eastAsia" w:ascii="Times New Roman" w:hAnsi="Times New Roman" w:eastAsia="方正仿宋_GBK" w:cs="Times New Roman"/>
          <w:b/>
          <w:color w:val="0D0D0D" w:themeColor="text1" w:themeTint="F2"/>
          <w:kern w:val="0"/>
          <w:sz w:val="32"/>
          <w:szCs w:val="28"/>
          <w14:textFill>
            <w14:solidFill>
              <w14:schemeClr w14:val="tx1">
                <w14:lumMod w14:val="95000"/>
                <w14:lumOff w14:val="5000"/>
              </w14:schemeClr>
            </w14:solidFill>
          </w14:textFill>
        </w:rPr>
        <w:t>局</w:t>
      </w:r>
      <w:r>
        <w:rPr>
          <w:rFonts w:ascii="Times New Roman" w:hAnsi="Times New Roman" w:eastAsia="方正仿宋_GBK" w:cs="Times New Roman"/>
          <w:b/>
          <w:color w:val="0D0D0D" w:themeColor="text1" w:themeTint="F2"/>
          <w:kern w:val="0"/>
          <w:sz w:val="32"/>
          <w:szCs w:val="28"/>
          <w14:textFill>
            <w14:solidFill>
              <w14:schemeClr w14:val="tx1">
                <w14:lumMod w14:val="95000"/>
                <w14:lumOff w14:val="5000"/>
              </w14:schemeClr>
            </w14:solidFill>
          </w14:textFill>
        </w:rPr>
        <w:t>、区林业局、区住房城乡建委、区农业农村委、区文化旅游委、区发改委、区水利局、相关街镇）</w:t>
      </w:r>
    </w:p>
    <w:p w14:paraId="7B629E92">
      <w:pPr>
        <w:spacing w:line="594" w:lineRule="exact"/>
        <w:ind w:firstLine="640" w:firstLineChars="200"/>
        <w:rPr>
          <w:rFonts w:ascii="Times New Roman" w:hAnsi="Times New Roman" w:eastAsia="方正仿宋_GBK" w:cs="Times New Roman"/>
          <w:bCs/>
          <w:color w:val="0D0D0D" w:themeColor="text1" w:themeTint="F2"/>
          <w:kern w:val="0"/>
          <w:sz w:val="32"/>
          <w:szCs w:val="28"/>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 w:val="32"/>
          <w:szCs w:val="28"/>
          <w14:textFill>
            <w14:solidFill>
              <w14:schemeClr w14:val="tx1">
                <w14:lumMod w14:val="95000"/>
                <w14:lumOff w14:val="5000"/>
              </w14:schemeClr>
            </w14:solidFill>
          </w14:textFill>
        </w:rPr>
        <w:t>完成“四山”违法建设综合整治</w:t>
      </w:r>
      <w:r>
        <w:rPr>
          <w:rFonts w:hint="eastAsia" w:ascii="Times New Roman" w:hAnsi="Times New Roman" w:eastAsia="方正仿宋_GBK" w:cs="Times New Roman"/>
          <w:bCs/>
          <w:color w:val="0D0D0D" w:themeColor="text1" w:themeTint="F2"/>
          <w:kern w:val="0"/>
          <w:sz w:val="32"/>
          <w:szCs w:val="28"/>
          <w14:textFill>
            <w14:solidFill>
              <w14:schemeClr w14:val="tx1">
                <w14:lumMod w14:val="95000"/>
                <w14:lumOff w14:val="5000"/>
              </w14:schemeClr>
            </w14:solidFill>
          </w14:textFill>
        </w:rPr>
        <w:t>。</w:t>
      </w:r>
      <w:r>
        <w:rPr>
          <w:rFonts w:ascii="Times New Roman" w:hAnsi="Times New Roman" w:eastAsia="方正仿宋_GBK" w:cs="Times New Roman"/>
          <w:bCs/>
          <w:color w:val="0D0D0D" w:themeColor="text1" w:themeTint="F2"/>
          <w:kern w:val="0"/>
          <w:sz w:val="32"/>
          <w:szCs w:val="28"/>
          <w14:textFill>
            <w14:solidFill>
              <w14:schemeClr w14:val="tx1">
                <w14:lumMod w14:val="95000"/>
                <w14:lumOff w14:val="5000"/>
              </w14:schemeClr>
            </w14:solidFill>
          </w14:textFill>
        </w:rPr>
        <w:t>（</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牵头单位：</w:t>
      </w:r>
      <w:r>
        <w:rPr>
          <w:rFonts w:hint="eastAsia" w:ascii="Times New Roman" w:hAnsi="Times New Roman" w:eastAsia="方正仿宋_GBK" w:cs="Times New Roman"/>
          <w:bCs/>
          <w:color w:val="0D0D0D" w:themeColor="text1" w:themeTint="F2"/>
          <w:kern w:val="0"/>
          <w:sz w:val="32"/>
          <w:szCs w:val="28"/>
          <w14:textFill>
            <w14:solidFill>
              <w14:schemeClr w14:val="tx1">
                <w14:lumMod w14:val="95000"/>
                <w14:lumOff w14:val="5000"/>
              </w14:schemeClr>
            </w14:solidFill>
          </w14:textFill>
        </w:rPr>
        <w:t>区两违整治办</w:t>
      </w:r>
      <w:r>
        <w:rPr>
          <w:rFonts w:ascii="Times New Roman" w:hAnsi="Times New Roman" w:eastAsia="方正仿宋_GBK" w:cs="Times New Roman"/>
          <w:bCs/>
          <w:color w:val="0D0D0D" w:themeColor="text1" w:themeTint="F2"/>
          <w:kern w:val="0"/>
          <w:sz w:val="32"/>
          <w:szCs w:val="28"/>
          <w14:textFill>
            <w14:solidFill>
              <w14:schemeClr w14:val="tx1">
                <w14:lumMod w14:val="95000"/>
                <w14:lumOff w14:val="5000"/>
              </w14:schemeClr>
            </w14:solidFill>
          </w14:textFill>
        </w:rPr>
        <w:t>；配合单位：区生态环境</w:t>
      </w:r>
      <w:r>
        <w:rPr>
          <w:rFonts w:hint="eastAsia" w:ascii="Times New Roman" w:hAnsi="Times New Roman" w:eastAsia="方正仿宋_GBK" w:cs="Times New Roman"/>
          <w:bCs/>
          <w:color w:val="0D0D0D" w:themeColor="text1" w:themeTint="F2"/>
          <w:kern w:val="0"/>
          <w:sz w:val="32"/>
          <w:szCs w:val="28"/>
          <w14:textFill>
            <w14:solidFill>
              <w14:schemeClr w14:val="tx1">
                <w14:lumMod w14:val="95000"/>
                <w14:lumOff w14:val="5000"/>
              </w14:schemeClr>
            </w14:solidFill>
          </w14:textFill>
        </w:rPr>
        <w:t>局</w:t>
      </w:r>
      <w:r>
        <w:rPr>
          <w:rFonts w:ascii="Times New Roman" w:hAnsi="Times New Roman" w:eastAsia="方正仿宋_GBK" w:cs="Times New Roman"/>
          <w:bCs/>
          <w:color w:val="0D0D0D" w:themeColor="text1" w:themeTint="F2"/>
          <w:kern w:val="0"/>
          <w:sz w:val="32"/>
          <w:szCs w:val="28"/>
          <w14:textFill>
            <w14:solidFill>
              <w14:schemeClr w14:val="tx1">
                <w14:lumMod w14:val="95000"/>
                <w14:lumOff w14:val="5000"/>
              </w14:schemeClr>
            </w14:solidFill>
          </w14:textFill>
        </w:rPr>
        <w:t>、区林业局、区住房城乡建委、区农业农村委、区文化旅游委、区发改委、区水利局、相关街镇）</w:t>
      </w:r>
    </w:p>
    <w:p w14:paraId="698A2DC1">
      <w:pPr>
        <w:spacing w:line="594" w:lineRule="exact"/>
        <w:ind w:firstLine="640" w:firstLineChars="200"/>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强化河湖岸线空间管控</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严格按照嘉陵江干流岸线保护和开发利用总体规划功能分区规划管控指标对嘉陵江北碚段实施管控，切实维护河道岸线保护和开发利用的良好秩序。</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强化“两江四岸”公共空间管理，严格控制滨江建筑按规划距离后退，已建区域结合旧城更新，沿江留出公共绿地、开敞空间、</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慢行步道</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r>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（牵头单位：区水利局</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、区规划自然资源局按照职能职责分别牵头</w:t>
      </w:r>
      <w:r>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w:t>
      </w:r>
      <w:r>
        <w:rPr>
          <w:rFonts w:ascii="Times New Roman" w:hAnsi="Times New Roman" w:eastAsia="方正仿宋_GBK" w:cs="Times New Roman"/>
          <w:b/>
          <w:color w:val="0D0D0D" w:themeColor="text1" w:themeTint="F2"/>
          <w:kern w:val="0"/>
          <w:sz w:val="32"/>
          <w:szCs w:val="28"/>
          <w14:textFill>
            <w14:solidFill>
              <w14:schemeClr w14:val="tx1">
                <w14:lumMod w14:val="95000"/>
                <w14:lumOff w14:val="5000"/>
              </w14:schemeClr>
            </w14:solidFill>
          </w14:textFill>
        </w:rPr>
        <w:t>配合单位：区经济信息委、区交通局、区住房城乡建委、</w:t>
      </w:r>
      <w:r>
        <w:rPr>
          <w:rFonts w:hint="eastAsia" w:ascii="Times New Roman" w:hAnsi="Times New Roman" w:eastAsia="方正仿宋_GBK" w:cs="Times New Roman"/>
          <w:b/>
          <w:color w:val="0D0D0D" w:themeColor="text1" w:themeTint="F2"/>
          <w:kern w:val="0"/>
          <w:sz w:val="32"/>
          <w:szCs w:val="28"/>
          <w14:textFill>
            <w14:solidFill>
              <w14:schemeClr w14:val="tx1">
                <w14:lumMod w14:val="95000"/>
                <w14:lumOff w14:val="5000"/>
              </w14:schemeClr>
            </w14:solidFill>
          </w14:textFill>
        </w:rPr>
        <w:t>区城管局、</w:t>
      </w:r>
      <w:r>
        <w:rPr>
          <w:rFonts w:ascii="Times New Roman" w:hAnsi="Times New Roman" w:eastAsia="方正仿宋_GBK" w:cs="Times New Roman"/>
          <w:b/>
          <w:color w:val="0D0D0D" w:themeColor="text1" w:themeTint="F2"/>
          <w:kern w:val="0"/>
          <w:sz w:val="32"/>
          <w:szCs w:val="28"/>
          <w14:textFill>
            <w14:solidFill>
              <w14:schemeClr w14:val="tx1">
                <w14:lumMod w14:val="95000"/>
                <w14:lumOff w14:val="5000"/>
              </w14:schemeClr>
            </w14:solidFill>
          </w14:textFill>
        </w:rPr>
        <w:t>区农业农村委、相关街镇</w:t>
      </w:r>
      <w:r>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w:t>
      </w:r>
    </w:p>
    <w:p w14:paraId="7FCC41AF">
      <w:pPr>
        <w:spacing w:line="594" w:lineRule="exact"/>
        <w:ind w:firstLine="640" w:firstLineChars="200"/>
        <w:rPr>
          <w:rFonts w:ascii="Times New Roman" w:hAnsi="Times New Roman" w:eastAsia="方正仿宋_GBK" w:cs="Times New Roman"/>
          <w:b/>
          <w:color w:val="0D0D0D" w:themeColor="text1" w:themeTint="F2"/>
          <w:kern w:val="0"/>
          <w:sz w:val="32"/>
          <w:szCs w:val="28"/>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坚决禁止在嘉陵江干流岸线1公里范围内新建重化工、纺织、造纸等存在污染风险的工业项目，5公里范围内除现有园区拓展外严禁新布局工业园区。</w:t>
      </w:r>
      <w:r>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（牵头单位：区发改委</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w:t>
      </w:r>
      <w:r>
        <w:rPr>
          <w:rFonts w:ascii="Times New Roman" w:hAnsi="Times New Roman" w:eastAsia="方正仿宋_GBK" w:cs="Times New Roman"/>
          <w:b/>
          <w:color w:val="0D0D0D" w:themeColor="text1" w:themeTint="F2"/>
          <w:kern w:val="0"/>
          <w:sz w:val="32"/>
          <w:szCs w:val="28"/>
          <w14:textFill>
            <w14:solidFill>
              <w14:schemeClr w14:val="tx1">
                <w14:lumMod w14:val="95000"/>
                <w14:lumOff w14:val="5000"/>
              </w14:schemeClr>
            </w14:solidFill>
          </w14:textFill>
        </w:rPr>
        <w:t>区经济信息委</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按照职能职责分别牵头</w:t>
      </w:r>
      <w:r>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w:t>
      </w:r>
      <w:r>
        <w:rPr>
          <w:rFonts w:ascii="Times New Roman" w:hAnsi="Times New Roman" w:eastAsia="方正仿宋_GBK" w:cs="Times New Roman"/>
          <w:b/>
          <w:color w:val="0D0D0D" w:themeColor="text1" w:themeTint="F2"/>
          <w:kern w:val="0"/>
          <w:sz w:val="32"/>
          <w:szCs w:val="28"/>
          <w14:textFill>
            <w14:solidFill>
              <w14:schemeClr w14:val="tx1">
                <w14:lumMod w14:val="95000"/>
                <w14:lumOff w14:val="5000"/>
              </w14:schemeClr>
            </w14:solidFill>
          </w14:textFill>
        </w:rPr>
        <w:t>配合单位：区生态环境局、</w:t>
      </w:r>
      <w:r>
        <w:rPr>
          <w:rFonts w:hint="eastAsia" w:ascii="Times New Roman" w:hAnsi="Times New Roman" w:eastAsia="方正仿宋_GBK" w:cs="Times New Roman"/>
          <w:b/>
          <w:color w:val="0D0D0D" w:themeColor="text1" w:themeTint="F2"/>
          <w:kern w:val="0"/>
          <w:sz w:val="32"/>
          <w:szCs w:val="28"/>
          <w14:textFill>
            <w14:solidFill>
              <w14:schemeClr w14:val="tx1">
                <w14:lumMod w14:val="95000"/>
                <w14:lumOff w14:val="5000"/>
              </w14:schemeClr>
            </w14:solidFill>
          </w14:textFill>
        </w:rPr>
        <w:t>相关</w:t>
      </w:r>
      <w:r>
        <w:rPr>
          <w:rFonts w:ascii="Times New Roman" w:hAnsi="Times New Roman" w:eastAsia="方正仿宋_GBK" w:cs="Times New Roman"/>
          <w:b/>
          <w:color w:val="0D0D0D" w:themeColor="text1" w:themeTint="F2"/>
          <w:kern w:val="0"/>
          <w:sz w:val="32"/>
          <w:szCs w:val="28"/>
          <w14:textFill>
            <w14:solidFill>
              <w14:schemeClr w14:val="tx1">
                <w14:lumMod w14:val="95000"/>
                <w14:lumOff w14:val="5000"/>
              </w14:schemeClr>
            </w14:solidFill>
          </w14:textFill>
        </w:rPr>
        <w:t>园区管委会</w:t>
      </w:r>
      <w:r>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w:t>
      </w:r>
    </w:p>
    <w:p w14:paraId="644677A2">
      <w:pPr>
        <w:spacing w:line="594" w:lineRule="exact"/>
        <w:ind w:firstLine="643" w:firstLineChars="200"/>
        <w:outlineLvl w:val="2"/>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pPr>
      <w:bookmarkStart w:id="68" w:name="_Toc45540700"/>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3.持续改善大气环境质量</w:t>
      </w:r>
      <w:bookmarkEnd w:id="68"/>
    </w:p>
    <w:p w14:paraId="3A135D1E">
      <w:pPr>
        <w:spacing w:line="594" w:lineRule="exact"/>
        <w:ind w:firstLine="640" w:firstLineChars="200"/>
        <w:rPr>
          <w:rFonts w:eastAsia="方正仿宋_GBK"/>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突出控制交通污染。深化柴油货车污染防治，完善柴油货车限行和监管执法，强化老旧车淘汰，推进柴油货车尾气治理。强化在用车和新车监管，严格执行在用机动车检测、维护制度，强化机动车路检、抽检工作和机动车检验机构监管。加大新能源汽车推广力度，完善新能源汽车基础设施建设。推进非道路移动机械淘汰、回收和治理。推进船舶污染防治，严禁使用重油和不符合标准的普通柴油。积极推进油品质量升级。加强城市交通指挥与疏导，推广智能交通管理。</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（牵头单位：区公安分局、区生态环境局、区经济信息委、区发改委、区住房城乡建委、区交通局、区商务委按照职能职责分别牵头；配合单位：区农业农村委、区市场监管局）</w:t>
      </w:r>
    </w:p>
    <w:p w14:paraId="3D528CE8">
      <w:pPr>
        <w:spacing w:line="594" w:lineRule="exact"/>
        <w:ind w:firstLine="640" w:firstLineChars="200"/>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推进工业污染防治。</w:t>
      </w:r>
      <w:r>
        <w:rPr>
          <w:rFonts w:ascii="Times New Roman" w:hAnsi="Times New Roman" w:eastAsia="方正仿宋_GBK" w:cs="Times New Roman"/>
          <w:bCs/>
          <w:color w:val="0D0D0D" w:themeColor="text1" w:themeTint="F2"/>
          <w:kern w:val="0"/>
          <w:sz w:val="32"/>
          <w:szCs w:val="32"/>
          <w14:textFill>
            <w14:solidFill>
              <w14:schemeClr w14:val="tx1">
                <w14:lumMod w14:val="95000"/>
                <w14:lumOff w14:val="5000"/>
              </w14:schemeClr>
            </w14:solidFill>
          </w14:textFill>
        </w:rPr>
        <w:t>实施工业污染源全面达标排放计划</w:t>
      </w:r>
      <w:r>
        <w:rPr>
          <w:rFonts w:hint="eastAsia" w:ascii="Times New Roman" w:hAnsi="Times New Roman" w:eastAsia="方正仿宋_GBK" w:cs="Times New Roman"/>
          <w:bCs/>
          <w:color w:val="0D0D0D" w:themeColor="text1" w:themeTint="F2"/>
          <w:kern w:val="0"/>
          <w:sz w:val="32"/>
          <w:szCs w:val="32"/>
          <w14:textFill>
            <w14:solidFill>
              <w14:schemeClr w14:val="tx1">
                <w14:lumMod w14:val="95000"/>
                <w14:lumOff w14:val="5000"/>
              </w14:schemeClr>
            </w14:solidFill>
          </w14:textFill>
        </w:rPr>
        <w:t>，</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推进重点行业企业</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挥发性有机物污染综合治理</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，推进涉挥发性有机物排放的汽车维修、机械加工等企业规范和整治，推广使用低挥发性有机物的原辅材料和工艺、设备。</w:t>
      </w:r>
      <w:r>
        <w:rPr>
          <w:rFonts w:ascii="Times New Roman" w:hAnsi="Times New Roman" w:eastAsia="方正仿宋_GBK" w:cs="Times New Roman"/>
          <w:bCs/>
          <w:color w:val="0D0D0D" w:themeColor="text1" w:themeTint="F2"/>
          <w:kern w:val="0"/>
          <w:sz w:val="32"/>
          <w:szCs w:val="32"/>
          <w14:textFill>
            <w14:solidFill>
              <w14:schemeClr w14:val="tx1">
                <w14:lumMod w14:val="95000"/>
                <w14:lumOff w14:val="5000"/>
              </w14:schemeClr>
            </w14:solidFill>
          </w14:textFill>
        </w:rPr>
        <w:t>加</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强工业燃煤消耗总量控制，禁止新建燃煤锅炉、燃煤烧结砖瓦企业</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推进烧结砖瓦窑企业错峰生产</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（牵头单位：区生态环境局、区经济信息委按照职能职责分别牵头；配合单位：区交通局、</w:t>
      </w:r>
      <w:r>
        <w:rPr>
          <w:rFonts w:hint="eastAsia" w:ascii="Times New Roman" w:hAnsi="Times New Roman" w:eastAsia="方正仿宋_GBK" w:cs="Times New Roman"/>
          <w:b/>
          <w:color w:val="0D0D0D" w:themeColor="text1" w:themeTint="F2"/>
          <w:kern w:val="0"/>
          <w:sz w:val="32"/>
          <w:szCs w:val="28"/>
          <w14:textFill>
            <w14:solidFill>
              <w14:schemeClr w14:val="tx1">
                <w14:lumMod w14:val="95000"/>
                <w14:lumOff w14:val="5000"/>
              </w14:schemeClr>
            </w14:solidFill>
          </w14:textFill>
        </w:rPr>
        <w:t>相关</w:t>
      </w:r>
      <w:r>
        <w:rPr>
          <w:rFonts w:ascii="Times New Roman" w:hAnsi="Times New Roman" w:eastAsia="方正仿宋_GBK" w:cs="Times New Roman"/>
          <w:b/>
          <w:color w:val="0D0D0D" w:themeColor="text1" w:themeTint="F2"/>
          <w:kern w:val="0"/>
          <w:sz w:val="32"/>
          <w:szCs w:val="28"/>
          <w14:textFill>
            <w14:solidFill>
              <w14:schemeClr w14:val="tx1">
                <w14:lumMod w14:val="95000"/>
                <w14:lumOff w14:val="5000"/>
              </w14:schemeClr>
            </w14:solidFill>
          </w14:textFill>
        </w:rPr>
        <w:t>园区管委会</w:t>
      </w:r>
      <w:r>
        <w:rPr>
          <w:rFonts w:hint="eastAsia" w:ascii="Times New Roman" w:hAnsi="Times New Roman" w:eastAsia="方正仿宋_GBK" w:cs="Times New Roman"/>
          <w:b/>
          <w:color w:val="0D0D0D" w:themeColor="text1" w:themeTint="F2"/>
          <w:kern w:val="0"/>
          <w:sz w:val="32"/>
          <w:szCs w:val="28"/>
          <w14:textFill>
            <w14:solidFill>
              <w14:schemeClr w14:val="tx1">
                <w14:lumMod w14:val="95000"/>
                <w14:lumOff w14:val="5000"/>
              </w14:schemeClr>
            </w14:solidFill>
          </w14:textFill>
        </w:rPr>
        <w:t>、</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相关街镇）</w:t>
      </w:r>
    </w:p>
    <w:p w14:paraId="7A7BEADB">
      <w:pPr>
        <w:spacing w:line="594" w:lineRule="exact"/>
        <w:ind w:firstLine="640" w:firstLineChars="200"/>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强化扬尘污染控制</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r>
        <w:rPr>
          <w:rFonts w:hint="eastAsia" w:ascii="方正仿宋_GBK" w:hAnsi="Times New Roman" w:eastAsia="方正仿宋_GBK" w:cs="Times New Roman"/>
          <w:bCs/>
          <w:color w:val="0D0D0D" w:themeColor="text1" w:themeTint="F2"/>
          <w:sz w:val="32"/>
          <w14:textFill>
            <w14:solidFill>
              <w14:schemeClr w14:val="tx1">
                <w14:lumMod w14:val="95000"/>
                <w14:lumOff w14:val="5000"/>
              </w14:schemeClr>
            </w14:solidFill>
          </w14:textFill>
        </w:rPr>
        <w:t>加强部门协作，加强施工工地现场监督执法，督促企业全面落实施工扬尘污染防治规定。全面推进“智慧工地”建设，执行施工工地控尘“红黄绿”制度和施工单位“黑名单”制度。加强道路冲洗保洁力度，逐年提高道路机械化清扫作业率的比例。强化脏车和运输扬尘管控，全面执行建筑垃圾密闭运输。强化工业堆场、码头、搅拌站、烟尘等生产经营扬粉尘控制，完善企业、码头扬尘控制措施。</w:t>
      </w:r>
      <w:r>
        <w:rPr>
          <w:rFonts w:hint="eastAsia" w:ascii="方正仿宋_GBK" w:hAnsi="Times New Roman" w:eastAsia="方正仿宋_GBK" w:cs="Times New Roman"/>
          <w:b/>
          <w:color w:val="0D0D0D" w:themeColor="text1" w:themeTint="F2"/>
          <w:sz w:val="32"/>
          <w14:textFill>
            <w14:solidFill>
              <w14:schemeClr w14:val="tx1">
                <w14:lumMod w14:val="95000"/>
                <w14:lumOff w14:val="5000"/>
              </w14:schemeClr>
            </w14:solidFill>
          </w14:textFill>
        </w:rPr>
        <w:t>（牵头单位：区住房城乡建委、区城管局、区生态环境局、区交通局按照职能职责分别牵头；配合单位：区交通局、区规划自然资源局、区经济信息委、</w:t>
      </w:r>
      <w:r>
        <w:rPr>
          <w:rFonts w:hint="eastAsia" w:ascii="Times New Roman" w:hAnsi="Times New Roman" w:eastAsia="方正仿宋_GBK" w:cs="Times New Roman"/>
          <w:b/>
          <w:color w:val="0D0D0D" w:themeColor="text1" w:themeTint="F2"/>
          <w:kern w:val="0"/>
          <w:sz w:val="32"/>
          <w:szCs w:val="28"/>
          <w14:textFill>
            <w14:solidFill>
              <w14:schemeClr w14:val="tx1">
                <w14:lumMod w14:val="95000"/>
                <w14:lumOff w14:val="5000"/>
              </w14:schemeClr>
            </w14:solidFill>
          </w14:textFill>
        </w:rPr>
        <w:t>各园区管委</w:t>
      </w:r>
      <w:r>
        <w:rPr>
          <w:rFonts w:hint="eastAsia" w:ascii="方正仿宋_GBK" w:hAnsi="Times New Roman" w:eastAsia="方正仿宋_GBK" w:cs="Times New Roman"/>
          <w:b/>
          <w:color w:val="0D0D0D" w:themeColor="text1" w:themeTint="F2"/>
          <w:sz w:val="32"/>
          <w14:textFill>
            <w14:solidFill>
              <w14:schemeClr w14:val="tx1">
                <w14:lumMod w14:val="95000"/>
                <w14:lumOff w14:val="5000"/>
              </w14:schemeClr>
            </w14:solidFill>
          </w14:textFill>
        </w:rPr>
        <w:t>）</w:t>
      </w:r>
    </w:p>
    <w:p w14:paraId="488D7AD3">
      <w:pPr>
        <w:spacing w:line="594" w:lineRule="exact"/>
        <w:ind w:firstLine="640" w:firstLineChars="200"/>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精细化管控生活污染。</w:t>
      </w:r>
      <w:r>
        <w:rPr>
          <w:rFonts w:hint="eastAsia" w:ascii="方正仿宋_GBK" w:hAnsi="Times New Roman" w:eastAsia="方正仿宋_GBK" w:cs="Times New Roman"/>
          <w:bCs/>
          <w:color w:val="0D0D0D" w:themeColor="text1" w:themeTint="F2"/>
          <w:sz w:val="32"/>
          <w14:textFill>
            <w14:solidFill>
              <w14:schemeClr w14:val="tx1">
                <w14:lumMod w14:val="95000"/>
                <w14:lumOff w14:val="5000"/>
              </w14:schemeClr>
            </w14:solidFill>
          </w14:textFill>
        </w:rPr>
        <w:t>健全餐饮油烟治理事前事中事后监管机制，持续推进餐饮油烟污染整治工作。强化高污染燃料禁燃区管理，根据城市发展进度扩展范围。加强夜市排挡、露天烧烤等露天餐饮排放监管和执法。强化烟熏腊肉、建筑家装、干洗、污水处理厂、垃圾转运站等其他生活类大气污染防治工作。</w:t>
      </w:r>
      <w:r>
        <w:rPr>
          <w:rFonts w:hint="eastAsia" w:ascii="方正仿宋_GBK" w:hAnsi="Times New Roman" w:eastAsia="方正仿宋_GBK" w:cs="Times New Roman"/>
          <w:b/>
          <w:color w:val="0D0D0D" w:themeColor="text1" w:themeTint="F2"/>
          <w:sz w:val="32"/>
          <w14:textFill>
            <w14:solidFill>
              <w14:schemeClr w14:val="tx1">
                <w14:lumMod w14:val="95000"/>
                <w14:lumOff w14:val="5000"/>
              </w14:schemeClr>
            </w14:solidFill>
          </w14:textFill>
        </w:rPr>
        <w:t>（牵头单位：区生态环境局、区市场监管局、区城管局、区住房城乡建委按照职能职责分别牵头；配合单位：相关街镇）</w:t>
      </w:r>
    </w:p>
    <w:p w14:paraId="7CC8DD6F">
      <w:pPr>
        <w:spacing w:line="594" w:lineRule="exact"/>
        <w:ind w:firstLine="643" w:firstLineChars="200"/>
        <w:outlineLvl w:val="2"/>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pPr>
      <w:bookmarkStart w:id="69" w:name="_Toc45540701"/>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4.大力维护水环境质量</w:t>
      </w:r>
      <w:bookmarkEnd w:id="69"/>
    </w:p>
    <w:p w14:paraId="436FF0B1">
      <w:pPr>
        <w:spacing w:line="594" w:lineRule="exact"/>
        <w:ind w:firstLine="640" w:firstLineChars="200"/>
        <w:rPr>
          <w:rFonts w:ascii="Times New Roman" w:hAnsi="Times New Roman" w:eastAsia="方正仿宋_GBK" w:cs="Times New Roman"/>
          <w:b/>
          <w:color w:val="0D0D0D" w:themeColor="text1" w:themeTint="F2"/>
          <w:sz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推进水土园区水资源节约利用。</w:t>
      </w:r>
      <w:bookmarkStart w:id="70" w:name="_Hlk45622940"/>
      <w:r>
        <w:rPr>
          <w:rFonts w:hint="eastAsia" w:ascii="Times New Roman" w:hAnsi="Times New Roman" w:eastAsia="方正仿宋_GBK" w:cs="Times New Roman"/>
          <w:bCs/>
          <w:color w:val="0D0D0D" w:themeColor="text1" w:themeTint="F2"/>
          <w:sz w:val="32"/>
          <w14:textFill>
            <w14:solidFill>
              <w14:schemeClr w14:val="tx1">
                <w14:lumMod w14:val="95000"/>
                <w14:lumOff w14:val="5000"/>
              </w14:schemeClr>
            </w14:solidFill>
          </w14:textFill>
        </w:rPr>
        <w:t>实施水土污水处理厂提标改造、尾水净化中水回用及尾水管网建设工程。</w:t>
      </w:r>
      <w:r>
        <w:rPr>
          <w:rFonts w:ascii="Times New Roman" w:hAnsi="Times New Roman" w:eastAsia="方正仿宋_GBK" w:cs="Times New Roman"/>
          <w:bCs/>
          <w:color w:val="0D0D0D" w:themeColor="text1" w:themeTint="F2"/>
          <w:sz w:val="32"/>
          <w14:textFill>
            <w14:solidFill>
              <w14:schemeClr w14:val="tx1">
                <w14:lumMod w14:val="95000"/>
                <w14:lumOff w14:val="5000"/>
              </w14:schemeClr>
            </w14:solidFill>
          </w14:textFill>
        </w:rPr>
        <w:t>全面推进景观用水、河道补水、市政用水使用再生水，不断拓展再生水使用范围；</w:t>
      </w:r>
      <w:r>
        <w:rPr>
          <w:rFonts w:hint="eastAsia" w:ascii="Times New Roman" w:hAnsi="Times New Roman" w:eastAsia="方正仿宋_GBK" w:cs="Times New Roman"/>
          <w:bCs/>
          <w:color w:val="0D0D0D" w:themeColor="text1" w:themeTint="F2"/>
          <w:sz w:val="32"/>
          <w14:textFill>
            <w14:solidFill>
              <w14:schemeClr w14:val="tx1">
                <w14:lumMod w14:val="95000"/>
                <w14:lumOff w14:val="5000"/>
              </w14:schemeClr>
            </w14:solidFill>
          </w14:textFill>
        </w:rPr>
        <w:t>推进</w:t>
      </w:r>
      <w:r>
        <w:rPr>
          <w:rFonts w:ascii="Times New Roman" w:hAnsi="Times New Roman" w:eastAsia="方正仿宋_GBK" w:cs="Times New Roman"/>
          <w:bCs/>
          <w:color w:val="0D0D0D" w:themeColor="text1" w:themeTint="F2"/>
          <w:sz w:val="32"/>
          <w14:textFill>
            <w14:solidFill>
              <w14:schemeClr w14:val="tx1">
                <w14:lumMod w14:val="95000"/>
                <w14:lumOff w14:val="5000"/>
              </w14:schemeClr>
            </w14:solidFill>
          </w14:textFill>
        </w:rPr>
        <w:t>建成深度净化中水回用水厂设施，推行生产用水使用深度净化中水。</w:t>
      </w:r>
      <w:r>
        <w:rPr>
          <w:rFonts w:hint="eastAsia" w:ascii="Times New Roman" w:hAnsi="Times New Roman" w:eastAsia="方正仿宋_GBK" w:cs="Times New Roman"/>
          <w:bCs/>
          <w:color w:val="0D0D0D" w:themeColor="text1" w:themeTint="F2"/>
          <w:sz w:val="32"/>
          <w14:textFill>
            <w14:solidFill>
              <w14:schemeClr w14:val="tx1">
                <w14:lumMod w14:val="95000"/>
                <w14:lumOff w14:val="5000"/>
              </w14:schemeClr>
            </w14:solidFill>
          </w14:textFill>
        </w:rPr>
        <w:t>不断提升再</w:t>
      </w:r>
      <w:r>
        <w:rPr>
          <w:rFonts w:ascii="Times New Roman" w:hAnsi="Times New Roman" w:eastAsia="方正仿宋_GBK" w:cs="Times New Roman"/>
          <w:bCs/>
          <w:color w:val="0D0D0D" w:themeColor="text1" w:themeTint="F2"/>
          <w:sz w:val="32"/>
          <w14:textFill>
            <w14:solidFill>
              <w14:schemeClr w14:val="tx1">
                <w14:lumMod w14:val="95000"/>
                <w14:lumOff w14:val="5000"/>
              </w14:schemeClr>
            </w14:solidFill>
          </w14:textFill>
        </w:rPr>
        <w:t>生水和中水回用率。</w:t>
      </w:r>
      <w:r>
        <w:rPr>
          <w:rFonts w:hint="eastAsia" w:ascii="Times New Roman" w:hAnsi="Times New Roman" w:eastAsia="方正仿宋_GBK" w:cs="Times New Roman"/>
          <w:bCs/>
          <w:color w:val="0D0D0D" w:themeColor="text1" w:themeTint="F2"/>
          <w:sz w:val="32"/>
          <w14:textFill>
            <w14:solidFill>
              <w14:schemeClr w14:val="tx1">
                <w14:lumMod w14:val="95000"/>
                <w14:lumOff w14:val="5000"/>
              </w14:schemeClr>
            </w14:solidFill>
          </w14:textFill>
        </w:rPr>
        <w:t>加快推进《水土高新技术产业园废水解决方案》编制与实施，明确临时措施、长久措施和根本措施，确保重庆中心城区未来</w:t>
      </w:r>
      <w:r>
        <w:rPr>
          <w:rFonts w:ascii="Times New Roman" w:hAnsi="Times New Roman" w:eastAsia="方正仿宋_GBK" w:cs="Times New Roman"/>
          <w:bCs/>
          <w:color w:val="0D0D0D" w:themeColor="text1" w:themeTint="F2"/>
          <w:sz w:val="32"/>
          <w14:textFill>
            <w14:solidFill>
              <w14:schemeClr w14:val="tx1">
                <w14:lumMod w14:val="95000"/>
                <w14:lumOff w14:val="5000"/>
              </w14:schemeClr>
            </w14:solidFill>
          </w14:textFill>
        </w:rPr>
        <w:t>400万人民群众饮水安全。</w:t>
      </w:r>
      <w:bookmarkEnd w:id="70"/>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（牵头单位：两江新区水土高新技术产业园管委会；配合单位：水土街道、复兴街道、相关企业）</w:t>
      </w:r>
    </w:p>
    <w:p w14:paraId="0A35CCE0">
      <w:pPr>
        <w:spacing w:line="594" w:lineRule="exact"/>
        <w:ind w:firstLine="640" w:firstLineChars="200"/>
        <w:rPr>
          <w:rFonts w:ascii="方正仿宋_GBK" w:hAnsi="Times New Roman" w:eastAsia="方正仿宋_GBK" w:cs="Times New Roman"/>
          <w:b/>
          <w:color w:val="0D0D0D" w:themeColor="text1" w:themeTint="F2"/>
          <w:sz w:val="32"/>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补齐环境基础设施短板。</w:t>
      </w:r>
      <w:r>
        <w:rPr>
          <w:rFonts w:hint="eastAsia" w:ascii="方正仿宋_GBK" w:hAnsi="Times New Roman" w:eastAsia="方正仿宋_GBK" w:cs="Times New Roman"/>
          <w:bCs/>
          <w:color w:val="0D0D0D" w:themeColor="text1" w:themeTint="F2"/>
          <w:sz w:val="32"/>
          <w14:textFill>
            <w14:solidFill>
              <w14:schemeClr w14:val="tx1">
                <w14:lumMod w14:val="95000"/>
                <w14:lumOff w14:val="5000"/>
              </w14:schemeClr>
            </w14:solidFill>
          </w14:textFill>
        </w:rPr>
        <w:t>完善城镇污水管网资料，推进城乡污水管网改造与建设，深化雨污分流改造。加快推进城镇污水处理厂建设和升级改造，确保城镇污水处理率进一步提升。加强</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乡镇污水处理</w:t>
      </w:r>
      <w:r>
        <w:rPr>
          <w:rFonts w:hint="eastAsia" w:ascii="方正仿宋_GBK" w:hAnsi="Times New Roman" w:eastAsia="方正仿宋_GBK" w:cs="Times New Roman"/>
          <w:bCs/>
          <w:color w:val="0D0D0D" w:themeColor="text1" w:themeTint="F2"/>
          <w:sz w:val="32"/>
          <w14:textFill>
            <w14:solidFill>
              <w14:schemeClr w14:val="tx1">
                <w14:lumMod w14:val="95000"/>
                <w14:lumOff w14:val="5000"/>
              </w14:schemeClr>
            </w14:solidFill>
          </w14:textFill>
        </w:rPr>
        <w:t>设施运营维护，推进乡镇污水处理厂运行专业化、操作规范化、管理制度化。</w:t>
      </w:r>
      <w:r>
        <w:rPr>
          <w:rFonts w:hint="eastAsia" w:ascii="方正仿宋_GBK" w:hAnsi="Times New Roman" w:eastAsia="方正仿宋_GBK" w:cs="Times New Roman"/>
          <w:b/>
          <w:color w:val="0D0D0D" w:themeColor="text1" w:themeTint="F2"/>
          <w:sz w:val="32"/>
          <w14:textFill>
            <w14:solidFill>
              <w14:schemeClr w14:val="tx1">
                <w14:lumMod w14:val="95000"/>
                <w14:lumOff w14:val="5000"/>
              </w14:schemeClr>
            </w14:solidFill>
          </w14:textFill>
        </w:rPr>
        <w:t>（牵头单位：区住房城乡建委；配合单位：区生态环境局、相关街镇）</w:t>
      </w:r>
    </w:p>
    <w:p w14:paraId="79F7E3CF">
      <w:pPr>
        <w:spacing w:line="594" w:lineRule="exact"/>
        <w:ind w:firstLine="640" w:firstLineChars="200"/>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pPr>
      <w:r>
        <w:rPr>
          <w:rFonts w:hint="eastAsia" w:ascii="方正仿宋_GBK" w:hAnsi="Times New Roman" w:eastAsia="方正仿宋_GBK" w:cs="Times New Roman"/>
          <w:bCs/>
          <w:color w:val="0D0D0D" w:themeColor="text1" w:themeTint="F2"/>
          <w:sz w:val="32"/>
          <w14:textFill>
            <w14:solidFill>
              <w14:schemeClr w14:val="tx1">
                <w14:lumMod w14:val="95000"/>
                <w14:lumOff w14:val="5000"/>
              </w14:schemeClr>
            </w14:solidFill>
          </w14:textFill>
        </w:rPr>
        <w:t>加强次级河流综合保护。</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坚持水生态、水资源、水环境三水共治，编制实施北碚区水生态环境保护“十四五”规划，明确重点任务及工程措施。持续推进</w:t>
      </w:r>
      <w:r>
        <w:rPr>
          <w:rFonts w:hint="eastAsia" w:ascii="方正仿宋_GBK" w:hAnsi="Times New Roman" w:eastAsia="方正仿宋_GBK" w:cs="Times New Roman"/>
          <w:bCs/>
          <w:color w:val="0D0D0D" w:themeColor="text1" w:themeTint="F2"/>
          <w:sz w:val="32"/>
          <w14:textFill>
            <w14:solidFill>
              <w14:schemeClr w14:val="tx1">
                <w14:lumMod w14:val="95000"/>
                <w14:lumOff w14:val="5000"/>
              </w14:schemeClr>
            </w14:solidFill>
          </w14:textFill>
        </w:rPr>
        <w:t>嘉陵江、璧北河、黑水滩河等良好水体保护，全面完成嘉陵江入河排污口整治工作。加强工业污染防治，严格工业布局和准入，鼓励工业企业和园区实施中水回用。倡导生态种养殖，大力推进农药化肥减量增效行动，推进畜禽养殖污染治理和粪污资源化利用，防治水产养殖污染。加强嘉陵江船舶</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生活污水、油污水处理设施</w:t>
      </w:r>
      <w:r>
        <w:rPr>
          <w:rFonts w:hint="eastAsia" w:ascii="方正仿宋_GBK" w:hAnsi="Times New Roman" w:eastAsia="方正仿宋_GBK" w:cs="Times New Roman"/>
          <w:bCs/>
          <w:color w:val="0D0D0D" w:themeColor="text1" w:themeTint="F2"/>
          <w:sz w:val="32"/>
          <w14:textFill>
            <w14:solidFill>
              <w14:schemeClr w14:val="tx1">
                <w14:lumMod w14:val="95000"/>
                <w14:lumOff w14:val="5000"/>
              </w14:schemeClr>
            </w14:solidFill>
          </w14:textFill>
        </w:rPr>
        <w:t>监管，</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落实船舶污染物接收、转运、处置联单制度</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r>
        <w:rPr>
          <w:rFonts w:hint="eastAsia" w:ascii="方正仿宋_GBK" w:hAnsi="Times New Roman" w:eastAsia="方正仿宋_GBK" w:cs="Times New Roman"/>
          <w:b/>
          <w:color w:val="0D0D0D" w:themeColor="text1" w:themeTint="F2"/>
          <w:sz w:val="32"/>
          <w14:textFill>
            <w14:solidFill>
              <w14:schemeClr w14:val="tx1">
                <w14:lumMod w14:val="95000"/>
                <w14:lumOff w14:val="5000"/>
              </w14:schemeClr>
            </w14:solidFill>
          </w14:textFill>
        </w:rPr>
        <w:t>（牵头单位：区生态环境局、区水利局、区城管局、区住房城乡建委、区经济信息委、区农业农村委、区交通局按照职能职责分别牵头；配合单位：</w:t>
      </w:r>
      <w:r>
        <w:rPr>
          <w:rFonts w:hint="eastAsia" w:ascii="Times New Roman" w:hAnsi="Times New Roman" w:eastAsia="方正仿宋_GBK" w:cs="Times New Roman"/>
          <w:b/>
          <w:color w:val="0D0D0D" w:themeColor="text1" w:themeTint="F2"/>
          <w:kern w:val="0"/>
          <w:sz w:val="32"/>
          <w:szCs w:val="28"/>
          <w14:textFill>
            <w14:solidFill>
              <w14:schemeClr w14:val="tx1">
                <w14:lumMod w14:val="95000"/>
                <w14:lumOff w14:val="5000"/>
              </w14:schemeClr>
            </w14:solidFill>
          </w14:textFill>
        </w:rPr>
        <w:t>相关园区管委会、</w:t>
      </w:r>
      <w:r>
        <w:rPr>
          <w:rFonts w:hint="eastAsia" w:ascii="方正仿宋_GBK" w:hAnsi="Times New Roman" w:eastAsia="方正仿宋_GBK" w:cs="Times New Roman"/>
          <w:b/>
          <w:color w:val="0D0D0D" w:themeColor="text1" w:themeTint="F2"/>
          <w:sz w:val="32"/>
          <w14:textFill>
            <w14:solidFill>
              <w14:schemeClr w14:val="tx1">
                <w14:lumMod w14:val="95000"/>
                <w14:lumOff w14:val="5000"/>
              </w14:schemeClr>
            </w14:solidFill>
          </w14:textFill>
        </w:rPr>
        <w:t>相关街镇）</w:t>
      </w:r>
    </w:p>
    <w:p w14:paraId="6C555904">
      <w:pPr>
        <w:spacing w:line="594" w:lineRule="exact"/>
        <w:ind w:firstLine="640" w:firstLineChars="200"/>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持续推进马鞍溪、马河溪、山王溪、双</w:t>
      </w:r>
      <w:r>
        <w:rPr>
          <w:rFonts w:hint="eastAsia" w:ascii="Times New Roman" w:hAnsi="Times New Roman" w:eastAsia="方正仿宋_GBK" w:cs="Times New Roman"/>
          <w:bCs/>
          <w:color w:val="0D0D0D" w:themeColor="text1" w:themeTint="F2"/>
          <w:sz w:val="32"/>
          <w:szCs w:val="32"/>
          <w:lang w:eastAsia="zh-CN"/>
          <w14:textFill>
            <w14:solidFill>
              <w14:schemeClr w14:val="tx1">
                <w14:lumMod w14:val="95000"/>
                <w14:lumOff w14:val="5000"/>
              </w14:schemeClr>
            </w14:solidFill>
          </w14:textFill>
        </w:rPr>
        <w:t>凤</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溪“黑臭水体治理提升暨清水绿岸”整治工作，实施流域城乡雨污管网建设和改造、河道及两岸综合整治、地下管线及市政设施整治、海绵城市建设及水质提升、河道环境综合整治、场镇环境综合整治、居民聚集点污染设施建设等重点工程。</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（牵头单位：区住房城乡建委；配合单位：区发改委、区生态环境局、区城管局、区水利局、相关街镇）</w:t>
      </w:r>
    </w:p>
    <w:p w14:paraId="7B2FA15D">
      <w:pPr>
        <w:spacing w:line="594" w:lineRule="exact"/>
        <w:ind w:firstLine="640" w:firstLineChars="200"/>
        <w:rPr>
          <w:rFonts w:ascii="Times New Roman" w:hAnsi="Times New Roman" w:eastAsia="方正仿宋_GBK" w:cs="Times New Roman"/>
          <w:b/>
          <w:color w:val="0D0D0D" w:themeColor="text1" w:themeTint="F2"/>
          <w:kern w:val="0"/>
          <w:sz w:val="32"/>
          <w:szCs w:val="28"/>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保障饮用水水源安全</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r>
        <w:rPr>
          <w:rFonts w:hint="eastAsia" w:ascii="Times New Roman" w:hAnsi="Times New Roman" w:eastAsia="方正仿宋_GBK" w:cs="Times New Roman"/>
          <w:bCs/>
          <w:color w:val="0D0D0D" w:themeColor="text1" w:themeTint="F2"/>
          <w:kern w:val="0"/>
          <w:sz w:val="32"/>
          <w:szCs w:val="28"/>
          <w14:textFill>
            <w14:solidFill>
              <w14:schemeClr w14:val="tx1">
                <w14:lumMod w14:val="95000"/>
                <w14:lumOff w14:val="5000"/>
              </w14:schemeClr>
            </w14:solidFill>
          </w14:textFill>
        </w:rPr>
        <w:t>完成</w:t>
      </w:r>
      <w:r>
        <w:rPr>
          <w:rFonts w:ascii="Times New Roman" w:hAnsi="Times New Roman" w:eastAsia="方正仿宋_GBK" w:cs="Times New Roman"/>
          <w:bCs/>
          <w:color w:val="0D0D0D" w:themeColor="text1" w:themeTint="F2"/>
          <w:kern w:val="0"/>
          <w:sz w:val="32"/>
          <w:szCs w:val="28"/>
          <w14:textFill>
            <w14:solidFill>
              <w14:schemeClr w14:val="tx1">
                <w14:lumMod w14:val="95000"/>
                <w14:lumOff w14:val="5000"/>
              </w14:schemeClr>
            </w14:solidFill>
          </w14:textFill>
        </w:rPr>
        <w:t>集中式饮用水水源地规范化建设</w:t>
      </w:r>
      <w:r>
        <w:rPr>
          <w:rFonts w:hint="eastAsia" w:ascii="Times New Roman" w:hAnsi="Times New Roman" w:eastAsia="方正仿宋_GBK" w:cs="Times New Roman"/>
          <w:bCs/>
          <w:color w:val="0D0D0D" w:themeColor="text1" w:themeTint="F2"/>
          <w:kern w:val="0"/>
          <w:sz w:val="32"/>
          <w:szCs w:val="28"/>
          <w14:textFill>
            <w14:solidFill>
              <w14:schemeClr w14:val="tx1">
                <w14:lumMod w14:val="95000"/>
                <w14:lumOff w14:val="5000"/>
              </w14:schemeClr>
            </w14:solidFill>
          </w14:textFill>
        </w:rPr>
        <w:t>工作，强化水源地巡查管理。</w:t>
      </w:r>
      <w:r>
        <w:rPr>
          <w:rFonts w:ascii="Times New Roman" w:hAnsi="Times New Roman" w:eastAsia="方正仿宋_GBK" w:cs="Times New Roman"/>
          <w:bCs/>
          <w:color w:val="0D0D0D" w:themeColor="text1" w:themeTint="F2"/>
          <w:kern w:val="0"/>
          <w:sz w:val="32"/>
          <w:szCs w:val="28"/>
          <w14:textFill>
            <w14:solidFill>
              <w14:schemeClr w14:val="tx1">
                <w14:lumMod w14:val="95000"/>
                <w14:lumOff w14:val="5000"/>
              </w14:schemeClr>
            </w14:solidFill>
          </w14:textFill>
        </w:rPr>
        <w:t>建立健全饮用水水源应急保障体系</w:t>
      </w:r>
      <w:r>
        <w:rPr>
          <w:rFonts w:hint="eastAsia" w:ascii="Times New Roman" w:hAnsi="Times New Roman" w:eastAsia="方正仿宋_GBK" w:cs="Times New Roman"/>
          <w:bCs/>
          <w:color w:val="0D0D0D" w:themeColor="text1" w:themeTint="F2"/>
          <w:kern w:val="0"/>
          <w:sz w:val="32"/>
          <w:szCs w:val="28"/>
          <w14:textFill>
            <w14:solidFill>
              <w14:schemeClr w14:val="tx1">
                <w14:lumMod w14:val="95000"/>
                <w14:lumOff w14:val="5000"/>
              </w14:schemeClr>
            </w14:solidFill>
          </w14:textFill>
        </w:rPr>
        <w:t>，</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完善饮用水水源地应急预案和应急措施</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r>
        <w:rPr>
          <w:rFonts w:ascii="Times New Roman" w:hAnsi="Times New Roman" w:eastAsia="方正仿宋_GBK" w:cs="Times New Roman"/>
          <w:bCs/>
          <w:color w:val="0D0D0D" w:themeColor="text1" w:themeTint="F2"/>
          <w:kern w:val="0"/>
          <w:sz w:val="32"/>
          <w:szCs w:val="28"/>
          <w14:textFill>
            <w14:solidFill>
              <w14:schemeClr w14:val="tx1">
                <w14:lumMod w14:val="95000"/>
                <w14:lumOff w14:val="5000"/>
              </w14:schemeClr>
            </w14:solidFill>
          </w14:textFill>
        </w:rPr>
        <w:t>定期监测、检测和评估饮用水水源、供水厂出水和用户水龙头出水水质等饮用水安全状况，并向社会公开。</w:t>
      </w:r>
      <w:r>
        <w:rPr>
          <w:rFonts w:hint="eastAsia" w:ascii="Times New Roman" w:hAnsi="Times New Roman" w:eastAsia="方正仿宋_GBK" w:cs="Times New Roman"/>
          <w:b/>
          <w:color w:val="0D0D0D" w:themeColor="text1" w:themeTint="F2"/>
          <w:kern w:val="0"/>
          <w:sz w:val="32"/>
          <w:szCs w:val="28"/>
          <w14:textFill>
            <w14:solidFill>
              <w14:schemeClr w14:val="tx1">
                <w14:lumMod w14:val="95000"/>
                <w14:lumOff w14:val="5000"/>
              </w14:schemeClr>
            </w14:solidFill>
          </w14:textFill>
        </w:rPr>
        <w:t>（牵头单位：区生态环境局、区水利局；配合单位：区交通局、区农业农村委、区应急局、区卫健委、相关街镇）</w:t>
      </w:r>
    </w:p>
    <w:p w14:paraId="31FFD2D4">
      <w:pPr>
        <w:spacing w:line="594" w:lineRule="exact"/>
        <w:ind w:firstLine="640" w:firstLineChars="200"/>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强化地下水环境保护。巩固地下油罐防渗治理成果，石化生产存贮销售企业、工业园区、垃圾填埋场等区域应完善防渗处理设施。推进地下水型集中式饮用水源补给区、工业园区等环境状况调查评估，强化污染防治工作。</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（牵头单位：生态环境局；配合单位：区经济信息委、区规划自然资源局</w:t>
      </w:r>
      <w:r>
        <w:rPr>
          <w:rFonts w:hint="eastAsia" w:ascii="Times New Roman" w:hAnsi="Times New Roman" w:eastAsia="方正仿宋_GBK" w:cs="Times New Roman"/>
          <w:b/>
          <w:color w:val="0D0D0D" w:themeColor="text1" w:themeTint="F2"/>
          <w:kern w:val="0"/>
          <w:sz w:val="32"/>
          <w:szCs w:val="28"/>
          <w14:textFill>
            <w14:solidFill>
              <w14:schemeClr w14:val="tx1">
                <w14:lumMod w14:val="95000"/>
                <w14:lumOff w14:val="5000"/>
              </w14:schemeClr>
            </w14:solidFill>
          </w14:textFill>
        </w:rPr>
        <w:t>、相关园区管委、相关街镇</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w:t>
      </w:r>
    </w:p>
    <w:p w14:paraId="438ADE89">
      <w:pPr>
        <w:spacing w:line="594" w:lineRule="exact"/>
        <w:ind w:firstLine="643" w:firstLineChars="200"/>
        <w:outlineLvl w:val="2"/>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pPr>
      <w:bookmarkStart w:id="71" w:name="_Toc45540702"/>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5.保障土壤环境安全</w:t>
      </w:r>
      <w:bookmarkEnd w:id="71"/>
    </w:p>
    <w:p w14:paraId="6624FAB1">
      <w:pPr>
        <w:spacing w:line="594" w:lineRule="exact"/>
        <w:ind w:firstLine="640" w:firstLineChars="200"/>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强化污染地块风险管控与治理修复。加强土壤污染详查、环境风险调查等数据的整合分类、综合分析，动态更新全区土壤环境质量分布图。分年度有计划开展疑似污染地块环境风险排查和场地环境调查和风险评估。强化疑似及污染地块风险管控，实施污染地块风险管控和治理修复。</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（牵头单位：区生态环境局；配合单位：区规划自然资源局、各园区管委会</w:t>
      </w:r>
      <w:r>
        <w:rPr>
          <w:rFonts w:hint="eastAsia" w:ascii="Times New Roman" w:hAnsi="Times New Roman" w:eastAsia="方正仿宋_GBK" w:cs="Times New Roman"/>
          <w:b/>
          <w:color w:val="0D0D0D" w:themeColor="text1" w:themeTint="F2"/>
          <w:kern w:val="0"/>
          <w:sz w:val="32"/>
          <w:szCs w:val="28"/>
          <w14:textFill>
            <w14:solidFill>
              <w14:schemeClr w14:val="tx1">
                <w14:lumMod w14:val="95000"/>
                <w14:lumOff w14:val="5000"/>
              </w14:schemeClr>
            </w14:solidFill>
          </w14:textFill>
        </w:rPr>
        <w:t>、相关街镇</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w:t>
      </w:r>
    </w:p>
    <w:p w14:paraId="1A46A66F">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保障农用地土壤安全。加大优先保护类耕地保护，严格执行土地用途管制制度等各项耕地保护制度。推进轻中度污染耕地安全利用，强化重度污染耕地严格用途管理。</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（牵头单位：区农业农村委；配合单位：区生态环境局、区经济信息委、相关街镇）</w:t>
      </w:r>
    </w:p>
    <w:p w14:paraId="43455F0B">
      <w:pPr>
        <w:spacing w:line="594" w:lineRule="exact"/>
        <w:ind w:firstLine="640" w:firstLineChars="200"/>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推进无废城市试点建设。进一步完善城市生活垃圾分类收集系统设施，持续推进公共机构生活垃圾强制分类，推进居民生活垃圾分类。以显示器制造、汽摩及其部件制造等行业为重点，强化工业固体废物综合利用处置。大力推进城镇污水污泥以水泥窑、燃煤电厂协同处置等为主的多元处置方式。加强建筑垃圾处理处置，开展建筑垃圾运输、消纳专项整治行动。</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（牵头单位：区城管局、区机关事务管理中心、区经济信息委、区住房城乡建委</w:t>
      </w:r>
      <w:r>
        <w:rPr>
          <w:rFonts w:hint="eastAsia" w:ascii="方正仿宋_GBK" w:hAnsi="Times New Roman" w:eastAsia="方正仿宋_GBK" w:cs="Times New Roman"/>
          <w:b/>
          <w:color w:val="0D0D0D" w:themeColor="text1" w:themeTint="F2"/>
          <w:sz w:val="32"/>
          <w14:textFill>
            <w14:solidFill>
              <w14:schemeClr w14:val="tx1">
                <w14:lumMod w14:val="95000"/>
                <w14:lumOff w14:val="5000"/>
              </w14:schemeClr>
            </w14:solidFill>
          </w14:textFill>
        </w:rPr>
        <w:t>按照职能职责分别牵头</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；配合单位：区生态环境局、相关园区管委会、相关街镇）</w:t>
      </w:r>
    </w:p>
    <w:p w14:paraId="1CBE4A53">
      <w:pPr>
        <w:spacing w:line="594" w:lineRule="exact"/>
        <w:ind w:firstLine="643" w:firstLineChars="200"/>
        <w:outlineLvl w:val="2"/>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pPr>
      <w:bookmarkStart w:id="72" w:name="_Toc45540703"/>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6.推进农村污染防治</w:t>
      </w:r>
      <w:bookmarkEnd w:id="72"/>
    </w:p>
    <w:p w14:paraId="0A6154BF">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强化</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农村生活污水治理。</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按照分散与集中相结合的原则，因地制宜选择纳管、集中、分散处理模式妥善处置农村生活污水。优先治理饮用水水源地保护区、自然保护区、风景名胜区、重要河湖沿岸、居民集聚点、乡村旅游集中区域，完成柳荫镇麻柳河村等</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11个聚居点管网建设、静观镇花园村古湖寺等5个聚居点提升泵站及管网建设、柳荫镇东升村茶园新农村等9个聚居点集中式污水处理设施及配套管网建设、静观镇花园村方金堡等聚居点新建19座分散式处置设施及配套管网建设。</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开展全区</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农村黑臭水体排查，有序推进农村黑臭水体整治</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（牵头单位：区生态环境局；配合单位</w:t>
      </w:r>
      <w:r>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区住房城乡建委、区农业农村委、相关街镇）</w:t>
      </w:r>
    </w:p>
    <w:p w14:paraId="79625232">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推进</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农村生活垃圾治理。持续完善农村生活垃圾收运处置工程，推进农村生活垃圾分类和资源化利用。完善</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农村</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保洁制度，确保农村生活垃圾定点收集、定时清运、无害化处理和资源化利用。</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（牵头单位：区城管局；配合单位：相关街镇）</w:t>
      </w:r>
    </w:p>
    <w:p w14:paraId="69346203">
      <w:pPr>
        <w:spacing w:line="594" w:lineRule="exact"/>
        <w:ind w:firstLine="640" w:firstLineChars="200"/>
        <w:outlineLvl w:val="1"/>
        <w:rPr>
          <w:rFonts w:ascii="方正楷体_GBK" w:hAnsi="Times New Roman" w:eastAsia="方正楷体_GBK" w:cs="Times New Roman"/>
          <w:bCs/>
          <w:color w:val="0D0D0D" w:themeColor="text1" w:themeTint="F2"/>
          <w:sz w:val="32"/>
          <w14:textFill>
            <w14:solidFill>
              <w14:schemeClr w14:val="tx1">
                <w14:lumMod w14:val="95000"/>
                <w14:lumOff w14:val="5000"/>
              </w14:schemeClr>
            </w14:solidFill>
          </w14:textFill>
        </w:rPr>
      </w:pPr>
      <w:bookmarkStart w:id="73" w:name="_Toc48157865"/>
      <w:r>
        <w:rPr>
          <w:rFonts w:hint="eastAsia" w:ascii="方正楷体_GBK" w:hAnsi="Times New Roman" w:eastAsia="方正楷体_GBK" w:cs="Times New Roman"/>
          <w:bCs/>
          <w:color w:val="0D0D0D" w:themeColor="text1" w:themeTint="F2"/>
          <w:sz w:val="32"/>
          <w14:textFill>
            <w14:solidFill>
              <w14:schemeClr w14:val="tx1">
                <w14:lumMod w14:val="95000"/>
                <w14:lumOff w14:val="5000"/>
              </w14:schemeClr>
            </w14:solidFill>
          </w14:textFill>
        </w:rPr>
        <w:t>（二）提高生态产品供给能力，保值增值自然资本</w:t>
      </w:r>
      <w:bookmarkEnd w:id="73"/>
    </w:p>
    <w:p w14:paraId="651EBC5F">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坚持山水林田湖草是生命共同体基本原则，实行全域生态系统保护，提升优质生态产品的供给能力，厚植“两山”转化的生态资本。</w:t>
      </w:r>
    </w:p>
    <w:p w14:paraId="329F939F">
      <w:pPr>
        <w:spacing w:line="594" w:lineRule="exact"/>
        <w:ind w:firstLine="643" w:firstLineChars="200"/>
        <w:outlineLvl w:val="2"/>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pPr>
      <w:bookmarkStart w:id="74" w:name="_Toc45540705"/>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7.</w:t>
      </w:r>
      <w:r>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加强重要生态系统保护</w:t>
      </w:r>
      <w:bookmarkEnd w:id="74"/>
    </w:p>
    <w:p w14:paraId="5BC2771A">
      <w:pPr>
        <w:spacing w:line="594" w:lineRule="exact"/>
        <w:ind w:firstLine="640" w:firstLineChars="200"/>
        <w:rPr>
          <w:rFonts w:ascii="Times New Roman" w:hAnsi="Times New Roman" w:eastAsia="方正仿宋_GBK" w:cs="Times New Roman"/>
          <w:bCs/>
          <w:color w:val="0D0D0D" w:themeColor="text1" w:themeTint="F2"/>
          <w:sz w:val="32"/>
          <w:szCs w:val="32"/>
          <w:highlight w:val="yellow"/>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强化自然保护区保护。完善缙云山自然保护区管理制度，推进缙云山自然保护区保护与建设。按照《</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重庆缙云山国家级自然保护区总体规划（</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2020-2029</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完善缙云山国家级自然保护区基础设施及管理设施建设，加强</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自然保护区生物多样性保护</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，建立健全缙云山自然保护区科研监测设施和宣传教育体系，完善缙云山国家自然保护区信息化系统。</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加强金刀峡、小三峡</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、茅庵</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等县级自然保护区</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保护和</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建设，提升珍稀动植物资源和生态环境保护水平。</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（牵头单位：区林业局；配合单位：缙管局、区生态环境局、区规划自然资源局、区林业局、区农业农村委、区水利局、相关街镇）</w:t>
      </w:r>
    </w:p>
    <w:p w14:paraId="34CA36D5">
      <w:pPr>
        <w:spacing w:line="594" w:lineRule="exact"/>
        <w:ind w:firstLine="640" w:firstLineChars="200"/>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加强风景名胜区保护。加强缙云山国家风景名胜区保护，完善风景名胜区管理制度，协调好旅游开发活动与生态环境保护的关系，</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合理开发利用风景名胜区资源，</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严禁违规开发，从严控制临近区域开发</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强化风景名胜区水污染防治设施运营维护。</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（牵头单位：区林业局；配合单位：区文化旅游委、相关街镇）</w:t>
      </w:r>
    </w:p>
    <w:p w14:paraId="2CC8DF6F">
      <w:pPr>
        <w:spacing w:line="594" w:lineRule="exact"/>
        <w:ind w:firstLine="640" w:firstLineChars="200"/>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推进森林公园保护。加强观音峡国家森林公园</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、重庆茅庵森林公园</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保护，完善森林公园管理制度，强化公园开发建设活动管理。加强森林公园生物多样性保护和污染治理，禁止破坏生态环境、自然景观和人文景观的一切行为。</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（牵头单位：区林业局；配合单位：区文化旅游委、相关街镇）</w:t>
      </w:r>
    </w:p>
    <w:p w14:paraId="7E1C14A3">
      <w:pPr>
        <w:spacing w:line="594" w:lineRule="exact"/>
        <w:ind w:firstLine="640" w:firstLineChars="200"/>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加强湿地生态系统保护。健全湿地保护管理</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体系</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动态更新湿地资源种类、数量及保护情况，</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加强湿地生物多样性保护，</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强化</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宣传教育。</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开展</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嘉陵江消落带湿地植被</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和</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野生动植物栖息地恢复。</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完成</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马鞍溪下游生态修复工程</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龙滩子水库湿地系统恢复与综合整治，</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完成</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黛湖、翠月湖、雨鸣涧等</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湖泊</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生态修复。</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（牵头单位：区林业局、区水利局按职能职责分别牵头；配合单位：区生态环境局、相关街镇）</w:t>
      </w:r>
    </w:p>
    <w:p w14:paraId="771DAAD7">
      <w:pPr>
        <w:spacing w:line="594" w:lineRule="exact"/>
        <w:ind w:firstLine="640" w:firstLineChars="200"/>
        <w:rPr>
          <w:rFonts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推进自然生态资源保护。</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推进</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森林资源保护，</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严格林地规划管控、用途管制，持续实施国土绿化提升行动。强化“四山”水资源保护，划定</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北海底沟、北温泉—大地坝等地下战略后备水源地</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保护区，</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建立水质监测网络</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加强“静观小米”等特色农业资源保护。</w:t>
      </w:r>
      <w:r>
        <w:rPr>
          <w:rFonts w:hint="eastAsia" w:ascii="方正仿宋_GBK"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（牵头单位：区林业局、区生态环境局、区农业农村委</w:t>
      </w:r>
      <w:bookmarkStart w:id="75" w:name="_Hlk48491958"/>
      <w:r>
        <w:rPr>
          <w:rFonts w:hint="eastAsia" w:ascii="方正仿宋_GBK" w:hAnsi="Times New Roman" w:eastAsia="方正仿宋_GBK" w:cs="Times New Roman"/>
          <w:b/>
          <w:color w:val="0D0D0D" w:themeColor="text1" w:themeTint="F2"/>
          <w:sz w:val="32"/>
          <w:szCs w:val="32"/>
          <w14:textFill>
            <w14:solidFill>
              <w14:schemeClr w14:val="tx1">
                <w14:lumMod w14:val="95000"/>
                <w14:lumOff w14:val="5000"/>
              </w14:schemeClr>
            </w14:solidFill>
          </w14:textFill>
        </w:rPr>
        <w:t>按职能职责分别牵头；</w:t>
      </w:r>
      <w:bookmarkEnd w:id="75"/>
      <w:r>
        <w:rPr>
          <w:rFonts w:hint="eastAsia" w:ascii="方正仿宋_GBK" w:hAnsi="Times New Roman" w:eastAsia="方正仿宋_GBK" w:cs="Times New Roman"/>
          <w:b/>
          <w:color w:val="0D0D0D" w:themeColor="text1" w:themeTint="F2"/>
          <w:sz w:val="32"/>
          <w:szCs w:val="32"/>
          <w14:textFill>
            <w14:solidFill>
              <w14:schemeClr w14:val="tx1">
                <w14:lumMod w14:val="95000"/>
                <w14:lumOff w14:val="5000"/>
              </w14:schemeClr>
            </w14:solidFill>
          </w14:textFill>
        </w:rPr>
        <w:t>配合单位：区规划自然资源局、区水利局、相关街镇）</w:t>
      </w:r>
    </w:p>
    <w:p w14:paraId="117BE0E3">
      <w:pPr>
        <w:spacing w:line="594" w:lineRule="exact"/>
        <w:ind w:firstLine="640" w:firstLineChars="200"/>
        <w:rPr>
          <w:rFonts w:ascii="Times New Roman" w:hAnsi="Times New Roman" w:eastAsia="方正仿宋_GBK" w:cs="Times New Roman"/>
          <w:b/>
          <w:color w:val="0D0D0D" w:themeColor="text1" w:themeTint="F2"/>
          <w:kern w:val="0"/>
          <w:sz w:val="32"/>
          <w:szCs w:val="28"/>
          <w14:textFill>
            <w14:solidFill>
              <w14:schemeClr w14:val="tx1">
                <w14:lumMod w14:val="95000"/>
                <w14:lumOff w14:val="5000"/>
              </w14:schemeClr>
            </w14:solidFill>
          </w14:textFill>
        </w:rPr>
      </w:pP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推进生态多样性保护。</w:t>
      </w:r>
      <w:r>
        <w:rPr>
          <w:rFonts w:ascii="Times New Roman" w:hAnsi="Times New Roman" w:eastAsia="方正仿宋_GBK" w:cs="Times New Roman"/>
          <w:bCs/>
          <w:color w:val="0D0D0D" w:themeColor="text1" w:themeTint="F2"/>
          <w:kern w:val="0"/>
          <w:sz w:val="32"/>
          <w:szCs w:val="28"/>
          <w14:textFill>
            <w14:solidFill>
              <w14:schemeClr w14:val="tx1">
                <w14:lumMod w14:val="95000"/>
                <w14:lumOff w14:val="5000"/>
              </w14:schemeClr>
            </w14:solidFill>
          </w14:textFill>
        </w:rPr>
        <w:t>开展全区生物物种资源调查，对重点生态状况摸底调查，对生物多样性及珍稀物种种群等进行评价，完善全区物种资源数据库。</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开展缙云黄芩、中华秋沙鸭等野生动植物监测和拯救保护。</w:t>
      </w:r>
      <w:r>
        <w:rPr>
          <w:rFonts w:hint="eastAsia" w:ascii="Times New Roman" w:hAnsi="Times New Roman" w:eastAsia="方正仿宋_GBK" w:cs="Times New Roman"/>
          <w:bCs/>
          <w:color w:val="0D0D0D" w:themeColor="text1" w:themeTint="F2"/>
          <w:kern w:val="0"/>
          <w:sz w:val="32"/>
          <w:szCs w:val="28"/>
          <w14:textFill>
            <w14:solidFill>
              <w14:schemeClr w14:val="tx1">
                <w14:lumMod w14:val="95000"/>
                <w14:lumOff w14:val="5000"/>
              </w14:schemeClr>
            </w14:solidFill>
          </w14:textFill>
        </w:rPr>
        <w:t>建立完善外来生物入侵数据库、外来有害生物安全监督管理体系和阻截体系。</w:t>
      </w:r>
      <w:bookmarkStart w:id="76" w:name="_Hlk48491912"/>
      <w:r>
        <w:rPr>
          <w:rFonts w:hint="eastAsia" w:ascii="Times New Roman" w:hAnsi="Times New Roman" w:eastAsia="方正仿宋_GBK" w:cs="Times New Roman"/>
          <w:b/>
          <w:color w:val="0D0D0D" w:themeColor="text1" w:themeTint="F2"/>
          <w:kern w:val="0"/>
          <w:sz w:val="32"/>
          <w:szCs w:val="28"/>
          <w14:textFill>
            <w14:solidFill>
              <w14:schemeClr w14:val="tx1">
                <w14:lumMod w14:val="95000"/>
                <w14:lumOff w14:val="5000"/>
              </w14:schemeClr>
            </w14:solidFill>
          </w14:textFill>
        </w:rPr>
        <w:t>（牵头单位：区林业局；配合单位：区水利局、区农业农村委、区城管局、相关街镇）</w:t>
      </w:r>
    </w:p>
    <w:bookmarkEnd w:id="76"/>
    <w:p w14:paraId="11C6D41A">
      <w:pPr>
        <w:spacing w:line="594" w:lineRule="exact"/>
        <w:ind w:firstLine="640" w:firstLineChars="200"/>
        <w:rPr>
          <w:rFonts w:ascii="Times New Roman" w:hAnsi="Times New Roman" w:eastAsia="方正仿宋_GBK" w:cs="Times New Roman"/>
          <w:b/>
          <w:color w:val="0D0D0D" w:themeColor="text1" w:themeTint="F2"/>
          <w:kern w:val="0"/>
          <w:sz w:val="32"/>
          <w:szCs w:val="28"/>
          <w14:textFill>
            <w14:solidFill>
              <w14:schemeClr w14:val="tx1">
                <w14:lumMod w14:val="95000"/>
                <w14:lumOff w14:val="5000"/>
              </w14:schemeClr>
            </w14:solidFill>
          </w14:textFill>
        </w:rPr>
      </w:pPr>
      <w:r>
        <w:rPr>
          <w:rFonts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强化缙云山生物多样性保护。开展自然保护区生物多样性普查，重点实施缙云山生物多样性保护工程，加快缙云山典型生态系统生物多样性保护与修复示范区建设，降低缙云山片区的生境破坏、片段化或退化对生物多样性的影响。开展缙云黄芩、中华秋沙鸭等野生动植物监测和拯救保护行动。禁止在保护区内引进外来物种，防止入侵生物造成生态灾难。实施退化野生动物栖息地恢复，采取建设生物廊道等措施，逐步恢复受损森林生境。</w:t>
      </w:r>
      <w:r>
        <w:rPr>
          <w:rFonts w:hint="eastAsia" w:ascii="Times New Roman" w:hAnsi="Times New Roman" w:eastAsia="方正仿宋_GBK" w:cs="Times New Roman"/>
          <w:b/>
          <w:color w:val="0D0D0D" w:themeColor="text1" w:themeTint="F2"/>
          <w:kern w:val="0"/>
          <w:sz w:val="32"/>
          <w:szCs w:val="28"/>
          <w14:textFill>
            <w14:solidFill>
              <w14:schemeClr w14:val="tx1">
                <w14:lumMod w14:val="95000"/>
                <w14:lumOff w14:val="5000"/>
              </w14:schemeClr>
            </w14:solidFill>
          </w14:textFill>
        </w:rPr>
        <w:t>（牵头单位：区林业局、区生态环境局、缙管局按职能职责分别牵头；配合单位：相关街镇）</w:t>
      </w:r>
    </w:p>
    <w:p w14:paraId="69937148">
      <w:pPr>
        <w:spacing w:line="594" w:lineRule="exact"/>
        <w:ind w:firstLine="643" w:firstLineChars="200"/>
        <w:outlineLvl w:val="2"/>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pPr>
      <w:bookmarkStart w:id="77" w:name="_Toc45540706"/>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8</w:t>
      </w:r>
      <w:r>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统筹山水林田湖草系统治理</w:t>
      </w:r>
      <w:bookmarkEnd w:id="77"/>
    </w:p>
    <w:p w14:paraId="134BCD57">
      <w:pPr>
        <w:spacing w:line="594" w:lineRule="exact"/>
        <w:ind w:firstLine="640" w:firstLineChars="200"/>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加快推进缙云山生态修复。</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推进缙云山生态搬迁异地迁建房、缙云山黛湖生态修复工程、缙云山环山生态绿道等生态修复工程；完成黛湖、翠月湖、马中咀、雨鸣涧、缙云山生态环道示范段、缙云山北温泉旅游度假区游客中心、三花石片区排污管网等一批重点工程建设。推进金刚碑至北温泉公园段步道、缙云山高速出口至山门沿线景观综合整治。强化缙云山林业资源和生态多样性保护，推进水土流失、地质灾害防治工作，全面提升缙云山生态环境品质。</w:t>
      </w:r>
      <w:bookmarkStart w:id="78" w:name="_Hlk48492020"/>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w:t>
      </w:r>
      <w:bookmarkStart w:id="79" w:name="_Hlk48492045"/>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缙管局、</w:t>
      </w:r>
      <w:bookmarkEnd w:id="79"/>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温泉谷两山生态文旅产业园管委会</w:t>
      </w:r>
      <w:r>
        <w:rPr>
          <w:rFonts w:hint="eastAsia" w:ascii="方正仿宋_GBK" w:hAnsi="Times New Roman" w:eastAsia="方正仿宋_GBK" w:cs="Times New Roman"/>
          <w:b/>
          <w:color w:val="0D0D0D" w:themeColor="text1" w:themeTint="F2"/>
          <w:sz w:val="32"/>
          <w:szCs w:val="32"/>
          <w14:textFill>
            <w14:solidFill>
              <w14:schemeClr w14:val="tx1">
                <w14:lumMod w14:val="95000"/>
                <w14:lumOff w14:val="5000"/>
              </w14:schemeClr>
            </w14:solidFill>
          </w14:textFill>
        </w:rPr>
        <w:t>按职能职责分别牵头</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；配合单位：区林业局、区水利局、区规划自然资源局）</w:t>
      </w:r>
    </w:p>
    <w:bookmarkEnd w:id="78"/>
    <w:p w14:paraId="2C8D41E9">
      <w:pPr>
        <w:spacing w:line="594" w:lineRule="exact"/>
        <w:ind w:firstLine="640" w:firstLineChars="200"/>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持续巩固缙云山生态修复。加快《缙云山生态保护修复规划》的编制进度，统筹实施生态环境修复提升、环山生态绿道、生态搬迁异地迁建、三花石片区棚改、生态文化保护传承和民生保障等“</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6</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大工程”</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；结合自然保护区生态环境综合整治工作、国土空间管控要求和自然保护区生态修复需求，实施水土流失综合治理</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地质灾害治理</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黛湖、翠月湖、雨鸣涧等生态修复，生物多样性保护，国土绿化提升行动等水土流失综合治理与生态修复工程，从根本上</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保护好缙云山的绿水青山。</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（牵头单位：温泉谷两山生态文旅产业园管委会；配合单位：缙管局、区林业局、区水利局、区规划自然资源局）</w:t>
      </w:r>
    </w:p>
    <w:p w14:paraId="65CB60A8">
      <w:pPr>
        <w:spacing w:line="594" w:lineRule="exact"/>
        <w:ind w:firstLine="640" w:firstLineChars="200"/>
        <w:rPr>
          <w:rFonts w:ascii="Times New Roman" w:hAnsi="Times New Roman" w:eastAsia="方正仿宋_GBK" w:cs="Times New Roman"/>
          <w:bCs/>
          <w:color w:val="0D0D0D" w:themeColor="text1" w:themeTint="F2"/>
          <w:kern w:val="0"/>
          <w:sz w:val="32"/>
          <w:szCs w:val="28"/>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推进水土流失综合防治。</w:t>
      </w:r>
      <w:r>
        <w:rPr>
          <w:rFonts w:ascii="Times New Roman" w:hAnsi="Times New Roman" w:eastAsia="方正仿宋_GBK" w:cs="Times New Roman"/>
          <w:bCs/>
          <w:color w:val="0D0D0D" w:themeColor="text1" w:themeTint="F2"/>
          <w:kern w:val="0"/>
          <w:sz w:val="32"/>
          <w:szCs w:val="28"/>
          <w14:textFill>
            <w14:solidFill>
              <w14:schemeClr w14:val="tx1">
                <w14:lumMod w14:val="95000"/>
                <w14:lumOff w14:val="5000"/>
              </w14:schemeClr>
            </w14:solidFill>
          </w14:textFill>
        </w:rPr>
        <w:t>加强水土流失重点治理区的治理、监管和预防保护，加强重点预防区的预防管护</w:t>
      </w:r>
      <w:r>
        <w:rPr>
          <w:rFonts w:hint="eastAsia" w:ascii="Times New Roman" w:hAnsi="Times New Roman" w:eastAsia="方正仿宋_GBK" w:cs="Times New Roman"/>
          <w:bCs/>
          <w:color w:val="0D0D0D" w:themeColor="text1" w:themeTint="F2"/>
          <w:kern w:val="0"/>
          <w:sz w:val="32"/>
          <w:szCs w:val="28"/>
          <w14:textFill>
            <w14:solidFill>
              <w14:schemeClr w14:val="tx1">
                <w14:lumMod w14:val="95000"/>
                <w14:lumOff w14:val="5000"/>
              </w14:schemeClr>
            </w14:solidFill>
          </w14:textFill>
        </w:rPr>
        <w:t>，</w:t>
      </w:r>
      <w:r>
        <w:rPr>
          <w:rFonts w:ascii="Times New Roman" w:hAnsi="Times New Roman" w:eastAsia="方正仿宋_GBK" w:cs="Times New Roman"/>
          <w:bCs/>
          <w:color w:val="0D0D0D" w:themeColor="text1" w:themeTint="F2"/>
          <w:kern w:val="0"/>
          <w:sz w:val="32"/>
          <w:szCs w:val="28"/>
          <w14:textFill>
            <w14:solidFill>
              <w14:schemeClr w14:val="tx1">
                <w14:lumMod w14:val="95000"/>
                <w14:lumOff w14:val="5000"/>
              </w14:schemeClr>
            </w14:solidFill>
          </w14:textFill>
        </w:rPr>
        <w:t>强化水土保持预防监督与监测工作，加大治理和封育管理力度，做好水土保持信息化工作，按年度推进水土保持实施方案编制和重点项目建设。</w:t>
      </w:r>
      <w:r>
        <w:rPr>
          <w:rFonts w:hint="eastAsia" w:ascii="Times New Roman" w:hAnsi="Times New Roman" w:eastAsia="方正仿宋_GBK" w:cs="Times New Roman"/>
          <w:b/>
          <w:color w:val="0D0D0D" w:themeColor="text1" w:themeTint="F2"/>
          <w:kern w:val="0"/>
          <w:sz w:val="32"/>
          <w:szCs w:val="28"/>
          <w14:textFill>
            <w14:solidFill>
              <w14:schemeClr w14:val="tx1">
                <w14:lumMod w14:val="95000"/>
                <w14:lumOff w14:val="5000"/>
              </w14:schemeClr>
            </w14:solidFill>
          </w14:textFill>
        </w:rPr>
        <w:t>（牵头单位：区水利局；配合单位：相关街镇）</w:t>
      </w:r>
    </w:p>
    <w:p w14:paraId="33F8067A">
      <w:pPr>
        <w:spacing w:line="594" w:lineRule="exact"/>
        <w:ind w:firstLine="640" w:firstLineChars="200"/>
        <w:rPr>
          <w:rFonts w:ascii="Times New Roman" w:hAnsi="Times New Roman" w:eastAsia="方正仿宋_GBK" w:cs="Times New Roman"/>
          <w:b/>
          <w:color w:val="0D0D0D" w:themeColor="text1" w:themeTint="F2"/>
          <w:kern w:val="0"/>
          <w:sz w:val="32"/>
          <w:szCs w:val="28"/>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kern w:val="0"/>
          <w:sz w:val="32"/>
          <w:szCs w:val="28"/>
          <w14:textFill>
            <w14:solidFill>
              <w14:schemeClr w14:val="tx1">
                <w14:lumMod w14:val="95000"/>
                <w14:lumOff w14:val="5000"/>
              </w14:schemeClr>
            </w14:solidFill>
          </w14:textFill>
        </w:rPr>
        <w:t>推进自然灾害防治。完善防汛抗旱防灾减灾救灾体系，严格防洪规划管理，</w:t>
      </w:r>
      <w:r>
        <w:rPr>
          <w:rFonts w:ascii="Times New Roman" w:hAnsi="Times New Roman" w:eastAsia="方正仿宋_GBK" w:cs="Times New Roman"/>
          <w:bCs/>
          <w:color w:val="0D0D0D" w:themeColor="text1" w:themeTint="F2"/>
          <w:kern w:val="0"/>
          <w:sz w:val="32"/>
          <w:szCs w:val="28"/>
          <w14:textFill>
            <w14:solidFill>
              <w14:schemeClr w14:val="tx1">
                <w14:lumMod w14:val="95000"/>
                <w14:lumOff w14:val="5000"/>
              </w14:schemeClr>
            </w14:solidFill>
          </w14:textFill>
        </w:rPr>
        <w:t>基本保障城乡居民的抗旱供水。将</w:t>
      </w:r>
      <w:bookmarkStart w:id="80" w:name="_Hlk504410631"/>
      <w:r>
        <w:rPr>
          <w:rFonts w:ascii="Times New Roman" w:hAnsi="Times New Roman" w:eastAsia="方正仿宋_GBK" w:cs="Times New Roman"/>
          <w:bCs/>
          <w:color w:val="0D0D0D" w:themeColor="text1" w:themeTint="F2"/>
          <w:kern w:val="0"/>
          <w:sz w:val="32"/>
          <w:szCs w:val="28"/>
          <w14:textFill>
            <w14:solidFill>
              <w14:schemeClr w14:val="tx1">
                <w14:lumMod w14:val="95000"/>
                <w14:lumOff w14:val="5000"/>
              </w14:schemeClr>
            </w14:solidFill>
          </w14:textFill>
        </w:rPr>
        <w:t>地质灾害</w:t>
      </w:r>
      <w:r>
        <w:rPr>
          <w:rFonts w:hint="eastAsia" w:ascii="Times New Roman" w:hAnsi="Times New Roman" w:eastAsia="方正仿宋_GBK" w:cs="Times New Roman"/>
          <w:bCs/>
          <w:color w:val="0D0D0D" w:themeColor="text1" w:themeTint="F2"/>
          <w:kern w:val="0"/>
          <w:sz w:val="32"/>
          <w:szCs w:val="28"/>
          <w14:textFill>
            <w14:solidFill>
              <w14:schemeClr w14:val="tx1">
                <w14:lumMod w14:val="95000"/>
                <w14:lumOff w14:val="5000"/>
              </w14:schemeClr>
            </w14:solidFill>
          </w14:textFill>
        </w:rPr>
        <w:t>防治</w:t>
      </w:r>
      <w:r>
        <w:rPr>
          <w:rFonts w:ascii="Times New Roman" w:hAnsi="Times New Roman" w:eastAsia="方正仿宋_GBK" w:cs="Times New Roman"/>
          <w:bCs/>
          <w:color w:val="0D0D0D" w:themeColor="text1" w:themeTint="F2"/>
          <w:kern w:val="0"/>
          <w:sz w:val="32"/>
          <w:szCs w:val="28"/>
          <w14:textFill>
            <w14:solidFill>
              <w14:schemeClr w14:val="tx1">
                <w14:lumMod w14:val="95000"/>
                <w14:lumOff w14:val="5000"/>
              </w14:schemeClr>
            </w14:solidFill>
          </w14:textFill>
        </w:rPr>
        <w:t>“四重”网格化管理</w:t>
      </w:r>
      <w:bookmarkEnd w:id="80"/>
      <w:r>
        <w:rPr>
          <w:rFonts w:ascii="Times New Roman" w:hAnsi="Times New Roman" w:eastAsia="方正仿宋_GBK" w:cs="Times New Roman"/>
          <w:bCs/>
          <w:color w:val="0D0D0D" w:themeColor="text1" w:themeTint="F2"/>
          <w:kern w:val="0"/>
          <w:sz w:val="32"/>
          <w:szCs w:val="28"/>
          <w14:textFill>
            <w14:solidFill>
              <w14:schemeClr w14:val="tx1">
                <w14:lumMod w14:val="95000"/>
                <w14:lumOff w14:val="5000"/>
              </w14:schemeClr>
            </w14:solidFill>
          </w14:textFill>
        </w:rPr>
        <w:t>落实到位，强化群测群防员监督指导，完善应急救援体系。编制地质灾害防治年度工作方案，</w:t>
      </w:r>
      <w:bookmarkStart w:id="81" w:name="_Hlk508562349"/>
      <w:r>
        <w:rPr>
          <w:rFonts w:ascii="Times New Roman" w:hAnsi="Times New Roman" w:eastAsia="方正仿宋_GBK" w:cs="Times New Roman"/>
          <w:bCs/>
          <w:color w:val="0D0D0D" w:themeColor="text1" w:themeTint="F2"/>
          <w:kern w:val="0"/>
          <w:sz w:val="32"/>
          <w:szCs w:val="28"/>
          <w14:textFill>
            <w14:solidFill>
              <w14:schemeClr w14:val="tx1">
                <w14:lumMod w14:val="95000"/>
                <w14:lumOff w14:val="5000"/>
              </w14:schemeClr>
            </w14:solidFill>
          </w14:textFill>
        </w:rPr>
        <w:t>加强地质灾害隐患排查、监测预警和治理</w:t>
      </w:r>
      <w:bookmarkEnd w:id="81"/>
      <w:r>
        <w:rPr>
          <w:rFonts w:hint="eastAsia" w:ascii="Times New Roman" w:hAnsi="Times New Roman" w:eastAsia="方正仿宋_GBK" w:cs="Times New Roman"/>
          <w:bCs/>
          <w:color w:val="0D0D0D" w:themeColor="text1" w:themeTint="F2"/>
          <w:kern w:val="0"/>
          <w:sz w:val="32"/>
          <w:szCs w:val="28"/>
          <w14:textFill>
            <w14:solidFill>
              <w14:schemeClr w14:val="tx1">
                <w14:lumMod w14:val="95000"/>
                <w14:lumOff w14:val="5000"/>
              </w14:schemeClr>
            </w14:solidFill>
          </w14:textFill>
        </w:rPr>
        <w:t>。</w:t>
      </w:r>
      <w:r>
        <w:rPr>
          <w:rFonts w:hint="eastAsia" w:ascii="Times New Roman" w:hAnsi="Times New Roman" w:eastAsia="方正仿宋_GBK" w:cs="Times New Roman"/>
          <w:b/>
          <w:color w:val="0D0D0D" w:themeColor="text1" w:themeTint="F2"/>
          <w:kern w:val="0"/>
          <w:sz w:val="32"/>
          <w:szCs w:val="28"/>
          <w14:textFill>
            <w14:solidFill>
              <w14:schemeClr w14:val="tx1">
                <w14:lumMod w14:val="95000"/>
                <w14:lumOff w14:val="5000"/>
              </w14:schemeClr>
            </w14:solidFill>
          </w14:textFill>
        </w:rPr>
        <w:t>（牵头单位：区水利局、区规划自然资源局</w:t>
      </w:r>
      <w:r>
        <w:rPr>
          <w:rFonts w:hint="eastAsia" w:ascii="方正仿宋_GBK" w:hAnsi="Times New Roman" w:eastAsia="方正仿宋_GBK" w:cs="Times New Roman"/>
          <w:b/>
          <w:color w:val="0D0D0D" w:themeColor="text1" w:themeTint="F2"/>
          <w:sz w:val="32"/>
          <w:szCs w:val="32"/>
          <w14:textFill>
            <w14:solidFill>
              <w14:schemeClr w14:val="tx1">
                <w14:lumMod w14:val="95000"/>
                <w14:lumOff w14:val="5000"/>
              </w14:schemeClr>
            </w14:solidFill>
          </w14:textFill>
        </w:rPr>
        <w:t>按职能职责分别牵头</w:t>
      </w:r>
      <w:r>
        <w:rPr>
          <w:rFonts w:hint="eastAsia" w:ascii="Times New Roman" w:hAnsi="Times New Roman" w:eastAsia="方正仿宋_GBK" w:cs="Times New Roman"/>
          <w:b/>
          <w:color w:val="0D0D0D" w:themeColor="text1" w:themeTint="F2"/>
          <w:kern w:val="0"/>
          <w:sz w:val="32"/>
          <w:szCs w:val="28"/>
          <w14:textFill>
            <w14:solidFill>
              <w14:schemeClr w14:val="tx1">
                <w14:lumMod w14:val="95000"/>
                <w14:lumOff w14:val="5000"/>
              </w14:schemeClr>
            </w14:solidFill>
          </w14:textFill>
        </w:rPr>
        <w:t>；配合单位：区气象局、相关街镇）</w:t>
      </w:r>
    </w:p>
    <w:p w14:paraId="399D76F0">
      <w:pPr>
        <w:spacing w:line="594" w:lineRule="exact"/>
        <w:ind w:firstLine="640" w:firstLineChars="200"/>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持续开展矿山生态修复。</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开展重点采煤沉陷区综合治理，针对中梁山片区现有塌陷坑，修复地表泉、井，对塌陷区与拆迁废弃区开展土地修复、国土绿化、地下水及地表水系统修复保护等综合整治工程。有序实施《北碚区非煤固体矿山采矿权退出工作方案》（北碚府办发〔</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2019〕122号），督促企业开展矿山地质环境保护与治理恢复。按照《北碚区历史遗留和关闭矿山地质环境治理恢复与土地复垦工作</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方案》（北碚府办发〔</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2018〕159号），推进历史遗留和关闭矿山地质环境治理恢复与土地复垦。全面完成嘉陵江两岸各10公里范围内废弃露天矿山治理任务。</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（牵头单位：区规划自然资源局；配合单位：相关镇）</w:t>
      </w:r>
    </w:p>
    <w:p w14:paraId="3580D276">
      <w:pPr>
        <w:spacing w:line="594" w:lineRule="exact"/>
        <w:ind w:firstLine="643" w:firstLineChars="200"/>
        <w:outlineLvl w:val="2"/>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9</w:t>
      </w:r>
      <w:r>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.提升自然保护地管理水平</w:t>
      </w:r>
    </w:p>
    <w:p w14:paraId="00A38956">
      <w:pPr>
        <w:spacing w:line="594" w:lineRule="exact"/>
        <w:ind w:firstLine="640" w:firstLineChars="200"/>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持续开展“绿盾”自然保护地监督检查专项行动，建立完善北碚区自然保护地基本数据库，对北碚区各类自然保护地开展综合评价，推动自然保护地分类管理。按照国家及市级部门要求，建立自然保护地体系试点。</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制定北碚区自然保护地信息化建设规划</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，推动</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自然保护地信息化软件系统和硬件设备建设。</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深化全区林长制试点工作，推进“河长”“林长”“云长”互融联动，</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（牵头单位：区林业局；配合单位：缙管局、区生态环境局、相关街镇）</w:t>
      </w:r>
    </w:p>
    <w:p w14:paraId="338BE5C0">
      <w:pPr>
        <w:spacing w:line="594" w:lineRule="exact"/>
        <w:ind w:firstLine="643" w:firstLineChars="200"/>
        <w:outlineLvl w:val="2"/>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pPr>
      <w:bookmarkStart w:id="82" w:name="_Toc45540707"/>
      <w:r>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10.</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推进城市生态保护建设</w:t>
      </w:r>
      <w:bookmarkEnd w:id="82"/>
    </w:p>
    <w:p w14:paraId="51FCD024">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加强城市绿地管护与建设，</w:t>
      </w:r>
      <w:bookmarkStart w:id="83" w:name="_Hlk518586348"/>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以城市建成区及拓展区的道路干道、城市公园、社区公园、城市景观节点绿化为重点，积极开展城市绿化工程，加强城市垂直绿化工作，加强园林绿化精细化管理。</w:t>
      </w:r>
      <w:bookmarkEnd w:id="83"/>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对照《国家森林城市评价指标》，持续优化提升，力争成功创建“国家森林城市”。</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（牵头单位：区城管局；配合单位：区林业局、区水利局、相关街镇）</w:t>
      </w:r>
    </w:p>
    <w:p w14:paraId="5220ED40">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按照“一半山水一半城”城市规划理念，围绕竹溪河生态轴、中梁山、明月山山川脉络及水土老街、复兴逊敏书院等文物古迹，精心规划建设水土高新技术产业园立体景观长廊、勾勒生态画廊、布局主题公园，打造产业与城市共触、人居与景观互映的特色创意文旅项目，让“推窗见绿色，四季闻鸟鸣”成为生态城的优雅标识。加快竹溪河景观工程二期、马元溪综合整治一期、红旗水库水体公园、水滴桥水系公园、水土水体公园等一批城市公园建设，打造一批口袋公园、邮票公园。充分利用现有云计算、大数据优势，完善智慧城市信息基础设施，推动城市管理手段、管理模式、管理理念创新，推动城市治理体系和治理能力现代化。</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（牵头单位：两江新区水土高新技术产业园管委会；配合单位：水土街道、复兴街道）</w:t>
      </w:r>
    </w:p>
    <w:p w14:paraId="454644B8">
      <w:pPr>
        <w:spacing w:line="594" w:lineRule="exact"/>
        <w:ind w:firstLine="643" w:firstLineChars="200"/>
        <w:outlineLvl w:val="2"/>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pPr>
      <w:bookmarkStart w:id="84" w:name="_Toc45540708"/>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1</w:t>
      </w:r>
      <w:r>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1</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.推进</w:t>
      </w:r>
      <w:r>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美丽宜居乡村建设</w:t>
      </w:r>
      <w:bookmarkEnd w:id="84"/>
    </w:p>
    <w:p w14:paraId="2639DEAC">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持续改善农村人居环境，</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完成18个村规划编制工作。</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广泛发动群众，</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深入推进村庄清洁行动，提升村容村貌。</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完善</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乡村道路、供水、环保等基础设施建设，</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持续推进</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四好农村路</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、农村饮水安全保障、卫生改厕、生活垃圾收集处置等工作</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。打造澄江镇柏林村等5个</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人居环境改善</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示范试点村，逐步构建“点上精彩、线上美丽、面上清洁”的美丽乡村建设新格局。</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（牵头单位：区规划自然资源局、区交通局、区农业农村委、区水利局按照职能职责分别牵头；配合单位：区住房城乡建委、区生态环境局、相关街镇）</w:t>
      </w:r>
    </w:p>
    <w:p w14:paraId="6B75A3E9">
      <w:pPr>
        <w:spacing w:line="594" w:lineRule="exact"/>
        <w:ind w:firstLine="640" w:firstLineChars="200"/>
        <w:outlineLvl w:val="1"/>
        <w:rPr>
          <w:rFonts w:ascii="方正楷体_GBK" w:hAnsi="Times New Roman" w:eastAsia="方正楷体_GBK" w:cs="Times New Roman"/>
          <w:bCs/>
          <w:color w:val="0D0D0D" w:themeColor="text1" w:themeTint="F2"/>
          <w:sz w:val="32"/>
          <w14:textFill>
            <w14:solidFill>
              <w14:schemeClr w14:val="tx1">
                <w14:lumMod w14:val="95000"/>
                <w14:lumOff w14:val="5000"/>
              </w14:schemeClr>
            </w14:solidFill>
          </w14:textFill>
        </w:rPr>
      </w:pPr>
      <w:bookmarkStart w:id="85" w:name="_Toc48157866"/>
      <w:r>
        <w:rPr>
          <w:rFonts w:hint="eastAsia" w:ascii="方正楷体_GBK" w:hAnsi="Times New Roman" w:eastAsia="方正楷体_GBK" w:cs="Times New Roman"/>
          <w:bCs/>
          <w:color w:val="0D0D0D" w:themeColor="text1" w:themeTint="F2"/>
          <w:sz w:val="32"/>
          <w14:textFill>
            <w14:solidFill>
              <w14:schemeClr w14:val="tx1">
                <w14:lumMod w14:val="95000"/>
                <w14:lumOff w14:val="5000"/>
              </w14:schemeClr>
            </w14:solidFill>
          </w14:textFill>
        </w:rPr>
        <w:t>（三）推进绿色高质量发展，推动金山银山转化</w:t>
      </w:r>
      <w:bookmarkEnd w:id="85"/>
    </w:p>
    <w:p w14:paraId="21212DE6">
      <w:pPr>
        <w:spacing w:line="594" w:lineRule="exact"/>
        <w:ind w:firstLine="643" w:firstLineChars="200"/>
        <w:outlineLvl w:val="2"/>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pPr>
      <w:bookmarkStart w:id="86" w:name="_Toc45540710"/>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1</w:t>
      </w:r>
      <w:r>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2.</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 xml:space="preserve"> 严格落实产业环境准入</w:t>
      </w:r>
      <w:bookmarkEnd w:id="86"/>
      <w:r>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ab/>
      </w:r>
    </w:p>
    <w:p w14:paraId="42243BF7">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强化“三线一单”硬约束，细化全区空间布局约束、污染物排放管控、环境风险防控、资源利用效率等准入要求。两江新区水土高新技术产业园、蔡家工业园区及歇马高新区拓展园应根据环境容量逐步提高产业准入环境标准，限制建设高耗能、高耗水、高排放、产能过剩和简单重复项目。</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（牵头单位：区生态环境局、区发改委按照职能职责分别牵头；配合单位：区经济信息委、区水利局、区规划自然资源局、相关园区管委会）</w:t>
      </w:r>
    </w:p>
    <w:p w14:paraId="5004BEBB">
      <w:pPr>
        <w:spacing w:line="594" w:lineRule="exact"/>
        <w:ind w:firstLine="643" w:firstLineChars="200"/>
        <w:outlineLvl w:val="2"/>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pPr>
      <w:bookmarkStart w:id="87" w:name="_Toc45540711"/>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1</w:t>
      </w:r>
      <w:r>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3.</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大力推进绿色生产方式</w:t>
      </w:r>
      <w:bookmarkEnd w:id="87"/>
    </w:p>
    <w:p w14:paraId="1D102BFE">
      <w:pPr>
        <w:spacing w:line="594" w:lineRule="exact"/>
        <w:ind w:firstLine="640" w:firstLineChars="200"/>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推动传统制造业提档升级。围绕节能减排和水资源保护要求，加强传统产业节能减排、循环利用领域技术、装备和产品研究与应用，提高工业资源产出率。大力普及数字化装备，推进四联光电、正川包装、京东方、莱宝科技、川崎机器人等5</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0</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家智能企业建设，培育智能工厂和数字化车间、智能制造标杆企业。</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（牵头单位：区经济信息委、区生态环境局按照职能职责分别牵头；配合单位：区水利局、区科技局、相关园区管委会）</w:t>
      </w:r>
    </w:p>
    <w:p w14:paraId="472F3BDA">
      <w:pPr>
        <w:spacing w:line="594" w:lineRule="exact"/>
        <w:ind w:firstLine="640" w:firstLineChars="200"/>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构建现代化生产性服务业体系。推进现代物流、会展服务、创意产业、服务外包、研发服务等生产性服务业发展，重点抓好“芯屏器核网”及生物医药等主要行业的信息技术应用。发展壮大信息技术产业，加快建设工业互联网产业生态园，引进产业链上下游企业，推进中国工业互联网研究院重庆分院、国家级工业互联网平台应用创新体验中心建成投用，推进重庆市智能传感器特色产业基地建设。</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（牵头单位：区交通局、区商务委、区经济信息委按照职能职责分别牵头；配合单位：区科技局、相关园区管委会）</w:t>
      </w:r>
    </w:p>
    <w:p w14:paraId="4A1FA9EF">
      <w:pPr>
        <w:spacing w:line="594" w:lineRule="exact"/>
        <w:ind w:firstLine="640" w:firstLineChars="200"/>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推进低碳</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环保产业</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发展。以水土、蔡家、歇马高新拓展园、三圣工业集中区等工业园（聚集）区为依托，深化园区循环化改造，鼓励园区内产业、企业之间建立循环经济联合体，提升资源能源利用效率。强化机械制造、建材，新材料，食品、中药材加工等行业间的横向耦合生态衔接。推进绿色建材产品、节能机电等环保制造业发展。</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（牵头单位：区经济信息委；配合单位：区生态环境局、相关园区管委会）</w:t>
      </w:r>
    </w:p>
    <w:p w14:paraId="5A2026AF">
      <w:pPr>
        <w:spacing w:line="594" w:lineRule="exact"/>
        <w:ind w:firstLine="640" w:firstLineChars="200"/>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推动生产方式绿色化。加强工业企业、园区环境管理，依法严惩环境违法行为。实施企业清洁生产改造和污染治理技术升级，提高产品技术、工艺装备、环保能效水平。</w:t>
      </w:r>
      <w:r>
        <w:rPr>
          <w:rFonts w:hint="eastAsia" w:ascii="Times New Roman" w:hAnsi="Times New Roman" w:eastAsia="方正仿宋_GBK" w:cs="Times New Roman"/>
          <w:bCs/>
          <w:color w:val="0D0D0D" w:themeColor="text1" w:themeTint="F2"/>
          <w:kern w:val="0"/>
          <w:sz w:val="32"/>
          <w:szCs w:val="28"/>
          <w14:textFill>
            <w14:solidFill>
              <w14:schemeClr w14:val="tx1">
                <w14:lumMod w14:val="95000"/>
                <w14:lumOff w14:val="5000"/>
              </w14:schemeClr>
            </w14:solidFill>
          </w14:textFill>
        </w:rPr>
        <w:t>积极推进农业绿色发展，推进农旅融合发展，</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推进农业节水工作，大力实施农产品绿色行动，加强农业投入品规范化管理，健全投入品追溯系统。</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（牵头单位：区生态环境局、区经济信息委、区农业农村委按照职能职责分别牵头；配合单位：相关园区管委会、区文化旅游委、相关街镇）</w:t>
      </w:r>
    </w:p>
    <w:p w14:paraId="74E46A7B">
      <w:pPr>
        <w:spacing w:line="594" w:lineRule="exact"/>
        <w:ind w:firstLine="643" w:firstLineChars="200"/>
        <w:outlineLvl w:val="2"/>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pPr>
      <w:bookmarkStart w:id="88" w:name="_Toc45540712"/>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1</w:t>
      </w:r>
      <w:r>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4.探索特色生态产品溢价渠道</w:t>
      </w:r>
      <w:bookmarkEnd w:id="88"/>
    </w:p>
    <w:p w14:paraId="5A63513D">
      <w:pPr>
        <w:spacing w:line="594" w:lineRule="exact"/>
        <w:ind w:firstLine="640" w:firstLineChars="200"/>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增强特色农产品竞争力。</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新增</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“二品一标”</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25个、重庆名牌农产品5个</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，健全“二品一标”农产品的质量档案和监管档案，推进产品认证信息网上公示、查询、追溯。强化与科研院校产、学、研科研发体系合作，</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新（扩）建农业产业标准化基地10个、高标准农田2.62万亩</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加快静观产业强镇建设，</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加快推进江东农业科技园建设，完成农产品加工区建设，发展农产品加工、智慧农业，争创市级现代农业园区。</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（牵头单位：区农业农村委；配合单位：区科技局、相关街镇）</w:t>
      </w:r>
    </w:p>
    <w:p w14:paraId="6668728D">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优化特色农产品结构</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r>
        <w:rPr>
          <w:rFonts w:hint="eastAsia" w:ascii="Times New Roman" w:hAnsi="Times New Roman" w:eastAsia="方正仿宋_GBK" w:cs="Times New Roman"/>
          <w:bCs/>
          <w:color w:val="0D0D0D" w:themeColor="text1" w:themeTint="F2"/>
          <w:kern w:val="0"/>
          <w:sz w:val="32"/>
          <w:szCs w:val="28"/>
          <w14:textFill>
            <w14:solidFill>
              <w14:schemeClr w14:val="tx1">
                <w14:lumMod w14:val="95000"/>
                <w14:lumOff w14:val="5000"/>
              </w14:schemeClr>
            </w14:solidFill>
          </w14:textFill>
        </w:rPr>
        <w:t>大力发展特色效益农业，积极开展蔬菜新品种试验示范，推进蔬菜标准化基地建设，保持蔬菜产量产值、花木种植面积产值逐年递增。推进新（扩）建林果标准化基地建设，提档升级国家柑桔区域性良种繁育基地。推进休闲渔业标准化基地改（扩）建，大力发展厚颌鲂、中华倒刺鲃等嘉陵江名优鱼。</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（牵头单位：区农业农村委；配合单位：相关街镇）</w:t>
      </w:r>
    </w:p>
    <w:p w14:paraId="0B1D4470">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建设农产品产业链展销平台。积极开展金刀峡消夏文化美食节暨蔬果采摘节、静观腊梅文化节、西山坪桃花节等旅游节庆活动，强化休闲农业宣传营销。积极支持、培育具有农业龙头企业和产品品牌。支持北碚天然饮用水、绿色有机农产品入驻电商平台，形成实体市场与网上市场融合。组织区内相关企业积极参加中国食品博览会、中国国际食品及饮料博览会，提高北碚农产品知名度。利用“渝新欧”等贸易通道，开拓“一带一路”沿线国家和地区农产品市场。</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（牵头单位：区农业农村委；配合单位：区文化旅游委、区商务委、相关街镇）</w:t>
      </w:r>
    </w:p>
    <w:p w14:paraId="75BA688A">
      <w:pPr>
        <w:spacing w:line="594" w:lineRule="exact"/>
        <w:ind w:firstLine="640"/>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畅通特色农产品供需渠道。完善特色农产品线上线下销售渠道流通体系，建立绿色批发市场、绿色商场、节能超市等多样化线下流通主体，开设绿色农产品产品销售专区。加大农产品分拣、加工、包装、预冷等一体化集配设施建设支持力度。完善特色农产品生产基地现代流通基础设施，开展城乡高效配送专项行动，畅通生态产品变现渠道。</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（牵头单位：区农业农村委；配合单位：区商务委、区交通局）</w:t>
      </w:r>
    </w:p>
    <w:p w14:paraId="4C597A14">
      <w:pPr>
        <w:spacing w:line="594" w:lineRule="exact"/>
        <w:ind w:firstLine="643" w:firstLineChars="200"/>
        <w:outlineLvl w:val="2"/>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pPr>
      <w:bookmarkStart w:id="89" w:name="_Toc45540713"/>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1</w:t>
      </w:r>
      <w:r>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5.挖掘美丽山水生态服务价值</w:t>
      </w:r>
      <w:bookmarkEnd w:id="89"/>
    </w:p>
    <w:p w14:paraId="2E717F4B">
      <w:pPr>
        <w:spacing w:line="594" w:lineRule="exact"/>
        <w:ind w:firstLine="640"/>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pPr>
      <w:bookmarkStart w:id="90" w:name="_Hlk37624085"/>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打造花园城市休闲旅游线路</w:t>
      </w:r>
      <w:bookmarkEnd w:id="90"/>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打造北碚嘉陵江滨江休闲带，设置嘉陵江北碚段水上旅游航线，推进嘉陵江老城段及五彩滨江公园段绿道建设。推动老北碚历史文化街区、城市滨江旅游综合体等重大项目建设。打造大缙云交通环线，配套完善旅游基础设施。</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（牵头单位：区交通局、区城管局、区文化旅游委、温泉谷两山生态文旅产业园管委会按照职能职责分别牵头）</w:t>
      </w:r>
    </w:p>
    <w:p w14:paraId="7392AA6C">
      <w:pPr>
        <w:spacing w:line="594" w:lineRule="exact"/>
        <w:ind w:firstLine="640"/>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大力推动乡村旅游发展</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。完</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善“三横三纵”骨架路网和缙云山北温泉市级度假区、金刀峡生态度假区、西山坪</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等5个片区的乡村旅游公路，建设东山、西山等旅游环线公路。</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推进西山创意农业、东山乡村旅居、都市田园休闲、东阳田园客厅等板块建设。推动金刀峡景区转型升级，完善基础设施，打通大金刀峡交通环线，调整丰富景区产品结构。推进胜天湖山水田园风景区建设，带动胜天湖及周边乡村旅游发展。引导偏岩古镇业态升级，推动古镇产业化发展。</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全力</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推进西山坪市级农旅融合试点示范项目</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和</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柳荫镇“一园二精品路线三走廊”建设，</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打造持续性年度乡村振兴品牌活动。</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（牵头单位：区交通局、区农业农村委、区文化旅游委按照职能职责分别牵头；配合单位：相关园区管委会，相关街镇）</w:t>
      </w:r>
    </w:p>
    <w:p w14:paraId="37E4B687">
      <w:pPr>
        <w:spacing w:line="594" w:lineRule="exact"/>
        <w:ind w:firstLine="64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开发生态旅游新业态。大力发展水体休闲游，开发一批观光游览、休闲度假、氧吧氧浴、峡谷探幽等项目。以缙云山风景区、嘉陵江滨江休闲旅游区为龙头，打造一批旅游项目。开发房车露营地自驾游产品、低空飞行旅游产品，推动低空旅游产品与地面休闲度假旅游产品整合。</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（牵头单位：区文化旅游委；配合单位：相关园区管委会、相关街镇）</w:t>
      </w:r>
    </w:p>
    <w:p w14:paraId="17B7E0A6">
      <w:pPr>
        <w:spacing w:line="594" w:lineRule="exact"/>
        <w:ind w:firstLine="640" w:firstLineChars="200"/>
        <w:outlineLvl w:val="1"/>
        <w:rPr>
          <w:rFonts w:ascii="方正楷体_GBK" w:hAnsi="Times New Roman" w:eastAsia="方正楷体_GBK" w:cs="Times New Roman"/>
          <w:bCs/>
          <w:color w:val="0D0D0D" w:themeColor="text1" w:themeTint="F2"/>
          <w:sz w:val="32"/>
          <w14:textFill>
            <w14:solidFill>
              <w14:schemeClr w14:val="tx1">
                <w14:lumMod w14:val="95000"/>
                <w14:lumOff w14:val="5000"/>
              </w14:schemeClr>
            </w14:solidFill>
          </w14:textFill>
        </w:rPr>
      </w:pPr>
      <w:bookmarkStart w:id="91" w:name="_Toc48157867"/>
      <w:r>
        <w:rPr>
          <w:rFonts w:hint="eastAsia" w:ascii="方正楷体_GBK" w:hAnsi="Times New Roman" w:eastAsia="方正楷体_GBK" w:cs="Times New Roman"/>
          <w:bCs/>
          <w:color w:val="0D0D0D" w:themeColor="text1" w:themeTint="F2"/>
          <w:sz w:val="32"/>
          <w14:textFill>
            <w14:solidFill>
              <w14:schemeClr w14:val="tx1">
                <w14:lumMod w14:val="95000"/>
                <w14:lumOff w14:val="5000"/>
              </w14:schemeClr>
            </w14:solidFill>
          </w14:textFill>
        </w:rPr>
        <w:t>（四）打造形象平台模式，推动绿色惠民富民</w:t>
      </w:r>
      <w:bookmarkEnd w:id="91"/>
    </w:p>
    <w:p w14:paraId="133F6236">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充分利用生态优势，支持鼓励企业参与投资、建设、运营文化旅游产品，全力打造一批具有引领性、前瞻性的生态、文化旅游项目，</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形成“两山”生态经济品牌，</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实现绿色惠民</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绿色富民。</w:t>
      </w:r>
    </w:p>
    <w:p w14:paraId="43523C7E">
      <w:pPr>
        <w:spacing w:line="594" w:lineRule="exact"/>
        <w:ind w:firstLine="643" w:firstLineChars="200"/>
        <w:outlineLvl w:val="2"/>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pPr>
      <w:bookmarkStart w:id="92" w:name="_Toc45540715"/>
      <w:r>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16.做</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好“生态+”产业转化文章</w:t>
      </w:r>
      <w:bookmarkEnd w:id="92"/>
    </w:p>
    <w:p w14:paraId="6389EFE6">
      <w:pPr>
        <w:spacing w:line="594" w:lineRule="exact"/>
        <w:ind w:firstLine="640" w:firstLineChars="200"/>
        <w:rPr>
          <w:rFonts w:ascii="方正仿宋_GBK" w:hAnsi="Times New Roman" w:eastAsia="方正仿宋_GBK" w:cs="Times New Roman"/>
          <w:b/>
          <w:color w:val="0D0D0D" w:themeColor="text1" w:themeTint="F2"/>
          <w:sz w:val="32"/>
          <w:szCs w:val="32"/>
          <w14:textFill>
            <w14:solidFill>
              <w14:schemeClr w14:val="tx1">
                <w14:lumMod w14:val="95000"/>
                <w14:lumOff w14:val="5000"/>
              </w14:schemeClr>
            </w14:solidFill>
          </w14:textFill>
        </w:rPr>
      </w:pP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壮大“生态+康养”。充分挖掘传统养生、道教养生文化，开发温泉疗养、亚健康理疗、职业病康复、特定病种康养、养生养老等康养服务项目。整合缙云山张飞古道、景观步道、温泉谷山城步道等资源，开发森林健步、森林骑行、森林瑜伽、森林马拉松、森林户外拓展等特色康养运动项目。</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推进协信·多利健康田园小镇建设，打造集现代农业、田园休闲、度假旅居、健康养生、田园康养社区于一体的健康田园小镇。</w:t>
      </w:r>
      <w:r>
        <w:rPr>
          <w:rFonts w:hint="eastAsia" w:ascii="方正仿宋_GBK"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（牵头单位：区文化旅游委、区农业农村委</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按照职能职责分别牵头</w:t>
      </w:r>
      <w:r>
        <w:rPr>
          <w:rFonts w:hint="eastAsia" w:ascii="方正仿宋_GBK" w:hAnsi="Times New Roman" w:eastAsia="方正仿宋_GBK" w:cs="Times New Roman"/>
          <w:b/>
          <w:color w:val="0D0D0D" w:themeColor="text1" w:themeTint="F2"/>
          <w:sz w:val="32"/>
          <w:szCs w:val="32"/>
          <w14:textFill>
            <w14:solidFill>
              <w14:schemeClr w14:val="tx1">
                <w14:lumMod w14:val="95000"/>
                <w14:lumOff w14:val="5000"/>
              </w14:schemeClr>
            </w14:solidFill>
          </w14:textFill>
        </w:rPr>
        <w:t>；配合单位：相关园区管委会、相关街镇）</w:t>
      </w:r>
    </w:p>
    <w:p w14:paraId="1FA64290">
      <w:pPr>
        <w:spacing w:line="594" w:lineRule="exact"/>
        <w:ind w:firstLine="640" w:firstLineChars="200"/>
        <w:rPr>
          <w:rFonts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拓展“生态+文化”。</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推进金刚碑传统文化街区、南京路历史文化街区、环西大创新创业生态带等重庆市文化产业示范基地项目建设。保护提升偏岩古镇</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、金刚碑古镇、澄江老街等历史文化体验区。依托文化遗存或内涵，打造文化集市、博物馆、主题民宿等创意业态，建设个性文化村。建设柳荫镇东升村、静观镇素心村等创意休闲村落。</w:t>
      </w:r>
      <w:r>
        <w:rPr>
          <w:rFonts w:hint="eastAsia" w:ascii="方正仿宋_GBK"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（牵头单位：区文化旅游委；配合单位：区农业农村委、相关街镇）</w:t>
      </w:r>
    </w:p>
    <w:p w14:paraId="0F92D302">
      <w:pPr>
        <w:spacing w:line="594" w:lineRule="exact"/>
        <w:ind w:firstLine="640" w:firstLineChars="200"/>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pP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培育“生态+体育”</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建立立体、多元的山地户外运动场地设施体系，</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建设一批便民利民的户外运动设施</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，建设</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一批户外营地、登山道、徒步道等户外运动场地及设施。</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打造品牌赛事体系，</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策划一批山地户外运动主题赛会活动、户外体验探险活动，培育一批国家级品牌赛事</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和</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山地户外运动品牌赛事。</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（牵头单位：区文化旅游委；配合单位：相关园区管委会、相关街镇）</w:t>
      </w:r>
    </w:p>
    <w:p w14:paraId="0AA99DC7">
      <w:pPr>
        <w:spacing w:line="594" w:lineRule="exact"/>
        <w:ind w:firstLine="643" w:firstLineChars="200"/>
        <w:outlineLvl w:val="2"/>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pPr>
      <w:bookmarkStart w:id="93" w:name="_Toc45540716"/>
      <w:r>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17.培育</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“互联网+”文创产业品牌</w:t>
      </w:r>
      <w:bookmarkEnd w:id="93"/>
    </w:p>
    <w:p w14:paraId="64DB7626">
      <w:pPr>
        <w:spacing w:line="594" w:lineRule="exact"/>
        <w:ind w:firstLine="640" w:firstLineChars="200"/>
        <w:rPr>
          <w:rFonts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推进“互联网+特色服务”，发展互联网技术技能教育培训、创业辅导、投资发展、物业管理、企业经营管理咨询等服务。以</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莫氏7度文创园</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重庆龙凤3号科普文创园、恐龙文化主题公园</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为载体，</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推进“互联网+特色体验”，发展国际恐龙主题公园与科普文化体验、地方特色文化创意体验、互联网科技产品推广运用体验等。</w:t>
      </w:r>
      <w:r>
        <w:rPr>
          <w:rFonts w:hint="eastAsia" w:ascii="方正仿宋_GBK"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（牵头单位：区文化旅游委；配合单位：区科技局）</w:t>
      </w:r>
    </w:p>
    <w:p w14:paraId="1BE534BD">
      <w:pPr>
        <w:spacing w:line="594" w:lineRule="exact"/>
        <w:ind w:firstLine="643" w:firstLineChars="200"/>
        <w:outlineLvl w:val="2"/>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pPr>
      <w:bookmarkStart w:id="94" w:name="_Toc45540717"/>
      <w:r>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18.打造</w:t>
      </w:r>
      <w:r>
        <w:rPr>
          <w:rFonts w:hint="eastAsia" w:ascii="方正仿宋_GBK" w:hAnsi="Times New Roman" w:eastAsia="方正仿宋_GBK" w:cs="Times New Roman"/>
          <w:b/>
          <w:color w:val="0D0D0D" w:themeColor="text1" w:themeTint="F2"/>
          <w:sz w:val="32"/>
          <w:szCs w:val="32"/>
          <w14:textFill>
            <w14:solidFill>
              <w14:schemeClr w14:val="tx1">
                <w14:lumMod w14:val="95000"/>
                <w14:lumOff w14:val="5000"/>
              </w14:schemeClr>
            </w14:solidFill>
          </w14:textFill>
        </w:rPr>
        <w:t>“两山”转化亮点品牌</w:t>
      </w:r>
      <w:bookmarkEnd w:id="94"/>
    </w:p>
    <w:p w14:paraId="71D0897B">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建成缙云山“生态品牌”。推进缙云山生态搬迁异地迁建工程、环山生态绿道、山城步道、黛湖片区生态修复等工程，完成三花石片区棚改工作。调整创新缙云山周边商业业态，建设特色生态文化街区，整体打造巴渝民宿合作项目，建立利益联结机制，拓宽原住居民增收渠道</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w:t>
      </w:r>
      <w:r>
        <w:rPr>
          <w:rFonts w:hint="eastAsia" w:ascii="方正仿宋_GBK" w:hAnsi="Times New Roman" w:eastAsia="方正仿宋_GBK" w:cs="Times New Roman"/>
          <w:b/>
          <w:color w:val="0D0D0D" w:themeColor="text1" w:themeTint="F2"/>
          <w:sz w:val="32"/>
          <w:szCs w:val="32"/>
          <w14:textFill>
            <w14:solidFill>
              <w14:schemeClr w14:val="tx1">
                <w14:lumMod w14:val="95000"/>
                <w14:lumOff w14:val="5000"/>
              </w14:schemeClr>
            </w14:solidFill>
          </w14:textFill>
        </w:rPr>
        <w:t>温泉谷两山生态文旅产业园管委会；</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配合单位：区文化旅游委、相关街镇）</w:t>
      </w:r>
    </w:p>
    <w:p w14:paraId="39B88D6F">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建成国际“温泉品牌”。</w:t>
      </w:r>
      <w:r>
        <w:rPr>
          <w:rFonts w:hint="eastAsia" w:ascii="方正仿宋_GBK" w:eastAsia="方正仿宋_GBK"/>
          <w:bCs/>
          <w:color w:val="0D0D0D" w:themeColor="text1" w:themeTint="F2"/>
          <w14:textFill>
            <w14:solidFill>
              <w14:schemeClr w14:val="tx1">
                <w14:lumMod w14:val="95000"/>
                <w14:lumOff w14:val="5000"/>
              </w14:schemeClr>
            </w14:solidFill>
          </w14:textFill>
        </w:rPr>
        <w:t xml:space="preserve"> </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壮大“温泉”产业，持续推进恒大国际温泉旅游健康小镇建设，加快落地一批温泉旅游主题乐园或休闲度假产品，增加温泉旅游衍生配套产品，建成全国乃至世界知名的特色温泉旅游胜地。</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（牵头单位：温泉谷两山生态文旅产业园管委会；配合单位：区文化旅游委、相关街镇）</w:t>
      </w:r>
    </w:p>
    <w:p w14:paraId="2A40438F">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建成“乡建品牌”。加快美丽乡村示范村花海、特色民宿等项</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目建设进度，</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推进</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花漾栖谷农业体验园、虎头村生态农业公园、花乡谷休闲农业园等都市休闲农业项目</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建设</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培育天府林木、三圣半山产业、静观腊梅、金刀峡风光等特色品牌休闲农业精品基地，</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持续加强农村环境综合整治与美丽乡村建设，推动乡村旅游与休闲农业蓬勃发展。</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（牵头单位：区文化旅游委、区农业农村委按照职能职责分别牵头；配合单位：相关园区管委会、相关街镇）</w:t>
      </w:r>
    </w:p>
    <w:p w14:paraId="05F73025">
      <w:pPr>
        <w:spacing w:line="594" w:lineRule="exact"/>
        <w:ind w:firstLine="643" w:firstLineChars="200"/>
        <w:outlineLvl w:val="2"/>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pPr>
      <w:bookmarkStart w:id="95" w:name="_Toc45540718"/>
      <w:r>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19.打造</w:t>
      </w:r>
      <w:r>
        <w:rPr>
          <w:rFonts w:hint="eastAsia" w:ascii="方正仿宋_GBK" w:hAnsi="Times New Roman" w:eastAsia="方正仿宋_GBK" w:cs="Times New Roman"/>
          <w:b/>
          <w:color w:val="0D0D0D" w:themeColor="text1" w:themeTint="F2"/>
          <w:sz w:val="32"/>
          <w:szCs w:val="32"/>
          <w14:textFill>
            <w14:solidFill>
              <w14:schemeClr w14:val="tx1">
                <w14:lumMod w14:val="95000"/>
                <w14:lumOff w14:val="5000"/>
              </w14:schemeClr>
            </w14:solidFill>
          </w14:textFill>
        </w:rPr>
        <w:t>“两山”转化实践典范</w:t>
      </w:r>
      <w:bookmarkEnd w:id="95"/>
    </w:p>
    <w:p w14:paraId="6536B018">
      <w:pPr>
        <w:spacing w:line="594" w:lineRule="exact"/>
        <w:ind w:firstLine="640" w:firstLineChars="200"/>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打造山体综合整治与产业提升典范。完成生态环境综合整治工作，编制实施《缙云山片区文旅产业提升规划》，探索“文旅产居”融合创新模式，引导发展文化产业、温泉产业、康养产业、休闲农业，培育生态康养产业集聚区，打造重庆康养度假首选地、山地休闲体验集聚区。</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（牵头单位：温泉谷两山生态文旅产业园管委会；配合单位：区文化旅游委、相关街镇）</w:t>
      </w:r>
    </w:p>
    <w:p w14:paraId="3460161F">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打造美丽乡村变美丽经济典范。总结提炼北碚乡村美丽化、美丽产业化、产业经济化等领域的创新实践，培育和建设一批美丽乡村、田园综合体、乡村文化品牌、特色小镇、“生态</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+文化”等美丽</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经济载体。以北碚江东生态农业科技产业示范园建设为载体，大力发展花木种植、农业科研生产、农副产品加工、都市农业生态旅游等产业，形成示范全国的美丽乡村变美丽经济转化路径。</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（牵头单位：区文化旅游委、区农业农村委按照职能职责分别牵头；配合单位：相关园区管委会、相关街镇）</w:t>
      </w:r>
    </w:p>
    <w:p w14:paraId="7C751A69">
      <w:pPr>
        <w:spacing w:line="594" w:lineRule="exact"/>
        <w:ind w:firstLine="640" w:firstLineChars="200"/>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打造城市宜居宜业典范。充分发挥水土高新技术产业园区位优势、产业基础和城市功能等优势，大力推进光电信息、生物制药、云计算大数据、数字经济等高新技术产业。深化蔡家智慧新城城市设计，完善城市功能，夯实产业基础，大力发展智能制造、信息技术、工业互联网、服务贸易等新兴产业，高水平建成产业兴旺、万物互联、生态宜居的现代化智慧新城。</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（牵头单位：区经济信息委、区规划自然资源局按照职能职责分别牵头；配合单位：区发改委、区科技局、相关园区管委会）</w:t>
      </w:r>
    </w:p>
    <w:p w14:paraId="116FB27A">
      <w:pPr>
        <w:spacing w:line="594" w:lineRule="exact"/>
        <w:ind w:firstLine="640" w:firstLineChars="200"/>
        <w:outlineLvl w:val="1"/>
        <w:rPr>
          <w:rFonts w:ascii="方正楷体_GBK" w:hAnsi="Times New Roman" w:eastAsia="方正楷体_GBK" w:cs="Times New Roman"/>
          <w:bCs/>
          <w:color w:val="0D0D0D" w:themeColor="text1" w:themeTint="F2"/>
          <w:sz w:val="32"/>
          <w14:textFill>
            <w14:solidFill>
              <w14:schemeClr w14:val="tx1">
                <w14:lumMod w14:val="95000"/>
                <w14:lumOff w14:val="5000"/>
              </w14:schemeClr>
            </w14:solidFill>
          </w14:textFill>
        </w:rPr>
      </w:pPr>
      <w:bookmarkStart w:id="96" w:name="_Toc48157868"/>
      <w:r>
        <w:rPr>
          <w:rFonts w:hint="eastAsia" w:ascii="方正楷体_GBK" w:hAnsi="Times New Roman" w:eastAsia="方正楷体_GBK" w:cs="Times New Roman"/>
          <w:bCs/>
          <w:color w:val="0D0D0D" w:themeColor="text1" w:themeTint="F2"/>
          <w:sz w:val="32"/>
          <w14:textFill>
            <w14:solidFill>
              <w14:schemeClr w14:val="tx1">
                <w14:lumMod w14:val="95000"/>
                <w14:lumOff w14:val="5000"/>
              </w14:schemeClr>
            </w14:solidFill>
          </w14:textFill>
        </w:rPr>
        <w:t>（五）创新机制完善政策，构建内生持续动力</w:t>
      </w:r>
      <w:bookmarkEnd w:id="96"/>
    </w:p>
    <w:p w14:paraId="0AF81869">
      <w:pPr>
        <w:spacing w:line="594" w:lineRule="exact"/>
        <w:ind w:firstLine="643" w:firstLineChars="200"/>
        <w:outlineLvl w:val="2"/>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pPr>
      <w:bookmarkStart w:id="97" w:name="_Toc45540720"/>
      <w:bookmarkStart w:id="98" w:name="_Toc37070779"/>
      <w:r>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20.</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建立产业生态化监测评估机制</w:t>
      </w:r>
      <w:bookmarkEnd w:id="97"/>
      <w:bookmarkEnd w:id="98"/>
    </w:p>
    <w:p w14:paraId="38DC1D22">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推进企业绿色发展综合评价。</w:t>
      </w:r>
      <w:r>
        <w:rPr>
          <w:rFonts w:ascii="Times New Roman" w:hAnsi="Times New Roman" w:eastAsia="方正仿宋_GBK" w:cs="Times New Roman"/>
          <w:bCs/>
          <w:sz w:val="32"/>
          <w:szCs w:val="32"/>
        </w:rPr>
        <w:t>以单位用地税收、万元GDP能耗、等为指标，开展规上工业企业绿色工厂申报。利用综合标准依法依规推动能耗、技术、环保、质量等不达标的企业关停或整改一批列不达标的企业</w:t>
      </w:r>
      <w:r>
        <w:rPr>
          <w:rFonts w:hint="eastAsia" w:ascii="方正仿宋_GBK" w:hAnsi="方正仿宋_GBK" w:eastAsia="方正仿宋_GBK" w:cs="方正仿宋_GBK"/>
          <w:bCs/>
          <w:sz w:val="32"/>
          <w:szCs w:val="32"/>
        </w:rPr>
        <w:t>。</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（牵头单位：区经济信息委；配合单位：区发改委、区规划自然资源局、区科技局、区生态环境局、相关园区管委会）</w:t>
      </w:r>
    </w:p>
    <w:p w14:paraId="463F2EBF">
      <w:pPr>
        <w:spacing w:line="594" w:lineRule="exact"/>
        <w:ind w:firstLine="640" w:firstLineChars="200"/>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完善新兴产业配套监测管理体系。加强芯片、生物医药、文旅创意等新兴产业统计监测，从发展贡献、创新能力、盈利能力、生态环境绩效等方面跟踪监测绿色发展进程，定期形成全区新兴产业绿色发展报告。构建绿色新兴产业监管机制，设立专门监管机构，确定绿色发展指导员，加强调查研究与跟踪指导，并将联络员工作情况作为重要指标纳入年度综合考核。</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（牵头单位：区经济信息委、区文化旅游委按照职能职责分别牵头；配合单位：区发改委、区科技局、区生态环境局、相关园区管委会）</w:t>
      </w:r>
    </w:p>
    <w:p w14:paraId="36C500F8">
      <w:pPr>
        <w:spacing w:line="594" w:lineRule="exact"/>
        <w:ind w:firstLine="643" w:firstLineChars="200"/>
        <w:outlineLvl w:val="2"/>
        <w:rPr>
          <w:rFonts w:ascii="方正仿宋_GBK" w:hAnsi="Times New Roman" w:eastAsia="方正仿宋_GBK" w:cs="Times New Roman"/>
          <w:b/>
          <w:color w:val="0D0D0D" w:themeColor="text1" w:themeTint="F2"/>
          <w:sz w:val="32"/>
          <w:szCs w:val="32"/>
          <w14:textFill>
            <w14:solidFill>
              <w14:schemeClr w14:val="tx1">
                <w14:lumMod w14:val="95000"/>
                <w14:lumOff w14:val="5000"/>
              </w14:schemeClr>
            </w14:solidFill>
          </w14:textFill>
        </w:rPr>
      </w:pPr>
      <w:bookmarkStart w:id="99" w:name="_Toc37070780"/>
      <w:bookmarkStart w:id="100" w:name="_Toc45540721"/>
      <w:r>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21.</w:t>
      </w:r>
      <w:r>
        <w:rPr>
          <w:rFonts w:hint="eastAsia" w:ascii="方正仿宋_GBK" w:hAnsi="Times New Roman" w:eastAsia="方正仿宋_GBK" w:cs="Times New Roman"/>
          <w:b/>
          <w:color w:val="0D0D0D" w:themeColor="text1" w:themeTint="F2"/>
          <w:sz w:val="32"/>
          <w:szCs w:val="32"/>
          <w14:textFill>
            <w14:solidFill>
              <w14:schemeClr w14:val="tx1">
                <w14:lumMod w14:val="95000"/>
                <w14:lumOff w14:val="5000"/>
              </w14:schemeClr>
            </w14:solidFill>
          </w14:textFill>
        </w:rPr>
        <w:t>全面提升“两山”建设责任意识</w:t>
      </w:r>
      <w:bookmarkEnd w:id="99"/>
      <w:bookmarkEnd w:id="100"/>
    </w:p>
    <w:p w14:paraId="2AAA505C">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提倡绿色低碳生活方式。围绕衣、食、住、行、游提倡低碳生活方式，编制并发放北碚区节水节电、绿色消费、低碳出行、垃圾分类等行动指南。加快畅通绿色产品流通渠道，扩大绿色消费市场，定期开展节能节水普及宣传，倡导居民购买绿色环保产品。加快绿色出行配套设施建设，优化轨道交通、公共交通等绿色交通系统，倡导公众优先选择绿色出行方式。</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（牵头单位：区发改委、区水利局、区商务委、区交通局、区城管局按照职能职责分别牵头；配合单位：各部门、各园区管委会、各街镇）</w:t>
      </w:r>
    </w:p>
    <w:p w14:paraId="70235C29">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培育生态文化和绿色价值观。加强文化价值观念教育，依托缙云山生态环保科普教育基地等载体开展“生态北碚”文化活动。积极组织辖区高职院校学生参加生态文化活动义务宣讲队伍、开展生态环境类写生活动，组织高校开展生态环境保护公益类活动。把生态环境保护纳入国民教育体系和党政领导干部培训体系，推</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进</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生态</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环境保护宣教进学校、进家庭、进社区、进工厂、进机关。加强</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生态</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文化宣传力度，</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每年开展“两山”理念传播效果评估工作。</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（牵头单位：区文化旅游委、区生态环境局、区委组织部按照职能职责分别牵头；配合单位：各部门、各园区管委会、各街镇）</w:t>
      </w:r>
    </w:p>
    <w:p w14:paraId="078156E0">
      <w:pPr>
        <w:spacing w:line="594" w:lineRule="exact"/>
        <w:ind w:firstLine="640" w:firstLineChars="200"/>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推进政府绿色采购与办公。建立完善北碚区政府强制绿色采购和优先绿色采购制度，推进政府部门和政府投资项目绿色采购，建立绿色采购管理台账，提高政府绿色采购比例。率先在政府部门推广绿色办公，提高办公设备和资产使用效率，积极推行无纸化办公。加强公共机构节能、节水管理，建设节约型机关。</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（牵头单位：区财政局、区机关事务局按照职能职责分别牵头；配合单位：各部门、各园区管委会、各街镇）</w:t>
      </w:r>
    </w:p>
    <w:p w14:paraId="7653F914">
      <w:pPr>
        <w:spacing w:line="594" w:lineRule="exact"/>
        <w:ind w:firstLine="643" w:firstLineChars="200"/>
        <w:outlineLvl w:val="2"/>
        <w:rPr>
          <w:rFonts w:ascii="方正仿宋_GBK" w:hAnsi="Times New Roman" w:eastAsia="方正仿宋_GBK" w:cs="Times New Roman"/>
          <w:b/>
          <w:color w:val="0D0D0D" w:themeColor="text1" w:themeTint="F2"/>
          <w:sz w:val="32"/>
          <w:szCs w:val="32"/>
          <w14:textFill>
            <w14:solidFill>
              <w14:schemeClr w14:val="tx1">
                <w14:lumMod w14:val="95000"/>
                <w14:lumOff w14:val="5000"/>
              </w14:schemeClr>
            </w14:solidFill>
          </w14:textFill>
        </w:rPr>
      </w:pPr>
      <w:bookmarkStart w:id="101" w:name="_Toc37070781"/>
      <w:bookmarkStart w:id="102" w:name="_Toc45540722"/>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2</w:t>
      </w:r>
      <w:r>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2.</w:t>
      </w:r>
      <w:r>
        <w:rPr>
          <w:rFonts w:hint="eastAsia" w:ascii="方正仿宋_GBK" w:hAnsi="Times New Roman" w:eastAsia="方正仿宋_GBK" w:cs="Times New Roman"/>
          <w:b/>
          <w:color w:val="0D0D0D" w:themeColor="text1" w:themeTint="F2"/>
          <w:sz w:val="32"/>
          <w:szCs w:val="32"/>
          <w14:textFill>
            <w14:solidFill>
              <w14:schemeClr w14:val="tx1">
                <w14:lumMod w14:val="95000"/>
                <w14:lumOff w14:val="5000"/>
              </w14:schemeClr>
            </w14:solidFill>
          </w14:textFill>
        </w:rPr>
        <w:t>完善“政府＋市场”协同激励机制</w:t>
      </w:r>
      <w:bookmarkEnd w:id="101"/>
      <w:bookmarkEnd w:id="102"/>
    </w:p>
    <w:p w14:paraId="61ED3020">
      <w:pPr>
        <w:spacing w:line="594" w:lineRule="exact"/>
        <w:ind w:firstLine="640" w:firstLineChars="200"/>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加大</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财税支持</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和生态补偿</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力度。建立“金山银山”对“绿水青山”的反哺机制，建立自然资源有偿使用制度和生态补偿机制。持续推进梁滩河流域上下游生态补偿机制，共同推进梁滩河水环境质量改善。加大财税支持力度，区级财政优先保障“三农”投入，优化财政转移支付中生态保护补偿预算安排结构，完善分配体系。加大农村产业融合发展投入，涉农基建投资和统筹资金、市级农业产业发展资金、农业综合开发资金等积极向农村产业融合项目倾斜。</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（牵头单位：区规划自然资源局、区财政局按照职能职责分别牵头；配合单位：区生态环境局）</w:t>
      </w:r>
    </w:p>
    <w:p w14:paraId="5931AB81">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探索建立利益联结机制。</w:t>
      </w:r>
      <w:r>
        <w:rPr>
          <w:rFonts w:hint="eastAsia" w:ascii="Times New Roman" w:hAnsi="Times New Roman" w:eastAsia="方正仿宋_GBK" w:cs="Times New Roman"/>
          <w:bCs/>
          <w:sz w:val="32"/>
          <w:szCs w:val="32"/>
        </w:rPr>
        <w:t>持续开展农业项目财政补助资金股权化改革，</w:t>
      </w:r>
      <w:r>
        <w:rPr>
          <w:rFonts w:ascii="Times New Roman" w:hAnsi="Times New Roman" w:eastAsia="方正仿宋_GBK" w:cs="Times New Roman"/>
          <w:bCs/>
          <w:sz w:val="32"/>
          <w:szCs w:val="32"/>
        </w:rPr>
        <w:t>引导各类经营主体共同出资、相互持股，发展多种形式的农业混合所有制经济。</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按照“保底收益</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+按股分红”</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的原则，在北碚江东生态农业科技产业示范园等农业园区引导和鼓励农民自愿以土地、资金、资产等要素入股参与农业产业化经营。出台实施农家乐扶持政策，推进农家乐提档升级，探索建立利益联结机制，为群众生产生活创造更好基础和条件，引导自然保护区内原住居民用好用活用足各类民生政策，拓宽增收渠道。</w:t>
      </w:r>
      <w:r>
        <w:rPr>
          <w:rFonts w:ascii="Times New Roman" w:hAnsi="Times New Roman" w:eastAsia="方正仿宋_GBK" w:cs="Times New Roman"/>
          <w:bCs/>
          <w:sz w:val="32"/>
          <w:szCs w:val="32"/>
        </w:rPr>
        <w:t>鼓励龙头企业为农户提供贷款担保、农业保险资助以及技术培训、农资购销等多种服务，把农产品加工、流通等化解的收益更多留在农村、留给农民。</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（牵头单位：区农业农村委；配合单位：区财政局、区规划自然资源局、相关园区管委会、相关街镇）</w:t>
      </w:r>
    </w:p>
    <w:p w14:paraId="135E3100">
      <w:pPr>
        <w:spacing w:line="594" w:lineRule="exact"/>
        <w:ind w:firstLine="640" w:firstLineChars="200"/>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加大绿色金融政策支持</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力度。完善绿色金融政策体系，配合全市绿色金融示范区建设。引导金融机构创新绿色金融服务模式，加大绿色信贷、绿色保险、绿色债券、绿色担保、绿色产业基金的支持力度，完善农户、中小农业普惠金融服务体系，抓好农业保险保费补贴政策落实。</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w:t>
      </w:r>
      <w:r>
        <w:rPr>
          <w:rFonts w:hint="eastAsia" w:ascii="Times New Roman" w:hAnsi="Times New Roman" w:eastAsia="方正仿宋_GBK" w:cs="Times New Roman"/>
          <w:b/>
          <w:sz w:val="32"/>
          <w:szCs w:val="32"/>
        </w:rPr>
        <w:t>位：区发改委；配合单位：区</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生态环境局）</w:t>
      </w:r>
    </w:p>
    <w:p w14:paraId="22761FF3">
      <w:pPr>
        <w:spacing w:line="594" w:lineRule="exact"/>
        <w:ind w:firstLine="640" w:firstLineChars="200"/>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建立健全绿色招商制度。建立绿色招商正负面清单制度，制定北碚区绿色产业指导目录，支持鼓励绿色产业招商引资。完善招商引资工业项目准入评估，建立基于投入产出强度、全员劳动生产率、吸纳本地就业率、产品外向度指数、项目能耗、税务评估、安全、环保、节水等方面的评估机制，适时调整提高工业项目准入控制指标。</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（牵头单位：区招商投资促进局；配合单位：区发改委、区经济信息委、区税务局、区应急局、区水利局、相关园区管委会）</w:t>
      </w:r>
    </w:p>
    <w:p w14:paraId="6644D39F">
      <w:pPr>
        <w:spacing w:line="594" w:lineRule="exact"/>
        <w:ind w:firstLine="643" w:firstLineChars="200"/>
        <w:outlineLvl w:val="2"/>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pPr>
      <w:bookmarkStart w:id="103" w:name="_Toc37070782"/>
      <w:bookmarkStart w:id="104" w:name="_Toc45540723"/>
      <w:r>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23.</w:t>
      </w:r>
      <w:r>
        <w:rPr>
          <w:rFonts w:hint="eastAsia" w:ascii="方正仿宋_GBK"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筑牢“两山”建设制度屏障</w:t>
      </w:r>
      <w:bookmarkEnd w:id="103"/>
      <w:bookmarkEnd w:id="104"/>
    </w:p>
    <w:p w14:paraId="67076834">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构建现代环境治理体系。完善全区四级网格化监管网络，落实污染源属地监管职责，加强基层执法力量，形成全覆盖的生态环保执法体系。加大生态环境违法行为整治和查处力度，保持打击违法行为高压态势。推进生态环境监测能力建设，建设涵盖大气、水、土壤、噪声、辐射、生态等要素，覆盖全区、布局合理、分工明确、重点突出的生态环境监测网络。严格执行排污许可管理制度，强化企业排污监管监督检查。督促企业依法依规公开环境信息，接受社会监督。健全企业环保信用评价和信息共享机制，在公共采购、金融支持等领域实行守信联合激励和失信联合惩戒。</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（牵头单位：区生态环境局；配合单位：区财政局、相关园区管委会、相关街镇）</w:t>
      </w:r>
    </w:p>
    <w:p w14:paraId="40C45B67">
      <w:pPr>
        <w:spacing w:line="594" w:lineRule="exact"/>
        <w:ind w:firstLine="640" w:firstLineChars="200"/>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完善绿水青山保护机制。在缙云山、中梁山实施“林长制”，落实三级林长责任，深入推进生态环境综合整治、山地生态公园建设、联动机制建立、集中执法改革探索等各项工作，保护好辖区山林资源。继续全面推行河长制，强化各级河长责任和区级责任单位职责，加强组织领导，狠抓目标任务落实，健全工作机制和宣传引导，保护好辖区水资源。建立资源环境承载能力监测预警机制，对水土资源和环境容量超载区域及时预警调控。实行最严格的水资源管理制度，严守水资源开发利用控制、用水效率、水功能区纳污控制“三条红线”。</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（牵头单位：区林业局、区水利局、区规划自然资源局按照职能职责分别牵头；配合单位：区生态环境局、区文化旅游委、区农业农村委、区住房城乡建委、相关园区管委会、各街镇）</w:t>
      </w:r>
    </w:p>
    <w:p w14:paraId="2577654B">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推进生态文明体制改革。全面落实生态环境损害责任终身追究制度、生态环境损害赔偿制度、领导干部自然资源资产离任审计、自然资源资产负债表编制等生态文明制度。健全生态环境保护考核评价与责任追究制度，切实落实“党政同责、一岗双责”和“终身追责”。按照市级部门统一部署，推进自然资源资产产权制度改革，建立完善土地资源、水资源、矿产资源、森林资源等有偿使用制度，稳妥推进“三变”改革试点，开展生态类地票试点工作。</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（牵头单位：区纪委监委、区生态环境局、区审计局、区统计局、区规划自然资源局按照职能职责分别牵头；配合单位：相关职能部门、各园区管委会、各街镇）</w:t>
      </w:r>
    </w:p>
    <w:p w14:paraId="38E20F6A">
      <w:pPr>
        <w:spacing w:line="594" w:lineRule="exact"/>
        <w:ind w:firstLine="643" w:firstLineChars="200"/>
        <w:outlineLvl w:val="2"/>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pPr>
      <w:bookmarkStart w:id="105" w:name="_Toc37070783"/>
      <w:bookmarkStart w:id="106" w:name="_Toc45540724"/>
      <w:r>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24.增强“两山”建设智力支撑</w:t>
      </w:r>
      <w:bookmarkEnd w:id="105"/>
      <w:bookmarkEnd w:id="106"/>
    </w:p>
    <w:p w14:paraId="726DC239">
      <w:pPr>
        <w:spacing w:line="594" w:lineRule="exact"/>
        <w:ind w:firstLine="640" w:firstLineChars="200"/>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加大科技创新扶持力度。进一步深化校地合作，加快推进环西南大学创新生态圈“六大工程”，引进研发服务机构入驻天生创新创业街。依托中科院重庆分院、国科大重庆学院，招引国内外一流科研院所和企业研究院、工程实验室、技术中心落户或设立分支机构。建设水土园区创业孵化器，打造科技创新创业孵化链，支持各类创新主体科技成果加快转化。推进重庆高新区歇马拓展园法定规划全覆盖，加快</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标准厂房及企业孵化楼建设，促进智能传感器、新材料等产业项目落地</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（牵头单位：区科技局、区经济信息委、区规划自然资源局按照职能职责分别牵头；配合单位：相关园区管委会）</w:t>
      </w:r>
    </w:p>
    <w:p w14:paraId="0CFF5A68">
      <w:pPr>
        <w:spacing w:line="594" w:lineRule="exact"/>
        <w:ind w:firstLine="640" w:firstLineChars="200"/>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建立多层级“两山”人才队伍。通过“缙云英才”“碚有引力”、毕业生招录、专项遴选等方式，加大对高素质人才的引进和补充。组织各类干部人才赴浙江、江苏等省外发达地区学习“两山”理论实践先进经验做法。强化党校在干部培训中的阵地作用，将生态文明建设、生态</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+、美丽乡村建设、全域旅游</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绿色发展、乡村振兴等纳入重点教学培训内容，全面培育本土“两山”人才，提升</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全区</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干部队伍整体素质。</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（牵头单位：区委组织部、区生态环境局；配合单位：区委党校、各部门、各园区管委会、各街镇）</w:t>
      </w:r>
    </w:p>
    <w:p w14:paraId="07192D49">
      <w:pPr>
        <w:spacing w:line="594" w:lineRule="exact"/>
        <w:ind w:firstLine="640" w:firstLineChars="200"/>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加强生态环境保护队伍建设。建立合理有序的基层生态环境保护干部人才流动机制，将选人用人聚焦基层一线。调配精干人员进入生态环境监测和执法队伍，制定年度生态环境监测和执法集中培训计划，分批分轮次开展培训活动。建立落实基层人员考核奖惩制度，在政策上予以倾斜。强化生态环保宣教人员培训，壮大宣教队伍，加强对已有环保组织、志愿者队伍的引导。</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（牵头单位：区委组织部；配合单位：区生态环境局、区林业局、区农业农村委、区水利局、区规划自然资源局、各园区管委会、各街镇）</w:t>
      </w:r>
    </w:p>
    <w:p w14:paraId="6EBE4C16">
      <w:pPr>
        <w:spacing w:line="594" w:lineRule="exact"/>
        <w:ind w:firstLine="640" w:firstLineChars="200"/>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推进智慧生态环保平台建设。推进各职能部门生态环境数据集成与开放，提升生态环境信息共享与服务能力。逐步规范和完善生态环境数据在管理过程中的应用服务，深化各职能部门业务数据和社会数据的关联分析、融合利用。增强数据信息处理与分析能力，横向加强对街镇、园区数据的传输、存储、共享，纵向增加历史数据信息对比功能，进一步增加自然资源监管信息，加大卫星遥感和无人机应用，将</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天空地一体化</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监测网络纳入智慧环保平台中。</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（牵头单位：区生态环境局；配合单位：相关职能部门、相关园区管委会、各街镇）</w:t>
      </w:r>
    </w:p>
    <w:p w14:paraId="66CDC370">
      <w:pPr>
        <w:spacing w:line="594" w:lineRule="exact"/>
        <w:ind w:firstLine="643" w:firstLineChars="200"/>
        <w:outlineLvl w:val="2"/>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25.</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建立“两山”转化跟踪评估机制</w:t>
      </w:r>
    </w:p>
    <w:p w14:paraId="29E2F4E4">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编制《缙云山“两山”典型示范片区建设实施方案》，结合“两山指数”部分指标及区域特色指标，形成可监测、可计算、可统计的指标体系，通过评估精准剖析在建设过程中不同阶段缙云山片区的两山转化深度、转化程度、转化优势及短板，生态产品的品牌效应影响范围，体制机制体系对“两山”基地建设的支撑能力等。并以此为依据动态校准缙云山片区生态修复和产业开发的方向和建设任务，逐步通过实践推动形成缙云山区域生态环境保护和绿色发展相协调的发展模式，协同相关区县在其余“四山”区域试点推广，最终实现可复制可推广的北碚“两山”模式。（</w:t>
      </w:r>
      <w:r>
        <w:rPr>
          <w:rFonts w:hint="eastAsia" w:ascii="Times New Roman" w:hAnsi="Times New Roman" w:eastAsia="方正仿宋_GBK" w:cs="Times New Roman"/>
          <w:b/>
          <w:color w:val="0D0D0D" w:themeColor="text1" w:themeTint="F2"/>
          <w:sz w:val="32"/>
          <w:szCs w:val="32"/>
          <w14:textFill>
            <w14:solidFill>
              <w14:schemeClr w14:val="tx1">
                <w14:lumMod w14:val="95000"/>
                <w14:lumOff w14:val="5000"/>
              </w14:schemeClr>
            </w14:solidFill>
          </w14:textFill>
        </w:rPr>
        <w:t>牵头单位：区生态环境局；配合单位：相关职能部门、相关园区管委会、相关街镇</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p>
    <w:p w14:paraId="1B061B59">
      <w:pPr>
        <w:spacing w:line="594" w:lineRule="exact"/>
        <w:ind w:firstLine="640" w:firstLineChars="200"/>
        <w:outlineLvl w:val="0"/>
        <w:rPr>
          <w:rFonts w:ascii="Times New Roman" w:hAnsi="Times New Roman" w:eastAsia="黑体" w:cs="Times New Roman"/>
          <w:bCs/>
          <w:color w:val="0D0D0D" w:themeColor="text1" w:themeTint="F2"/>
          <w:sz w:val="32"/>
          <w14:textFill>
            <w14:solidFill>
              <w14:schemeClr w14:val="tx1">
                <w14:lumMod w14:val="95000"/>
                <w14:lumOff w14:val="5000"/>
              </w14:schemeClr>
            </w14:solidFill>
          </w14:textFill>
        </w:rPr>
      </w:pPr>
      <w:bookmarkStart w:id="107" w:name="_Toc48157869"/>
      <w:r>
        <w:rPr>
          <w:rFonts w:hint="eastAsia" w:ascii="Times New Roman" w:hAnsi="Times New Roman" w:eastAsia="黑体" w:cs="Times New Roman"/>
          <w:bCs/>
          <w:color w:val="0D0D0D" w:themeColor="text1" w:themeTint="F2"/>
          <w:sz w:val="32"/>
          <w14:textFill>
            <w14:solidFill>
              <w14:schemeClr w14:val="tx1">
                <w14:lumMod w14:val="95000"/>
                <w14:lumOff w14:val="5000"/>
              </w14:schemeClr>
            </w14:solidFill>
          </w14:textFill>
        </w:rPr>
        <w:t>六、工程项目</w:t>
      </w:r>
      <w:bookmarkEnd w:id="107"/>
    </w:p>
    <w:p w14:paraId="6F03628C">
      <w:pPr>
        <w:spacing w:line="594" w:lineRule="exact"/>
        <w:ind w:firstLine="640" w:firstLineChars="200"/>
        <w:rPr>
          <w:rFonts w:ascii="Times New Roman" w:hAnsi="Times New Roman" w:eastAsia="方正仿宋_GBK" w:cs="Times New Roman"/>
          <w:bCs/>
          <w:color w:val="0D0D0D" w:themeColor="text1" w:themeTint="F2"/>
          <w:kern w:val="0"/>
          <w:sz w:val="32"/>
          <w:szCs w:val="32"/>
          <w14:textFill>
            <w14:solidFill>
              <w14:schemeClr w14:val="tx1">
                <w14:lumMod w14:val="95000"/>
                <w14:lumOff w14:val="5000"/>
              </w14:schemeClr>
            </w14:solidFill>
          </w14:textFill>
        </w:rPr>
      </w:pPr>
      <w:bookmarkStart w:id="108" w:name="_Hlk45648746"/>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围绕</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北碚区“两山”基地建设</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目标，突出</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建设</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指标、重点领域和主要任务，协调经济社会发展与自然资源、生态环境的关系，</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做好厚植绿水青山、铸就金山银山、夯实“两山”转化三篇文章，聚力打通绿水青山向金山银山的转化通道。</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北碚区“两山”基地建设主要实施</w:t>
      </w:r>
      <w:bookmarkStart w:id="109" w:name="_Hlk507703600"/>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严格生态空间管控、生态环境质量改善、生态系统保护修复、“两山”路径转化实践、“两山”建设智力支撑</w:t>
      </w:r>
      <w:bookmarkEnd w:id="109"/>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5</w:t>
      </w:r>
      <w:r>
        <w:rPr>
          <w:rFonts w:ascii="Times New Roman" w:hAnsi="Times New Roman" w:eastAsia="方正仿宋_GBK" w:cs="Times New Roman"/>
          <w:bCs/>
          <w:color w:val="0D0D0D" w:themeColor="text1" w:themeTint="F2"/>
          <w:kern w:val="0"/>
          <w:sz w:val="32"/>
          <w:szCs w:val="32"/>
          <w14:textFill>
            <w14:solidFill>
              <w14:schemeClr w14:val="tx1">
                <w14:lumMod w14:val="95000"/>
                <w14:lumOff w14:val="5000"/>
              </w14:schemeClr>
            </w14:solidFill>
          </w14:textFill>
        </w:rPr>
        <w:t>个体系、30个类别，共47个重点项目。</w:t>
      </w:r>
    </w:p>
    <w:bookmarkEnd w:id="108"/>
    <w:p w14:paraId="4DD9D4F7">
      <w:pPr>
        <w:spacing w:line="594" w:lineRule="exact"/>
        <w:ind w:firstLine="640" w:firstLineChars="200"/>
        <w:rPr>
          <w:rFonts w:ascii="Times New Roman" w:hAnsi="Times New Roman" w:eastAsia="方正仿宋_GBK" w:cs="Times New Roman"/>
          <w:bCs/>
          <w:color w:val="0D0D0D" w:themeColor="text1" w:themeTint="F2"/>
          <w:kern w:val="0"/>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“两山”基地建设</w:t>
      </w:r>
      <w:r>
        <w:rPr>
          <w:rFonts w:ascii="Times New Roman" w:hAnsi="Times New Roman" w:eastAsia="方正仿宋_GBK" w:cs="Times New Roman"/>
          <w:bCs/>
          <w:color w:val="0D0D0D" w:themeColor="text1" w:themeTint="F2"/>
          <w:kern w:val="0"/>
          <w:sz w:val="32"/>
          <w:szCs w:val="32"/>
          <w14:textFill>
            <w14:solidFill>
              <w14:schemeClr w14:val="tx1">
                <w14:lumMod w14:val="95000"/>
                <w14:lumOff w14:val="5000"/>
              </w14:schemeClr>
            </w14:solidFill>
          </w14:textFill>
        </w:rPr>
        <w:t>作为一项涉及全区各个领域的系统工程，所需资金投入巨大，全区目前可直接用于</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“两山”基地</w:t>
      </w:r>
      <w:r>
        <w:rPr>
          <w:rFonts w:ascii="Times New Roman" w:hAnsi="Times New Roman" w:eastAsia="方正仿宋_GBK" w:cs="Times New Roman"/>
          <w:bCs/>
          <w:color w:val="0D0D0D" w:themeColor="text1" w:themeTint="F2"/>
          <w:kern w:val="0"/>
          <w:sz w:val="32"/>
          <w:szCs w:val="32"/>
          <w14:textFill>
            <w14:solidFill>
              <w14:schemeClr w14:val="tx1">
                <w14:lumMod w14:val="95000"/>
                <w14:lumOff w14:val="5000"/>
              </w14:schemeClr>
            </w14:solidFill>
          </w14:textFill>
        </w:rPr>
        <w:t>建设的资金有限，项目建设过程中，应坚持多渠道筹措资金，全社会各尽所能，市场化滚动发展，保证重点项目建设顺利进行。</w:t>
      </w:r>
    </w:p>
    <w:p w14:paraId="6677A119">
      <w:pPr>
        <w:spacing w:line="594" w:lineRule="exact"/>
        <w:ind w:firstLine="640" w:firstLineChars="200"/>
        <w:outlineLvl w:val="0"/>
        <w:rPr>
          <w:rFonts w:ascii="Times New Roman" w:hAnsi="Times New Roman" w:eastAsia="黑体" w:cs="Times New Roman"/>
          <w:bCs/>
          <w:color w:val="0D0D0D" w:themeColor="text1" w:themeTint="F2"/>
          <w:sz w:val="32"/>
          <w14:textFill>
            <w14:solidFill>
              <w14:schemeClr w14:val="tx1">
                <w14:lumMod w14:val="95000"/>
                <w14:lumOff w14:val="5000"/>
              </w14:schemeClr>
            </w14:solidFill>
          </w14:textFill>
        </w:rPr>
      </w:pPr>
      <w:bookmarkStart w:id="110" w:name="_Toc48157870"/>
      <w:r>
        <w:rPr>
          <w:rFonts w:hint="eastAsia" w:ascii="Times New Roman" w:hAnsi="Times New Roman" w:eastAsia="黑体" w:cs="Times New Roman"/>
          <w:bCs/>
          <w:color w:val="0D0D0D" w:themeColor="text1" w:themeTint="F2"/>
          <w:sz w:val="32"/>
          <w14:textFill>
            <w14:solidFill>
              <w14:schemeClr w14:val="tx1">
                <w14:lumMod w14:val="95000"/>
                <w14:lumOff w14:val="5000"/>
              </w14:schemeClr>
            </w14:solidFill>
          </w14:textFill>
        </w:rPr>
        <w:t>七、保障措施</w:t>
      </w:r>
      <w:bookmarkEnd w:id="110"/>
    </w:p>
    <w:p w14:paraId="0A511397">
      <w:pPr>
        <w:spacing w:line="594" w:lineRule="exact"/>
        <w:ind w:firstLine="640" w:firstLineChars="200"/>
        <w:outlineLvl w:val="1"/>
        <w:rPr>
          <w:rFonts w:ascii="方正楷体_GBK" w:hAnsi="Times New Roman" w:eastAsia="方正楷体_GBK" w:cs="Times New Roman"/>
          <w:bCs/>
          <w:color w:val="0D0D0D" w:themeColor="text1" w:themeTint="F2"/>
          <w:sz w:val="32"/>
          <w14:textFill>
            <w14:solidFill>
              <w14:schemeClr w14:val="tx1">
                <w14:lumMod w14:val="95000"/>
                <w14:lumOff w14:val="5000"/>
              </w14:schemeClr>
            </w14:solidFill>
          </w14:textFill>
        </w:rPr>
      </w:pPr>
      <w:bookmarkStart w:id="111" w:name="_Toc48157871"/>
      <w:r>
        <w:rPr>
          <w:rFonts w:hint="eastAsia" w:ascii="方正楷体_GBK" w:hAnsi="Times New Roman" w:eastAsia="方正楷体_GBK" w:cs="Times New Roman"/>
          <w:bCs/>
          <w:color w:val="0D0D0D" w:themeColor="text1" w:themeTint="F2"/>
          <w:sz w:val="32"/>
          <w14:textFill>
            <w14:solidFill>
              <w14:schemeClr w14:val="tx1">
                <w14:lumMod w14:val="95000"/>
                <w14:lumOff w14:val="5000"/>
              </w14:schemeClr>
            </w14:solidFill>
          </w14:textFill>
        </w:rPr>
        <w:t>（一）强化组织领导</w:t>
      </w:r>
      <w:bookmarkEnd w:id="111"/>
    </w:p>
    <w:p w14:paraId="43231EFB">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成立北碚区“两山”基地建设工作领导小组，负责统筹协调“两山”基地</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工作的统筹指挥和重大问题的决策。</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在北碚区生态环境局下设领导小组办公室</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（简称“建设办公室”）</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，负责</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相关组织、协调、指导、考核、督查等日常工作。领导小组各成员单位应严格履行生态文明建设“党政同责、一岗双责”的要求，自觉担负起本部门、本辖区、本行业的建设责任，各成员单位应确定一名分管负责人和联络员负责</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“两山”基地建设</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工作，把</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“两山”基地建设</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工作纳入本部门重要议事日程。</w:t>
      </w:r>
    </w:p>
    <w:p w14:paraId="1593036D">
      <w:pPr>
        <w:spacing w:line="594" w:lineRule="exact"/>
        <w:ind w:firstLine="640" w:firstLineChars="200"/>
        <w:outlineLvl w:val="1"/>
        <w:rPr>
          <w:rFonts w:ascii="方正楷体_GBK" w:hAnsi="Times New Roman" w:eastAsia="方正楷体_GBK" w:cs="Times New Roman"/>
          <w:bCs/>
          <w:color w:val="0D0D0D" w:themeColor="text1" w:themeTint="F2"/>
          <w:sz w:val="32"/>
          <w14:textFill>
            <w14:solidFill>
              <w14:schemeClr w14:val="tx1">
                <w14:lumMod w14:val="95000"/>
                <w14:lumOff w14:val="5000"/>
              </w14:schemeClr>
            </w14:solidFill>
          </w14:textFill>
        </w:rPr>
      </w:pPr>
      <w:bookmarkStart w:id="112" w:name="_Toc48157872"/>
      <w:r>
        <w:rPr>
          <w:rFonts w:hint="eastAsia" w:ascii="方正楷体_GBK" w:hAnsi="Times New Roman" w:eastAsia="方正楷体_GBK" w:cs="Times New Roman"/>
          <w:bCs/>
          <w:color w:val="0D0D0D" w:themeColor="text1" w:themeTint="F2"/>
          <w:sz w:val="32"/>
          <w14:textFill>
            <w14:solidFill>
              <w14:schemeClr w14:val="tx1">
                <w14:lumMod w14:val="95000"/>
                <w14:lumOff w14:val="5000"/>
              </w14:schemeClr>
            </w14:solidFill>
          </w14:textFill>
        </w:rPr>
        <w:t>（二）落实目标责任</w:t>
      </w:r>
      <w:bookmarkEnd w:id="112"/>
    </w:p>
    <w:p w14:paraId="3BD4C512">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建立和完善生态文明建设目标责任制和激励约束机制，确保责任到位、措施到位、投入到位。按年度将</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“两山”基地</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建设工作目标、指标和任务分解落实到相关区级部门</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、园区管委会和</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街镇，各责任单位结合本单位职责职能，逐条逐项制定细化措施，落实具体工作责任人，明确时间表、路线图，保质保量完成</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建设</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各项工作任务。</w:t>
      </w:r>
    </w:p>
    <w:p w14:paraId="3CA96D73">
      <w:pPr>
        <w:spacing w:line="594" w:lineRule="exact"/>
        <w:ind w:firstLine="640" w:firstLineChars="200"/>
        <w:outlineLvl w:val="1"/>
        <w:rPr>
          <w:rFonts w:ascii="方正楷体_GBK" w:hAnsi="Times New Roman" w:eastAsia="方正楷体_GBK" w:cs="Times New Roman"/>
          <w:bCs/>
          <w:color w:val="0D0D0D" w:themeColor="text1" w:themeTint="F2"/>
          <w:sz w:val="32"/>
          <w14:textFill>
            <w14:solidFill>
              <w14:schemeClr w14:val="tx1">
                <w14:lumMod w14:val="95000"/>
                <w14:lumOff w14:val="5000"/>
              </w14:schemeClr>
            </w14:solidFill>
          </w14:textFill>
        </w:rPr>
      </w:pPr>
      <w:bookmarkStart w:id="113" w:name="_Toc48157873"/>
      <w:r>
        <w:rPr>
          <w:rFonts w:hint="eastAsia" w:ascii="方正楷体_GBK" w:hAnsi="Times New Roman" w:eastAsia="方正楷体_GBK" w:cs="Times New Roman"/>
          <w:bCs/>
          <w:color w:val="0D0D0D" w:themeColor="text1" w:themeTint="F2"/>
          <w:sz w:val="32"/>
          <w14:textFill>
            <w14:solidFill>
              <w14:schemeClr w14:val="tx1">
                <w14:lumMod w14:val="95000"/>
                <w14:lumOff w14:val="5000"/>
              </w14:schemeClr>
            </w14:solidFill>
          </w14:textFill>
        </w:rPr>
        <w:t>（三）严格督查考核</w:t>
      </w:r>
      <w:bookmarkEnd w:id="113"/>
    </w:p>
    <w:p w14:paraId="44EAB4A5">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加强过程考核和年度考核，将“两山”基地建设各项任务落实情况纳入区管领导班子和领导干部年度考核</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。把</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“两山”基地建设</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工作落实情况纳入重大事项督查范围，加强日常督查和重点督查。区政府每年向区人民代表大会或常委会报告</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“两山”基地建设</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工作情况。</w:t>
      </w:r>
    </w:p>
    <w:p w14:paraId="7A1F24D1">
      <w:pPr>
        <w:spacing w:line="594" w:lineRule="exact"/>
        <w:ind w:firstLine="640" w:firstLineChars="200"/>
        <w:outlineLvl w:val="1"/>
        <w:rPr>
          <w:rFonts w:ascii="方正楷体_GBK" w:hAnsi="Times New Roman" w:eastAsia="方正楷体_GBK" w:cs="Times New Roman"/>
          <w:bCs/>
          <w:color w:val="0D0D0D" w:themeColor="text1" w:themeTint="F2"/>
          <w:sz w:val="32"/>
          <w14:textFill>
            <w14:solidFill>
              <w14:schemeClr w14:val="tx1">
                <w14:lumMod w14:val="95000"/>
                <w14:lumOff w14:val="5000"/>
              </w14:schemeClr>
            </w14:solidFill>
          </w14:textFill>
        </w:rPr>
      </w:pPr>
      <w:bookmarkStart w:id="114" w:name="_Toc48157874"/>
      <w:r>
        <w:rPr>
          <w:rFonts w:hint="eastAsia" w:ascii="方正楷体_GBK" w:hAnsi="Times New Roman" w:eastAsia="方正楷体_GBK" w:cs="Times New Roman"/>
          <w:bCs/>
          <w:color w:val="0D0D0D" w:themeColor="text1" w:themeTint="F2"/>
          <w:sz w:val="32"/>
          <w14:textFill>
            <w14:solidFill>
              <w14:schemeClr w14:val="tx1">
                <w14:lumMod w14:val="95000"/>
                <w14:lumOff w14:val="5000"/>
              </w14:schemeClr>
            </w14:solidFill>
          </w14:textFill>
        </w:rPr>
        <w:t>（四）加强资金保障</w:t>
      </w:r>
      <w:bookmarkEnd w:id="114"/>
    </w:p>
    <w:p w14:paraId="2403A1D4">
      <w:pPr>
        <w:spacing w:line="594" w:lineRule="exact"/>
        <w:ind w:firstLine="640" w:firstLineChars="200"/>
        <w:rPr>
          <w:rFonts w:ascii="方正楷体_GBK" w:hAnsi="Times New Roman" w:eastAsia="方正楷体_GBK" w:cs="Times New Roman"/>
          <w:bCs/>
          <w:color w:val="0D0D0D" w:themeColor="text1" w:themeTint="F2"/>
          <w:sz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科学合理调整优化本级财政支出结构，将</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“两山”基地建设</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投入作为公共财政支出的重点，建立稳定增长的投入机制，确保重点工程顺利推进。积极争取国家污染防治专项资金以及生态保护与建设相关专项资金支持。</w:t>
      </w:r>
      <w:r>
        <w:rPr>
          <w:rFonts w:ascii="Times New Roman" w:hAnsi="Times New Roman" w:eastAsia="方正仿宋_GBK" w:cs="Times New Roman"/>
          <w:bCs/>
          <w:color w:val="0D0D0D" w:themeColor="text1" w:themeTint="F2"/>
          <w:kern w:val="0"/>
          <w:sz w:val="32"/>
          <w:szCs w:val="32"/>
          <w14:textFill>
            <w14:solidFill>
              <w14:schemeClr w14:val="tx1">
                <w14:lumMod w14:val="95000"/>
                <w14:lumOff w14:val="5000"/>
              </w14:schemeClr>
            </w14:solidFill>
          </w14:textFill>
        </w:rPr>
        <w:t>运</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用市场化机制，搭建融资合作平台，鼓励和引导社会资本参与</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生态环境保护</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领域，逐步形成政府引导、企业自觉、社会支持的</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“两山”基地建设</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多元化投入机制。</w:t>
      </w:r>
    </w:p>
    <w:p w14:paraId="7BE38062">
      <w:pPr>
        <w:spacing w:line="594" w:lineRule="exact"/>
        <w:ind w:firstLine="640" w:firstLineChars="200"/>
        <w:outlineLvl w:val="1"/>
        <w:rPr>
          <w:rFonts w:ascii="方正楷体_GBK" w:hAnsi="Times New Roman" w:eastAsia="方正楷体_GBK" w:cs="Times New Roman"/>
          <w:bCs/>
          <w:color w:val="0D0D0D" w:themeColor="text1" w:themeTint="F2"/>
          <w:sz w:val="32"/>
          <w14:textFill>
            <w14:solidFill>
              <w14:schemeClr w14:val="tx1">
                <w14:lumMod w14:val="95000"/>
                <w14:lumOff w14:val="5000"/>
              </w14:schemeClr>
            </w14:solidFill>
          </w14:textFill>
        </w:rPr>
      </w:pPr>
      <w:bookmarkStart w:id="115" w:name="_Toc48157875"/>
      <w:r>
        <w:rPr>
          <w:rFonts w:hint="eastAsia" w:ascii="方正楷体_GBK" w:hAnsi="Times New Roman" w:eastAsia="方正楷体_GBK" w:cs="Times New Roman"/>
          <w:bCs/>
          <w:color w:val="0D0D0D" w:themeColor="text1" w:themeTint="F2"/>
          <w:sz w:val="32"/>
          <w14:textFill>
            <w14:solidFill>
              <w14:schemeClr w14:val="tx1">
                <w14:lumMod w14:val="95000"/>
                <w14:lumOff w14:val="5000"/>
              </w14:schemeClr>
            </w14:solidFill>
          </w14:textFill>
        </w:rPr>
        <w:t>（五）强化宣传引导</w:t>
      </w:r>
      <w:bookmarkEnd w:id="115"/>
    </w:p>
    <w:p w14:paraId="67F6577D">
      <w:pPr>
        <w:spacing w:line="594" w:lineRule="exact"/>
        <w:ind w:firstLine="640" w:firstLineChars="200"/>
        <w:rPr>
          <w:rFonts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sectPr>
          <w:footerReference r:id="rId15" w:type="default"/>
          <w:pgSz w:w="11906" w:h="16838"/>
          <w:pgMar w:top="1440" w:right="1446" w:bottom="1440" w:left="1446" w:header="851" w:footer="992" w:gutter="0"/>
          <w:pgNumType w:start="1"/>
          <w:cols w:space="425" w:num="1"/>
          <w:docGrid w:type="lines" w:linePitch="312" w:charSpace="0"/>
        </w:sectPr>
      </w:pPr>
      <w:r>
        <w:rPr>
          <w:rFonts w:hint="eastAsia" w:ascii="方正仿宋_GBK" w:hAnsi="Times New Roman" w:eastAsia="方正仿宋_GBK" w:cs="Times New Roman"/>
          <w:bCs/>
          <w:color w:val="0D0D0D" w:themeColor="text1" w:themeTint="F2"/>
          <w:kern w:val="0"/>
          <w:sz w:val="32"/>
          <w:szCs w:val="32"/>
          <w14:textFill>
            <w14:solidFill>
              <w14:schemeClr w14:val="tx1">
                <w14:lumMod w14:val="95000"/>
                <w14:lumOff w14:val="5000"/>
              </w14:schemeClr>
            </w14:solidFill>
          </w14:textFill>
        </w:rPr>
        <w:t>充分利用报纸、电视台、网络、政务微博、微信、环保屏等载体广泛宣传“两山”理念，开展</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两山”理念进课堂、进社区、进企业，广泛开展“两山”建设教育主题活动。通过开设“两山”建立民意反映监管平台、开通投诉监督电话、设立民情民意留言箱、设立微信和微博平台等，全面畅通“两山”建设监督渠道。注重发挥共青团、妇联等群团组织及其他社会组织的作用，形成全民建设“两山”基地的良好氛围。</w:t>
      </w:r>
    </w:p>
    <w:p w14:paraId="0A0DCA68">
      <w:pPr>
        <w:outlineLvl w:val="0"/>
        <w:rPr>
          <w:rFonts w:ascii="Times New Roman" w:hAnsi="Times New Roman" w:eastAsia="方正黑体_GBK" w:cs="Times New Roman"/>
          <w:bCs/>
          <w:color w:val="0D0D0D" w:themeColor="text1" w:themeTint="F2"/>
          <w:sz w:val="32"/>
          <w:szCs w:val="32"/>
          <w14:textFill>
            <w14:solidFill>
              <w14:schemeClr w14:val="tx1">
                <w14:lumMod w14:val="95000"/>
                <w14:lumOff w14:val="5000"/>
              </w14:schemeClr>
            </w14:solidFill>
          </w14:textFill>
        </w:rPr>
      </w:pPr>
      <w:bookmarkStart w:id="116" w:name="_Toc48157876"/>
      <w:r>
        <w:rPr>
          <w:rFonts w:ascii="Times New Roman" w:hAnsi="Times New Roman" w:eastAsia="方正黑体_GBK" w:cs="Times New Roman"/>
          <w:bCs/>
          <w:color w:val="0D0D0D" w:themeColor="text1" w:themeTint="F2"/>
          <w:sz w:val="32"/>
          <w:szCs w:val="32"/>
          <w14:textFill>
            <w14:solidFill>
              <w14:schemeClr w14:val="tx1">
                <w14:lumMod w14:val="95000"/>
                <w14:lumOff w14:val="5000"/>
              </w14:schemeClr>
            </w14:solidFill>
          </w14:textFill>
        </w:rPr>
        <w:t>附件1 主要部门职责分工</w:t>
      </w:r>
      <w:bookmarkEnd w:id="116"/>
    </w:p>
    <w:p w14:paraId="23AA0B89">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北碚区“两山”实践创新基地建设工作由区委、区政府统筹部署，成立北碚区“两山”基地建设工作领导小组（以下简称“领导小组”），领导小组在北碚区生态环境局下设办公室，具体负责建设过程中的日常工作、拟定《</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北碚区建设“绿水青山就是金山银山”实践创新基地实施方案（</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2020-2025年）》、制定年度工作计划和任务分解、协调沟通等相关事宜。各有关单位应按照《</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北碚区建设“绿水青山就是金山银山”实践创新基地实施方案（</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2020-2025年）》</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（以下简称《实施方案》）</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 xml:space="preserve">要求，切实履行好相关工作责任，按时保质保量完成建设工作相关任务及领导小组安排的其他工作。相关主要牵头责任单位具体建设工作职责分工如下： </w:t>
      </w:r>
    </w:p>
    <w:p w14:paraId="3D0F5BFA">
      <w:pPr>
        <w:spacing w:line="594" w:lineRule="exact"/>
        <w:ind w:firstLine="640" w:firstLineChars="200"/>
        <w:outlineLvl w:val="1"/>
        <w:rPr>
          <w:rFonts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pPr>
      <w:bookmarkStart w:id="117" w:name="_Toc48157877"/>
      <w:bookmarkStart w:id="118" w:name="_Toc524616860"/>
      <w:r>
        <w:rPr>
          <w:rFonts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t>（一）区纪委监委工作责任</w:t>
      </w:r>
      <w:bookmarkEnd w:id="117"/>
    </w:p>
    <w:p w14:paraId="7A904B55">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1.对负有</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“两山”基地</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建设和生态环境保护监督管理职责的单位和工作人员履行职责情况开展监督执纪问责。</w:t>
      </w:r>
    </w:p>
    <w:p w14:paraId="7921F9F4">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2.对责任追究落实情况进行监督检查。</w:t>
      </w:r>
    </w:p>
    <w:p w14:paraId="2A988648">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3.完成</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《实施方案》</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提出的其他”两山”基地建设相关工作。</w:t>
      </w:r>
    </w:p>
    <w:p w14:paraId="65A7A37D">
      <w:pPr>
        <w:spacing w:line="594" w:lineRule="exact"/>
        <w:ind w:firstLine="640" w:firstLineChars="200"/>
        <w:outlineLvl w:val="1"/>
        <w:rPr>
          <w:rFonts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pPr>
      <w:bookmarkStart w:id="119" w:name="_Toc48157878"/>
      <w:r>
        <w:rPr>
          <w:rFonts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t>（二）区委组织部工作责任</w:t>
      </w:r>
      <w:bookmarkEnd w:id="119"/>
    </w:p>
    <w:p w14:paraId="6236AEA9">
      <w:pPr>
        <w:spacing w:line="594" w:lineRule="exact"/>
        <w:ind w:firstLine="640" w:firstLineChars="200"/>
        <w:rPr>
          <w:rFonts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1.</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负责将“两山”基地建设纳入党政领导班子和领导干部年度考核内容</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，并作为评价和选拔干部的重要依据</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，把“两山”基地建设任务落到实处。</w:t>
      </w:r>
    </w:p>
    <w:p w14:paraId="2E5BB9D6">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2.加强环境保护领导班子和人才队伍建设。</w:t>
      </w:r>
    </w:p>
    <w:p w14:paraId="20C9EDEE">
      <w:pPr>
        <w:spacing w:line="594" w:lineRule="exact"/>
        <w:ind w:firstLine="640" w:firstLineChars="200"/>
        <w:rPr>
          <w:rFonts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3.完成《实施方案》提出的其他</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“两山”基地建设相关工作。</w:t>
      </w:r>
    </w:p>
    <w:p w14:paraId="0B3633A2">
      <w:pPr>
        <w:spacing w:line="594" w:lineRule="exact"/>
        <w:ind w:firstLine="640" w:firstLineChars="200"/>
        <w:outlineLvl w:val="1"/>
        <w:rPr>
          <w:rFonts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pPr>
      <w:bookmarkStart w:id="120" w:name="_Toc48157879"/>
      <w:r>
        <w:rPr>
          <w:rFonts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t>（三）区委宣传部工作责任</w:t>
      </w:r>
      <w:bookmarkEnd w:id="120"/>
    </w:p>
    <w:p w14:paraId="4912BC64">
      <w:pPr>
        <w:spacing w:line="594" w:lineRule="exact"/>
        <w:ind w:firstLine="640" w:firstLineChars="200"/>
        <w:rPr>
          <w:rFonts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1.负责组织开展“两山”基地建设宣传工作，营造</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有利于“两山”基地建设的舆论和社会氛围。</w:t>
      </w:r>
    </w:p>
    <w:p w14:paraId="5DE1B6AC">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2.发挥新闻媒体在</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“两山”基地建设中的积极作用，树立理性、积极的舆论导向，提升公众对“两山”基地建设的满意度。</w:t>
      </w:r>
    </w:p>
    <w:p w14:paraId="028D1519">
      <w:pPr>
        <w:spacing w:line="594" w:lineRule="exact"/>
        <w:ind w:firstLine="640" w:firstLineChars="200"/>
        <w:rPr>
          <w:rFonts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3.完成《实施方案》提出的其他</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“两山”基地建设相关工作。</w:t>
      </w:r>
    </w:p>
    <w:p w14:paraId="336EC402">
      <w:pPr>
        <w:spacing w:line="594" w:lineRule="exact"/>
        <w:ind w:firstLine="640" w:firstLineChars="200"/>
        <w:outlineLvl w:val="1"/>
        <w:rPr>
          <w:rFonts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pPr>
      <w:bookmarkStart w:id="121" w:name="_Toc48157880"/>
      <w:r>
        <w:rPr>
          <w:rFonts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t>（四）区生态环境局工作责任</w:t>
      </w:r>
      <w:bookmarkEnd w:id="121"/>
    </w:p>
    <w:p w14:paraId="3AD5557C">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1.牵头负责“两山”基地建设办公室日常工作。</w:t>
      </w:r>
    </w:p>
    <w:p w14:paraId="5FD83526">
      <w:pPr>
        <w:spacing w:line="594" w:lineRule="exact"/>
        <w:ind w:firstLine="640" w:firstLineChars="200"/>
        <w:rPr>
          <w:rFonts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2.负责牵头编制《实施方案》，</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制定年度工作计划及任务分解，明确相关部门及街镇“两山”基地建设工作责任。</w:t>
      </w:r>
    </w:p>
    <w:p w14:paraId="15ED8D00">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3.负责开展环境污染防治的监督管理及水、大气、声、土壤等生态环境质量改善工作，实施排污许可、总量控制，开展督办、约谈等工作。</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实施</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入河（湖、库）排污口设置和使用的监督管理。</w:t>
      </w:r>
    </w:p>
    <w:p w14:paraId="35F01C4A">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4.负责全区环境执法监测、污染源监督性监测、突发环境事件应急监测。</w:t>
      </w:r>
    </w:p>
    <w:p w14:paraId="5FB2D924">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5.推动、协助完善及实施跨界河流生态补偿制度。</w:t>
      </w:r>
    </w:p>
    <w:p w14:paraId="7ABBE16C">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6.负责开</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展“两山”基地建设宣传教育工作。</w:t>
      </w:r>
    </w:p>
    <w:p w14:paraId="28DF9BD9">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7.完成《实施方案》</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提出的其他“两山”基地建设相关工作。</w:t>
      </w:r>
    </w:p>
    <w:p w14:paraId="44EFE931">
      <w:pPr>
        <w:spacing w:line="594" w:lineRule="exact"/>
        <w:ind w:firstLine="640" w:firstLineChars="200"/>
        <w:outlineLvl w:val="1"/>
        <w:rPr>
          <w:rFonts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pPr>
      <w:bookmarkStart w:id="122" w:name="_Toc524616861"/>
      <w:bookmarkStart w:id="123" w:name="_Toc48157881"/>
      <w:r>
        <w:rPr>
          <w:rFonts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t>（五）</w:t>
      </w:r>
      <w:bookmarkEnd w:id="122"/>
      <w:r>
        <w:rPr>
          <w:rFonts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t>区</w:t>
      </w:r>
      <w:bookmarkStart w:id="124" w:name="_Hlk517191467"/>
      <w:r>
        <w:rPr>
          <w:rFonts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t>发展改革委工作责任</w:t>
      </w:r>
      <w:bookmarkEnd w:id="118"/>
      <w:bookmarkEnd w:id="123"/>
      <w:bookmarkEnd w:id="124"/>
    </w:p>
    <w:p w14:paraId="7625528E">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1.负责将“两山”基地建设相关工作纳入国民经济和社会发展规划。</w:t>
      </w:r>
    </w:p>
    <w:p w14:paraId="6AD04CD0">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2.负责权限内审批或核准《实施方案》涉及的重大建设项目。</w:t>
      </w:r>
    </w:p>
    <w:p w14:paraId="7DF8FD9F">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3.完成《实施方案》提出的其他“两山”基地建设相关工作。</w:t>
      </w:r>
    </w:p>
    <w:p w14:paraId="3D3F6058">
      <w:pPr>
        <w:spacing w:line="594" w:lineRule="exact"/>
        <w:ind w:firstLine="640" w:firstLineChars="200"/>
        <w:outlineLvl w:val="1"/>
        <w:rPr>
          <w:rFonts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pPr>
      <w:bookmarkStart w:id="125" w:name="_Toc524616862"/>
      <w:bookmarkStart w:id="126" w:name="_Toc48157882"/>
      <w:r>
        <w:rPr>
          <w:rFonts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t>（六）区财政局</w:t>
      </w:r>
      <w:bookmarkStart w:id="127" w:name="_Hlk519690403"/>
      <w:r>
        <w:rPr>
          <w:rFonts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t>工作责任</w:t>
      </w:r>
      <w:bookmarkEnd w:id="125"/>
      <w:bookmarkEnd w:id="126"/>
      <w:bookmarkEnd w:id="127"/>
    </w:p>
    <w:p w14:paraId="331D3177">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1.负责统筹安</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排“两山”基地建设经费。</w:t>
      </w:r>
    </w:p>
    <w:p w14:paraId="3A03CA71">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2.负责推进环境保护投融资改革，实施有利</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于“两山”基地建</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设的财税政策和经济政策。</w:t>
      </w:r>
    </w:p>
    <w:p w14:paraId="45E03CAF">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3.完成《实施方案》提出的其他</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“两山”基地建设相关工作。</w:t>
      </w:r>
    </w:p>
    <w:p w14:paraId="32A35544">
      <w:pPr>
        <w:spacing w:line="594" w:lineRule="exact"/>
        <w:ind w:firstLine="640" w:firstLineChars="200"/>
        <w:outlineLvl w:val="1"/>
        <w:rPr>
          <w:rFonts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pPr>
      <w:bookmarkStart w:id="128" w:name="_Toc48157883"/>
      <w:bookmarkStart w:id="129" w:name="_Hlk531276528"/>
      <w:r>
        <w:rPr>
          <w:rFonts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t>（七）区经济信息委工作责任</w:t>
      </w:r>
      <w:bookmarkEnd w:id="128"/>
      <w:bookmarkEnd w:id="129"/>
    </w:p>
    <w:p w14:paraId="134115B9">
      <w:pPr>
        <w:spacing w:line="594" w:lineRule="exact"/>
        <w:ind w:firstLine="640" w:firstLineChars="200"/>
        <w:rPr>
          <w:rFonts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1.负责制定并组织实施绿色经济发展战略和有</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利于“两山”基地建设的发展规划。</w:t>
      </w:r>
    </w:p>
    <w:p w14:paraId="68F1F836">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2.负责指导、协调生态工业发展管理。</w:t>
      </w:r>
    </w:p>
    <w:p w14:paraId="1A4916F1">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3.完成《实施方案》提出的其</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他“两山”基地建设相关工作</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p>
    <w:p w14:paraId="2B50355E">
      <w:pPr>
        <w:spacing w:line="594" w:lineRule="exact"/>
        <w:ind w:firstLine="640" w:firstLineChars="200"/>
        <w:outlineLvl w:val="1"/>
        <w:rPr>
          <w:rFonts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pPr>
      <w:bookmarkStart w:id="130" w:name="_Toc524616863"/>
      <w:bookmarkStart w:id="131" w:name="_Toc48157884"/>
      <w:r>
        <w:rPr>
          <w:rFonts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t>（八）区住房城乡建委工作责任</w:t>
      </w:r>
      <w:bookmarkEnd w:id="130"/>
      <w:bookmarkEnd w:id="131"/>
    </w:p>
    <w:p w14:paraId="097C7BB5">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1.负责配合市级相关部门编制并组织实施城</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镇</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生活污水建设规划，指导污水处理厂污泥无害化处置。负责对城区污水处理厂及管网排水引发突发环境事件的预防和应急工作实施监督管理。</w:t>
      </w:r>
    </w:p>
    <w:p w14:paraId="3DAE8827">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2.负责牵头督促城市污水管网建设和督促指导相关街镇推进实施场镇二三级污水管网建设。</w:t>
      </w:r>
    </w:p>
    <w:p w14:paraId="6552655B">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3.负责牵头推进城市黑臭水体治理提升暨</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清水绿岸</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工作</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p>
    <w:p w14:paraId="48E0C61B">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4.负责监督实施房屋建筑及市政基础设施工程扬尘污染防治措施，配合制定重污染天气应急</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预案</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并落实应急处置措施。</w:t>
      </w:r>
    </w:p>
    <w:p w14:paraId="4EF9CEC7">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bookmarkStart w:id="132" w:name="_Hlk531279064"/>
      <w:bookmarkStart w:id="133" w:name="_Hlk519691431"/>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5.完成《实施方案》提出的其他</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“两山”基地建设相关工作。</w:t>
      </w:r>
    </w:p>
    <w:bookmarkEnd w:id="132"/>
    <w:p w14:paraId="72F8F09D">
      <w:pPr>
        <w:spacing w:line="594" w:lineRule="exact"/>
        <w:ind w:firstLine="640" w:firstLineChars="200"/>
        <w:outlineLvl w:val="1"/>
        <w:rPr>
          <w:rFonts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pPr>
      <w:bookmarkStart w:id="134" w:name="_Toc48157885"/>
      <w:r>
        <w:rPr>
          <w:rFonts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t>（九）</w:t>
      </w:r>
      <w:bookmarkStart w:id="135" w:name="_Hlk531276824"/>
      <w:r>
        <w:rPr>
          <w:rFonts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t>区农业农村委工作责任</w:t>
      </w:r>
      <w:bookmarkEnd w:id="134"/>
    </w:p>
    <w:bookmarkEnd w:id="135"/>
    <w:p w14:paraId="0A5DC171">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1.负责根据农用地土壤环境质量类别，实施农用地分类管理，开展耕地土壤污染治理与修复，保障农业生产环境安全。</w:t>
      </w:r>
    </w:p>
    <w:p w14:paraId="2BEC3327">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2.负责开展农业生态环境管理，指导</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种</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养殖业污染防治，指导化肥、农药、农膜合理使用</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推进农牧业废弃物减量化、资源化和无害化，实施渔业水域生态环境保护。</w:t>
      </w:r>
    </w:p>
    <w:p w14:paraId="0C44A1BC">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3.负责指导生态农业发展工作，指导绿色、有机农产品种植、生产、认证工作，发展绿色生态有机</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农业</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，推广绿色、有机农产品。</w:t>
      </w:r>
    </w:p>
    <w:p w14:paraId="29FB4338">
      <w:pPr>
        <w:spacing w:line="594" w:lineRule="exact"/>
        <w:ind w:firstLine="640" w:firstLineChars="200"/>
        <w:rPr>
          <w:rFonts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4.完成《实施方案》提出的其</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他“两山”基地建设相关工作。</w:t>
      </w:r>
    </w:p>
    <w:p w14:paraId="7CDA6E49">
      <w:pPr>
        <w:spacing w:line="594" w:lineRule="exact"/>
        <w:ind w:firstLine="640" w:firstLineChars="200"/>
        <w:outlineLvl w:val="1"/>
        <w:rPr>
          <w:rFonts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pPr>
      <w:bookmarkStart w:id="136" w:name="_Toc48157886"/>
      <w:r>
        <w:rPr>
          <w:rFonts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t>（十）区交通局工作责任</w:t>
      </w:r>
      <w:bookmarkEnd w:id="136"/>
    </w:p>
    <w:p w14:paraId="03220C7F">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1.负责对所管辖江域船舶污染防治实施监督管理，强化船舶废弃物收集治理监管</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和</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生活污水、油污水处理设施监管。</w:t>
      </w:r>
    </w:p>
    <w:p w14:paraId="7CA3B111">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2.负责指导督促有关交通工程落实大气、水、噪声污染防治措施，配合制定重污染天气应急专项实施方案并落实应急处置措施。</w:t>
      </w:r>
    </w:p>
    <w:p w14:paraId="264AF97E">
      <w:pPr>
        <w:spacing w:line="594" w:lineRule="exact"/>
        <w:ind w:firstLine="640" w:firstLineChars="200"/>
        <w:rPr>
          <w:rFonts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3.完成《实施方案》提出的其他</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“两山”基地建设相关工作。</w:t>
      </w:r>
    </w:p>
    <w:p w14:paraId="24D28754">
      <w:pPr>
        <w:spacing w:line="594" w:lineRule="exact"/>
        <w:ind w:firstLine="640" w:firstLineChars="200"/>
        <w:outlineLvl w:val="1"/>
        <w:rPr>
          <w:rFonts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pPr>
      <w:bookmarkStart w:id="137" w:name="_Toc48157887"/>
      <w:r>
        <w:rPr>
          <w:rFonts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t>（十一）区商务委工作责任</w:t>
      </w:r>
      <w:bookmarkEnd w:id="137"/>
    </w:p>
    <w:p w14:paraId="6B133C62">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1.负责监督流通领域车用、燃用油品提升工作。</w:t>
      </w:r>
    </w:p>
    <w:p w14:paraId="4FB2CCC3">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2.负责指导现代服务业发展，促进服务业绿色升级</w:t>
      </w:r>
    </w:p>
    <w:p w14:paraId="2D7FA2EC">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bookmarkStart w:id="138" w:name="_Hlk531279763"/>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2.完成《实施方案》提出的</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其他“两山”基地建设相关工作</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w:t>
      </w:r>
      <w:bookmarkEnd w:id="138"/>
    </w:p>
    <w:p w14:paraId="37F06336">
      <w:pPr>
        <w:spacing w:line="594" w:lineRule="exact"/>
        <w:ind w:firstLine="640" w:firstLineChars="200"/>
        <w:outlineLvl w:val="1"/>
        <w:rPr>
          <w:rFonts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pPr>
      <w:bookmarkStart w:id="139" w:name="_Toc48157888"/>
      <w:r>
        <w:rPr>
          <w:rFonts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t>（十二）区城管局工作责任</w:t>
      </w:r>
      <w:bookmarkEnd w:id="139"/>
    </w:p>
    <w:p w14:paraId="459B2A3B">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1.负责配合市级部门编制并组织实施城乡生活垃圾处理设施建设规划，负责编制北碚区环卫设施专业布点规划。负责推进城乡生活垃圾、餐厨垃圾收运，组织开展生活垃圾分类收运工作。</w:t>
      </w:r>
    </w:p>
    <w:p w14:paraId="015D4355">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2.负责建筑渣土密闭运输监管、建筑渣土消纳场规范化管理等工作。负责配合制定重污染天气应急专项实施方案并落实应急处置措施。</w:t>
      </w:r>
    </w:p>
    <w:p w14:paraId="2D892489">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3.负责规范清扫保洁、洒水冲洗道路等市政管护活动。监督管理责任区域内的生活垃圾和餐厨垃圾处置、船舶废弃物接收处置、水域清漂等工作。</w:t>
      </w:r>
    </w:p>
    <w:p w14:paraId="77F712BD">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4.负责对城区生活垃圾收运处置引发突发环境事件的预防和应急工作实施监督管理。督促垃圾焚烧场等单位落实环境风险防范措施。</w:t>
      </w:r>
    </w:p>
    <w:p w14:paraId="3AA9FF4F">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5.完成《实施方案》提出</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的其他“两山”基地建设相关工作。</w:t>
      </w:r>
      <w:bookmarkStart w:id="140" w:name="_Toc524616865"/>
    </w:p>
    <w:p w14:paraId="743D31AC">
      <w:pPr>
        <w:spacing w:line="594" w:lineRule="exact"/>
        <w:ind w:firstLine="640" w:firstLineChars="200"/>
        <w:outlineLvl w:val="1"/>
        <w:rPr>
          <w:rFonts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pPr>
      <w:bookmarkStart w:id="141" w:name="_Toc48157889"/>
      <w:r>
        <w:rPr>
          <w:rFonts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t>（十三）区水利局工作责任</w:t>
      </w:r>
      <w:bookmarkEnd w:id="140"/>
      <w:bookmarkEnd w:id="141"/>
    </w:p>
    <w:p w14:paraId="7B270BBC">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1.负责在水利资源开发专项规划及水利工程项目中落实环境保护措施及生态保护措施。</w:t>
      </w:r>
    </w:p>
    <w:p w14:paraId="13A7FF37">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2.负责城区湖库管护，保护和改善水质。负责城区直管和城区外其他水体整治。</w:t>
      </w:r>
    </w:p>
    <w:p w14:paraId="65DEBC7F">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3.负责实施水土保持监督管理，依法查处河道违法采砂行为，预防和治理水土流失及河道采砂过程中的生态破坏与环境污染。</w:t>
      </w:r>
    </w:p>
    <w:p w14:paraId="37AFC143">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4.负责牵头开展水资源保护和合理利用，实施取水许可管理，推进节水型社会建设。</w:t>
      </w:r>
    </w:p>
    <w:p w14:paraId="4ADDD6BE">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5.负责实施农村饮用水安全保障工程。</w:t>
      </w:r>
    </w:p>
    <w:p w14:paraId="3CCE9B8D">
      <w:pPr>
        <w:spacing w:line="594" w:lineRule="exact"/>
        <w:ind w:firstLine="640" w:firstLineChars="200"/>
        <w:rPr>
          <w:rFonts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6.完成《实施方案》提出的其</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他“两山”基地建设相关工作。</w:t>
      </w:r>
    </w:p>
    <w:p w14:paraId="442DD11D">
      <w:pPr>
        <w:spacing w:line="594" w:lineRule="exact"/>
        <w:ind w:firstLine="640" w:firstLineChars="200"/>
        <w:outlineLvl w:val="1"/>
        <w:rPr>
          <w:rFonts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pPr>
      <w:bookmarkStart w:id="142" w:name="_Toc48157890"/>
      <w:r>
        <w:rPr>
          <w:rFonts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t>（十四）</w:t>
      </w:r>
      <w:bookmarkStart w:id="143" w:name="_Hlk531276976"/>
      <w:r>
        <w:rPr>
          <w:rFonts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t>区</w:t>
      </w:r>
      <w:r>
        <w:rPr>
          <w:rFonts w:hint="eastAsia"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t>文化旅游委</w:t>
      </w:r>
      <w:r>
        <w:rPr>
          <w:rFonts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t>工作责任</w:t>
      </w:r>
      <w:bookmarkEnd w:id="142"/>
      <w:bookmarkEnd w:id="143"/>
    </w:p>
    <w:p w14:paraId="121FC0F6">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1.负责组织文化和旅游发展工作，完善文化旅游发展格局，培育壮大文化旅游产品，策划培育品牌活动，推动文化和旅游、乡村和旅游、农业和旅游等多业态融合发展。</w:t>
      </w:r>
    </w:p>
    <w:p w14:paraId="19CB6E5F">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2.负责指导文化和旅游开发过程中生态环境保护和污染防治工作。</w:t>
      </w:r>
    </w:p>
    <w:p w14:paraId="37B656C9">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3.完成《实施方案》提出的</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其他“两山”基地建设相关工作。</w:t>
      </w:r>
    </w:p>
    <w:p w14:paraId="0174BB31">
      <w:pPr>
        <w:spacing w:line="594" w:lineRule="exact"/>
        <w:ind w:firstLine="640" w:firstLineChars="200"/>
        <w:outlineLvl w:val="1"/>
        <w:rPr>
          <w:rFonts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pPr>
      <w:bookmarkStart w:id="144" w:name="_Toc48157891"/>
      <w:r>
        <w:rPr>
          <w:rFonts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t>（十五）区统计局工作责任</w:t>
      </w:r>
      <w:bookmarkEnd w:id="144"/>
    </w:p>
    <w:p w14:paraId="10900CC4">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1.负责按照建设指标体系完善相关指标的统计工作。</w:t>
      </w:r>
    </w:p>
    <w:p w14:paraId="5C9F3DA1">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2.完成《实施方案》提出的其</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他“两山”基地建设相关工作。</w:t>
      </w:r>
    </w:p>
    <w:p w14:paraId="3F18AA9D">
      <w:pPr>
        <w:spacing w:line="594" w:lineRule="exact"/>
        <w:ind w:firstLine="640" w:firstLineChars="200"/>
        <w:outlineLvl w:val="1"/>
        <w:rPr>
          <w:rFonts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pPr>
      <w:bookmarkStart w:id="145" w:name="_Toc48157892"/>
      <w:r>
        <w:rPr>
          <w:rFonts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t>（十六）</w:t>
      </w:r>
      <w:bookmarkEnd w:id="133"/>
      <w:bookmarkStart w:id="146" w:name="_Toc524616867"/>
      <w:r>
        <w:rPr>
          <w:rFonts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t>区林业局工作责任</w:t>
      </w:r>
      <w:bookmarkEnd w:id="145"/>
      <w:bookmarkEnd w:id="146"/>
    </w:p>
    <w:p w14:paraId="763AEE34">
      <w:pPr>
        <w:spacing w:line="594" w:lineRule="exact"/>
        <w:ind w:firstLine="640" w:firstLineChars="200"/>
        <w:rPr>
          <w:rFonts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1.负责组织实施林业生态保护与建设，开展缙云山、云雾山、中梁山、龙王洞山等山系生态空间森林资源保护</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，试点实施“林长制”，组织实施自然保护地保护管理相关工作。</w:t>
      </w:r>
    </w:p>
    <w:p w14:paraId="7EFEF0CC">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2.负责开展实施天然林资源保护、退耕还林，推进北碚区国土绿化提升行动，完成年度营造林任务。</w:t>
      </w:r>
    </w:p>
    <w:p w14:paraId="497F9F47">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3.负责湿地和野生动植物保护管理，防控林业有害生物，保护生物多样性。</w:t>
      </w:r>
    </w:p>
    <w:p w14:paraId="540E4C7A">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4.负责有关林业资源管理，开展森林公园建设有关工作，建设管理有关自然保护区、森林公园。</w:t>
      </w:r>
    </w:p>
    <w:p w14:paraId="3B8074DE">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bookmarkStart w:id="147" w:name="_Hlk531279904"/>
      <w:bookmarkStart w:id="148" w:name="_Hlk519695236"/>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5.完成《实施方案》提出的其</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他“两山”基地建设相关工作。</w:t>
      </w:r>
    </w:p>
    <w:bookmarkEnd w:id="147"/>
    <w:p w14:paraId="3F86C94C">
      <w:pPr>
        <w:spacing w:line="594" w:lineRule="exact"/>
        <w:ind w:firstLine="640" w:firstLineChars="200"/>
        <w:outlineLvl w:val="1"/>
        <w:rPr>
          <w:rFonts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pPr>
      <w:bookmarkStart w:id="149" w:name="_Toc48157893"/>
      <w:r>
        <w:rPr>
          <w:rFonts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t>（十七）区公安分局工作责任</w:t>
      </w:r>
      <w:bookmarkEnd w:id="149"/>
    </w:p>
    <w:p w14:paraId="4636EA3E">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1.负责会同区交通局优化城市公共交通运输体系，减少城市交通拥堵，减少机动车排气污染。</w:t>
      </w:r>
    </w:p>
    <w:p w14:paraId="50138E37">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2.负责开展机动车环保定期检测、路检及重点区域、重点道路货车限行等工作。</w:t>
      </w:r>
    </w:p>
    <w:p w14:paraId="403D8675">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3.负责配合区城管局开展建筑渣土密闭运输的执法工作，开展城区社会生活噪声监督管理和机动车违章鸣笛的纠正工作。</w:t>
      </w:r>
    </w:p>
    <w:p w14:paraId="35A5A003">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4.完成《实施方案》提出的其</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他“两山”基地建设相关工作。</w:t>
      </w:r>
    </w:p>
    <w:bookmarkEnd w:id="148"/>
    <w:p w14:paraId="3B8B153C">
      <w:pPr>
        <w:spacing w:line="594" w:lineRule="exact"/>
        <w:ind w:firstLine="640" w:firstLineChars="200"/>
        <w:outlineLvl w:val="1"/>
        <w:rPr>
          <w:rFonts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pPr>
      <w:bookmarkStart w:id="150" w:name="_Toc524616868"/>
      <w:bookmarkStart w:id="151" w:name="_Toc48157894"/>
      <w:r>
        <w:rPr>
          <w:rFonts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t>（十八）</w:t>
      </w:r>
      <w:bookmarkStart w:id="152" w:name="_Hlk531277530"/>
      <w:r>
        <w:rPr>
          <w:rFonts w:hint="eastAsia"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t>区规划自然资源局</w:t>
      </w:r>
      <w:r>
        <w:rPr>
          <w:rFonts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t>工作责任</w:t>
      </w:r>
      <w:bookmarkEnd w:id="150"/>
      <w:bookmarkEnd w:id="151"/>
    </w:p>
    <w:bookmarkEnd w:id="152"/>
    <w:p w14:paraId="27F121B3">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1.负责统筹各类国土开发规划，完成相关专项规划修编工作。</w:t>
      </w:r>
    </w:p>
    <w:p w14:paraId="7A3015BB">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2.负责推进国土开发空间优化、基本农田保护、土地资源集约节约利用工作，加强未利用地的管控，防止造成土壤污染。</w:t>
      </w:r>
    </w:p>
    <w:p w14:paraId="24EA02C4">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bookmarkStart w:id="153" w:name="_Hlk519695481"/>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3.负责组织开展矿山地质环境保护与恢复治理、地质灾害防治工作。</w:t>
      </w:r>
    </w:p>
    <w:p w14:paraId="67E749DB">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4.负责加强</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“四山”管理相关工作。</w:t>
      </w:r>
    </w:p>
    <w:p w14:paraId="50CFA18A">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5.</w:t>
      </w:r>
      <w:bookmarkEnd w:id="153"/>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完成《实施方案》提出的</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其他“两山”基地建设相关工作。</w:t>
      </w:r>
      <w:bookmarkStart w:id="154" w:name="_Toc524616869"/>
    </w:p>
    <w:p w14:paraId="59A0AC28">
      <w:pPr>
        <w:spacing w:line="594" w:lineRule="exact"/>
        <w:ind w:firstLine="640" w:firstLineChars="200"/>
        <w:outlineLvl w:val="1"/>
        <w:rPr>
          <w:rFonts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pPr>
      <w:bookmarkStart w:id="155" w:name="_Toc48157895"/>
      <w:r>
        <w:rPr>
          <w:rFonts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t>（十</w:t>
      </w:r>
      <w:r>
        <w:rPr>
          <w:rFonts w:hint="eastAsia"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t>九</w:t>
      </w:r>
      <w:r>
        <w:rPr>
          <w:rFonts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t>）</w:t>
      </w:r>
      <w:r>
        <w:rPr>
          <w:rFonts w:hint="eastAsia"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t>区委党校</w:t>
      </w:r>
      <w:bookmarkEnd w:id="155"/>
    </w:p>
    <w:p w14:paraId="4E6E6E68">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1.加强环境保护领导班子和人才队伍建设。</w:t>
      </w:r>
    </w:p>
    <w:p w14:paraId="5E9A5BF5">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2.完成《实施方案》提</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出的其他“两山”基地建设相关工作。</w:t>
      </w:r>
    </w:p>
    <w:p w14:paraId="5EC0DBD8">
      <w:pPr>
        <w:spacing w:line="594" w:lineRule="exact"/>
        <w:ind w:firstLine="640" w:firstLineChars="200"/>
        <w:outlineLvl w:val="1"/>
        <w:rPr>
          <w:rFonts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pPr>
      <w:bookmarkStart w:id="156" w:name="_Toc48157896"/>
      <w:r>
        <w:rPr>
          <w:rFonts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t>（</w:t>
      </w:r>
      <w:r>
        <w:rPr>
          <w:rFonts w:hint="eastAsia"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t>二十</w:t>
      </w:r>
      <w:r>
        <w:rPr>
          <w:rFonts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t>）区</w:t>
      </w:r>
      <w:r>
        <w:rPr>
          <w:rFonts w:hint="eastAsia"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t>卫健委</w:t>
      </w:r>
      <w:r>
        <w:rPr>
          <w:rFonts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t>工作责任</w:t>
      </w:r>
      <w:bookmarkEnd w:id="156"/>
    </w:p>
    <w:p w14:paraId="6B698ABD">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1.</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协助开展饮用水水源安全保障工作。</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 xml:space="preserve"> </w:t>
      </w:r>
    </w:p>
    <w:p w14:paraId="3BAD94E7">
      <w:pPr>
        <w:spacing w:line="594" w:lineRule="exact"/>
        <w:ind w:firstLine="640" w:firstLineChars="200"/>
        <w:rPr>
          <w:rFonts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2.完成《实施方案》提出的</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其他“两山”基地建设相关工作。</w:t>
      </w:r>
    </w:p>
    <w:p w14:paraId="2B36FF01">
      <w:pPr>
        <w:spacing w:line="594" w:lineRule="exact"/>
        <w:ind w:firstLine="640" w:firstLineChars="200"/>
        <w:outlineLvl w:val="1"/>
        <w:rPr>
          <w:rFonts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pPr>
      <w:bookmarkStart w:id="157" w:name="_Toc48157897"/>
      <w:r>
        <w:rPr>
          <w:rFonts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t>（</w:t>
      </w:r>
      <w:r>
        <w:rPr>
          <w:rFonts w:hint="eastAsia"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t>二十一</w:t>
      </w:r>
      <w:r>
        <w:rPr>
          <w:rFonts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t>）区</w:t>
      </w:r>
      <w:r>
        <w:rPr>
          <w:rFonts w:hint="eastAsia"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t>应急局</w:t>
      </w:r>
      <w:r>
        <w:rPr>
          <w:rFonts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t>工作责任</w:t>
      </w:r>
      <w:bookmarkEnd w:id="157"/>
    </w:p>
    <w:p w14:paraId="783E27AA">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1.</w:t>
      </w:r>
      <w:r>
        <w:rPr>
          <w:rFonts w:hint="eastAsia"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协助开展饮用水水源安全保障工作。</w:t>
      </w: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 xml:space="preserve"> </w:t>
      </w:r>
    </w:p>
    <w:p w14:paraId="3AEC0A1C">
      <w:pPr>
        <w:spacing w:line="594" w:lineRule="exact"/>
        <w:ind w:firstLine="640" w:firstLineChars="200"/>
        <w:rPr>
          <w:rFonts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2.完成《实施方案》提出的</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其他“两山”基地建设相关工作。</w:t>
      </w:r>
    </w:p>
    <w:bookmarkEnd w:id="154"/>
    <w:p w14:paraId="5B28A037">
      <w:pPr>
        <w:spacing w:line="594" w:lineRule="exact"/>
        <w:ind w:firstLine="640" w:firstLineChars="200"/>
        <w:outlineLvl w:val="1"/>
        <w:rPr>
          <w:rFonts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pPr>
      <w:bookmarkStart w:id="158" w:name="_Toc48157898"/>
      <w:r>
        <w:rPr>
          <w:rFonts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t>（</w:t>
      </w:r>
      <w:r>
        <w:rPr>
          <w:rFonts w:hint="eastAsia"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t>二十二</w:t>
      </w:r>
      <w:r>
        <w:rPr>
          <w:rFonts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t>）各园区管委会工作责任</w:t>
      </w:r>
      <w:bookmarkEnd w:id="158"/>
      <w:r>
        <w:rPr>
          <w:rFonts w:hint="eastAsia"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t xml:space="preserve"> </w:t>
      </w:r>
    </w:p>
    <w:p w14:paraId="67FCBB72">
      <w:pPr>
        <w:spacing w:line="594" w:lineRule="exact"/>
        <w:ind w:firstLine="640" w:firstLineChars="200"/>
        <w:rPr>
          <w:rFonts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1.负责会同区级相关部门推</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进“两山”基地建设重点工作，两江新区水土高新技术产业园管委会重点协助推进水土片区试点示范实践区建设工作。</w:t>
      </w:r>
    </w:p>
    <w:p w14:paraId="23F3CE7D">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2.负责配合职能部门优化产业结构和布局、科学配置各类资源要素，促进产业绿色发展。负责配合职能部门加强园区企业环境保护管理，完善污染防治基础设施建设工作。</w:t>
      </w:r>
    </w:p>
    <w:p w14:paraId="37762840">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3.完成《实施方案》提出的</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其他“两山”基地建设相关工作。</w:t>
      </w:r>
    </w:p>
    <w:p w14:paraId="19E88874">
      <w:pPr>
        <w:spacing w:line="594" w:lineRule="exact"/>
        <w:ind w:firstLine="640" w:firstLineChars="200"/>
        <w:outlineLvl w:val="1"/>
        <w:rPr>
          <w:rFonts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pPr>
      <w:bookmarkStart w:id="159" w:name="_Toc48157899"/>
      <w:r>
        <w:rPr>
          <w:rFonts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t>（二十</w:t>
      </w:r>
      <w:r>
        <w:rPr>
          <w:rFonts w:hint="eastAsia"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t>三</w:t>
      </w:r>
      <w:r>
        <w:rPr>
          <w:rFonts w:ascii="Times New Roman" w:hAnsi="Times New Roman" w:eastAsia="方正楷体_GBK" w:cs="Times New Roman"/>
          <w:bCs/>
          <w:color w:val="0D0D0D" w:themeColor="text1" w:themeTint="F2"/>
          <w:sz w:val="32"/>
          <w14:textFill>
            <w14:solidFill>
              <w14:schemeClr w14:val="tx1">
                <w14:lumMod w14:val="95000"/>
                <w14:lumOff w14:val="5000"/>
              </w14:schemeClr>
            </w14:solidFill>
          </w14:textFill>
        </w:rPr>
        <w:t>）各街镇工作责任</w:t>
      </w:r>
      <w:bookmarkEnd w:id="159"/>
    </w:p>
    <w:p w14:paraId="16C03B86">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1.负责会同区级</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相关部门推进“两山”基地建设重点工作。</w:t>
      </w:r>
    </w:p>
    <w:p w14:paraId="165ACDD9">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2.负责落实生态环境保护、环境污染防治、生态产业发展等相关措施。</w:t>
      </w:r>
    </w:p>
    <w:p w14:paraId="0F002A71">
      <w:pPr>
        <w:spacing w:line="594" w:lineRule="exact"/>
        <w:ind w:firstLine="640" w:firstLineChars="200"/>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sectPr>
          <w:pgSz w:w="11906" w:h="16838"/>
          <w:pgMar w:top="1440" w:right="1446" w:bottom="1440" w:left="1446" w:header="851" w:footer="992" w:gutter="0"/>
          <w:cols w:space="425" w:num="1"/>
          <w:docGrid w:type="lines" w:linePitch="312" w:charSpace="0"/>
        </w:sectPr>
      </w:pPr>
      <w:r>
        <w:rPr>
          <w:rFonts w:ascii="Times New Roman"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3.完成《实施方案》提出的其他</w:t>
      </w:r>
      <w:r>
        <w:rPr>
          <w:rFonts w:hint="eastAsia" w:ascii="方正仿宋_GBK" w:hAnsi="Times New Roman" w:eastAsia="方正仿宋_GBK" w:cs="Times New Roman"/>
          <w:bCs/>
          <w:color w:val="0D0D0D" w:themeColor="text1" w:themeTint="F2"/>
          <w:sz w:val="32"/>
          <w:szCs w:val="32"/>
          <w14:textFill>
            <w14:solidFill>
              <w14:schemeClr w14:val="tx1">
                <w14:lumMod w14:val="95000"/>
                <w14:lumOff w14:val="5000"/>
              </w14:schemeClr>
            </w14:solidFill>
          </w14:textFill>
        </w:rPr>
        <w:t>“两山”基地建设相关工作。</w:t>
      </w:r>
    </w:p>
    <w:p w14:paraId="48CF5FB3">
      <w:pPr>
        <w:outlineLvl w:val="0"/>
        <w:rPr>
          <w:rFonts w:ascii="Times New Roman" w:hAnsi="Times New Roman" w:eastAsia="方正黑体_GBK" w:cs="Times New Roman"/>
          <w:bCs/>
          <w:color w:val="0D0D0D" w:themeColor="text1" w:themeTint="F2"/>
          <w:sz w:val="32"/>
          <w:szCs w:val="32"/>
          <w14:textFill>
            <w14:solidFill>
              <w14:schemeClr w14:val="tx1">
                <w14:lumMod w14:val="95000"/>
                <w14:lumOff w14:val="5000"/>
              </w14:schemeClr>
            </w14:solidFill>
          </w14:textFill>
        </w:rPr>
      </w:pPr>
      <w:bookmarkStart w:id="160" w:name="_Toc48157900"/>
      <w:r>
        <w:rPr>
          <w:rFonts w:ascii="Times New Roman" w:hAnsi="Times New Roman" w:eastAsia="方正黑体_GBK" w:cs="Times New Roman"/>
          <w:bCs/>
          <w:color w:val="0D0D0D" w:themeColor="text1" w:themeTint="F2"/>
          <w:sz w:val="32"/>
          <w:szCs w:val="32"/>
          <w14:textFill>
            <w14:solidFill>
              <w14:schemeClr w14:val="tx1">
                <w14:lumMod w14:val="95000"/>
                <w14:lumOff w14:val="5000"/>
              </w14:schemeClr>
            </w14:solidFill>
          </w14:textFill>
        </w:rPr>
        <w:t>附件</w:t>
      </w:r>
      <w:r>
        <w:rPr>
          <w:rFonts w:hint="eastAsia" w:ascii="Times New Roman" w:hAnsi="Times New Roman" w:eastAsia="方正黑体_GBK" w:cs="Times New Roman"/>
          <w:bCs/>
          <w:color w:val="0D0D0D" w:themeColor="text1" w:themeTint="F2"/>
          <w:sz w:val="32"/>
          <w:szCs w:val="32"/>
          <w14:textFill>
            <w14:solidFill>
              <w14:schemeClr w14:val="tx1">
                <w14:lumMod w14:val="95000"/>
                <w14:lumOff w14:val="5000"/>
              </w14:schemeClr>
            </w14:solidFill>
          </w14:textFill>
        </w:rPr>
        <w:t>2</w:t>
      </w:r>
      <w:r>
        <w:rPr>
          <w:rFonts w:ascii="Times New Roman" w:hAnsi="Times New Roman" w:eastAsia="方正黑体_GBK" w:cs="Times New Roman"/>
          <w:bCs/>
          <w:color w:val="0D0D0D" w:themeColor="text1" w:themeTint="F2"/>
          <w:sz w:val="32"/>
          <w:szCs w:val="32"/>
          <w14:textFill>
            <w14:solidFill>
              <w14:schemeClr w14:val="tx1">
                <w14:lumMod w14:val="95000"/>
                <w14:lumOff w14:val="5000"/>
              </w14:schemeClr>
            </w14:solidFill>
          </w14:textFill>
        </w:rPr>
        <w:t xml:space="preserve"> </w:t>
      </w:r>
      <w:r>
        <w:rPr>
          <w:rFonts w:hint="eastAsia" w:ascii="Times New Roman" w:hAnsi="Times New Roman" w:eastAsia="方正黑体_GBK" w:cs="Times New Roman"/>
          <w:bCs/>
          <w:color w:val="0D0D0D" w:themeColor="text1" w:themeTint="F2"/>
          <w:sz w:val="32"/>
          <w:szCs w:val="32"/>
          <w14:textFill>
            <w14:solidFill>
              <w14:schemeClr w14:val="tx1">
                <w14:lumMod w14:val="95000"/>
                <w14:lumOff w14:val="5000"/>
              </w14:schemeClr>
            </w14:solidFill>
          </w14:textFill>
        </w:rPr>
        <w:t>北碚区“两山”实践创新基地建设</w:t>
      </w:r>
      <w:r>
        <w:rPr>
          <w:rFonts w:ascii="Times New Roman" w:hAnsi="Times New Roman" w:eastAsia="方正黑体_GBK" w:cs="Times New Roman"/>
          <w:bCs/>
          <w:color w:val="0D0D0D" w:themeColor="text1" w:themeTint="F2"/>
          <w:sz w:val="32"/>
          <w:szCs w:val="32"/>
          <w14:textFill>
            <w14:solidFill>
              <w14:schemeClr w14:val="tx1">
                <w14:lumMod w14:val="95000"/>
                <w14:lumOff w14:val="5000"/>
              </w14:schemeClr>
            </w14:solidFill>
          </w14:textFill>
        </w:rPr>
        <w:t>考核指标</w:t>
      </w:r>
      <w:r>
        <w:rPr>
          <w:rFonts w:hint="eastAsia" w:ascii="Times New Roman" w:hAnsi="Times New Roman" w:eastAsia="方正黑体_GBK" w:cs="Times New Roman"/>
          <w:bCs/>
          <w:color w:val="0D0D0D" w:themeColor="text1" w:themeTint="F2"/>
          <w:sz w:val="32"/>
          <w:szCs w:val="32"/>
          <w14:textFill>
            <w14:solidFill>
              <w14:schemeClr w14:val="tx1">
                <w14:lumMod w14:val="95000"/>
                <w14:lumOff w14:val="5000"/>
              </w14:schemeClr>
            </w14:solidFill>
          </w14:textFill>
        </w:rPr>
        <w:t>（2</w:t>
      </w:r>
      <w:r>
        <w:rPr>
          <w:rFonts w:ascii="Times New Roman" w:hAnsi="Times New Roman" w:eastAsia="方正黑体_GBK" w:cs="Times New Roman"/>
          <w:bCs/>
          <w:color w:val="0D0D0D" w:themeColor="text1" w:themeTint="F2"/>
          <w:sz w:val="32"/>
          <w:szCs w:val="32"/>
          <w14:textFill>
            <w14:solidFill>
              <w14:schemeClr w14:val="tx1">
                <w14:lumMod w14:val="95000"/>
                <w14:lumOff w14:val="5000"/>
              </w14:schemeClr>
            </w14:solidFill>
          </w14:textFill>
        </w:rPr>
        <w:t>020-2025</w:t>
      </w:r>
      <w:r>
        <w:rPr>
          <w:rFonts w:hint="eastAsia" w:ascii="Times New Roman" w:hAnsi="Times New Roman" w:eastAsia="方正黑体_GBK" w:cs="Times New Roman"/>
          <w:bCs/>
          <w:color w:val="0D0D0D" w:themeColor="text1" w:themeTint="F2"/>
          <w:sz w:val="32"/>
          <w:szCs w:val="32"/>
          <w14:textFill>
            <w14:solidFill>
              <w14:schemeClr w14:val="tx1">
                <w14:lumMod w14:val="95000"/>
                <w14:lumOff w14:val="5000"/>
              </w14:schemeClr>
            </w14:solidFill>
          </w14:textFill>
        </w:rPr>
        <w:t>年）</w:t>
      </w:r>
      <w:r>
        <w:rPr>
          <w:rFonts w:ascii="Times New Roman" w:hAnsi="Times New Roman" w:eastAsia="方正黑体_GBK" w:cs="Times New Roman"/>
          <w:bCs/>
          <w:color w:val="0D0D0D" w:themeColor="text1" w:themeTint="F2"/>
          <w:sz w:val="32"/>
          <w:szCs w:val="32"/>
          <w14:textFill>
            <w14:solidFill>
              <w14:schemeClr w14:val="tx1">
                <w14:lumMod w14:val="95000"/>
                <w14:lumOff w14:val="5000"/>
              </w14:schemeClr>
            </w14:solidFill>
          </w14:textFill>
        </w:rPr>
        <w:t>年度分解表</w:t>
      </w:r>
      <w:bookmarkEnd w:id="160"/>
    </w:p>
    <w:tbl>
      <w:tblPr>
        <w:tblStyle w:val="5"/>
        <w:tblW w:w="154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458"/>
        <w:gridCol w:w="503"/>
        <w:gridCol w:w="534"/>
        <w:gridCol w:w="2314"/>
        <w:gridCol w:w="485"/>
        <w:gridCol w:w="1240"/>
        <w:gridCol w:w="1205"/>
        <w:gridCol w:w="1205"/>
        <w:gridCol w:w="1205"/>
        <w:gridCol w:w="1205"/>
        <w:gridCol w:w="1123"/>
        <w:gridCol w:w="992"/>
        <w:gridCol w:w="992"/>
        <w:gridCol w:w="1985"/>
      </w:tblGrid>
      <w:tr w14:paraId="67D7A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45" w:hRule="atLeast"/>
          <w:tblHeader/>
          <w:jc w:val="center"/>
        </w:trPr>
        <w:tc>
          <w:tcPr>
            <w:tcW w:w="458" w:type="dxa"/>
            <w:tcBorders>
              <w:top w:val="single" w:color="auto" w:sz="4" w:space="0"/>
              <w:left w:val="single" w:color="auto" w:sz="4" w:space="0"/>
              <w:bottom w:val="single" w:color="auto" w:sz="4" w:space="0"/>
              <w:right w:val="single" w:color="auto" w:sz="4" w:space="0"/>
            </w:tcBorders>
            <w:vAlign w:val="center"/>
          </w:tcPr>
          <w:p w14:paraId="646211D9">
            <w:pPr>
              <w:adjustRightInd w:val="0"/>
              <w:snapToGrid w:val="0"/>
              <w:spacing w:line="240" w:lineRule="exact"/>
              <w:ind w:left="-63" w:leftChars="-30" w:right="-63" w:rightChars="-30"/>
              <w:jc w:val="center"/>
              <w:rPr>
                <w:rFonts w:ascii="Times New Roman" w:hAnsi="Times New Roman" w:eastAsia="方正黑体_GBK" w:cs="Times New Roman"/>
                <w:bCs/>
                <w:color w:val="0D0D0D" w:themeColor="text1" w:themeTint="F2"/>
                <w:szCs w:val="21"/>
                <w14:textFill>
                  <w14:solidFill>
                    <w14:schemeClr w14:val="tx1">
                      <w14:lumMod w14:val="95000"/>
                      <w14:lumOff w14:val="5000"/>
                    </w14:schemeClr>
                  </w14:solidFill>
                </w14:textFill>
              </w:rPr>
            </w:pPr>
            <w:bookmarkStart w:id="161" w:name="_Hlk525218123"/>
            <w:r>
              <w:rPr>
                <w:rFonts w:hint="eastAsia" w:ascii="Times New Roman" w:hAnsi="Times New Roman" w:eastAsia="方正黑体_GBK" w:cs="Times New Roman"/>
                <w:bCs/>
                <w:color w:val="0D0D0D" w:themeColor="text1" w:themeTint="F2"/>
                <w:szCs w:val="21"/>
                <w14:textFill>
                  <w14:solidFill>
                    <w14:schemeClr w14:val="tx1">
                      <w14:lumMod w14:val="95000"/>
                      <w14:lumOff w14:val="5000"/>
                    </w14:schemeClr>
                  </w14:solidFill>
                </w14:textFill>
              </w:rPr>
              <w:t>目标</w:t>
            </w:r>
          </w:p>
        </w:tc>
        <w:tc>
          <w:tcPr>
            <w:tcW w:w="503" w:type="dxa"/>
            <w:tcBorders>
              <w:top w:val="single" w:color="auto" w:sz="4" w:space="0"/>
              <w:left w:val="single" w:color="auto" w:sz="4" w:space="0"/>
              <w:bottom w:val="single" w:color="auto" w:sz="4" w:space="0"/>
              <w:right w:val="single" w:color="auto" w:sz="4" w:space="0"/>
            </w:tcBorders>
            <w:vAlign w:val="center"/>
          </w:tcPr>
          <w:p w14:paraId="61A5C808">
            <w:pPr>
              <w:adjustRightInd w:val="0"/>
              <w:snapToGrid w:val="0"/>
              <w:spacing w:line="240" w:lineRule="exact"/>
              <w:ind w:left="-63" w:leftChars="-30" w:right="-63" w:rightChars="-30"/>
              <w:jc w:val="center"/>
              <w:rPr>
                <w:rFonts w:ascii="Times New Roman" w:hAnsi="Times New Roman" w:eastAsia="方正黑体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黑体_GBK" w:cs="Times New Roman"/>
                <w:bCs/>
                <w:color w:val="0D0D0D" w:themeColor="text1" w:themeTint="F2"/>
                <w:szCs w:val="21"/>
                <w14:textFill>
                  <w14:solidFill>
                    <w14:schemeClr w14:val="tx1">
                      <w14:lumMod w14:val="95000"/>
                      <w14:lumOff w14:val="5000"/>
                    </w14:schemeClr>
                  </w14:solidFill>
                </w14:textFill>
              </w:rPr>
              <w:t>任务</w:t>
            </w:r>
          </w:p>
        </w:tc>
        <w:tc>
          <w:tcPr>
            <w:tcW w:w="534" w:type="dxa"/>
            <w:tcBorders>
              <w:top w:val="single" w:color="auto" w:sz="4" w:space="0"/>
              <w:left w:val="single" w:color="auto" w:sz="4" w:space="0"/>
              <w:bottom w:val="single" w:color="auto" w:sz="4" w:space="0"/>
              <w:right w:val="single" w:color="auto" w:sz="4" w:space="0"/>
            </w:tcBorders>
            <w:vAlign w:val="center"/>
          </w:tcPr>
          <w:p w14:paraId="7DCA9230">
            <w:pPr>
              <w:adjustRightInd w:val="0"/>
              <w:snapToGrid w:val="0"/>
              <w:spacing w:line="240" w:lineRule="exact"/>
              <w:ind w:left="-63" w:leftChars="-30" w:right="-63" w:rightChars="-30"/>
              <w:jc w:val="center"/>
              <w:rPr>
                <w:rFonts w:ascii="Times New Roman" w:hAnsi="Times New Roman" w:eastAsia="方正黑体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黑体_GBK" w:cs="Times New Roman"/>
                <w:bCs/>
                <w:color w:val="0D0D0D" w:themeColor="text1" w:themeTint="F2"/>
                <w:szCs w:val="21"/>
                <w14:textFill>
                  <w14:solidFill>
                    <w14:schemeClr w14:val="tx1">
                      <w14:lumMod w14:val="95000"/>
                      <w14:lumOff w14:val="5000"/>
                    </w14:schemeClr>
                  </w14:solidFill>
                </w14:textFill>
              </w:rPr>
              <w:t>序号</w:t>
            </w:r>
          </w:p>
        </w:tc>
        <w:tc>
          <w:tcPr>
            <w:tcW w:w="2314" w:type="dxa"/>
            <w:tcBorders>
              <w:top w:val="single" w:color="auto" w:sz="4" w:space="0"/>
              <w:left w:val="single" w:color="auto" w:sz="4" w:space="0"/>
              <w:bottom w:val="single" w:color="auto" w:sz="4" w:space="0"/>
              <w:right w:val="single" w:color="auto" w:sz="4" w:space="0"/>
            </w:tcBorders>
            <w:vAlign w:val="center"/>
          </w:tcPr>
          <w:p w14:paraId="3127A753">
            <w:pPr>
              <w:adjustRightInd w:val="0"/>
              <w:snapToGrid w:val="0"/>
              <w:spacing w:line="240" w:lineRule="exact"/>
              <w:ind w:left="-63" w:leftChars="-30" w:right="-63" w:rightChars="-30"/>
              <w:jc w:val="center"/>
              <w:rPr>
                <w:rFonts w:ascii="Times New Roman" w:hAnsi="Times New Roman" w:eastAsia="方正黑体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黑体_GBK" w:cs="Times New Roman"/>
                <w:bCs/>
                <w:color w:val="0D0D0D" w:themeColor="text1" w:themeTint="F2"/>
                <w:szCs w:val="21"/>
                <w14:textFill>
                  <w14:solidFill>
                    <w14:schemeClr w14:val="tx1">
                      <w14:lumMod w14:val="95000"/>
                      <w14:lumOff w14:val="5000"/>
                    </w14:schemeClr>
                  </w14:solidFill>
                </w14:textFill>
              </w:rPr>
              <w:t>指标名称</w:t>
            </w:r>
          </w:p>
        </w:tc>
        <w:tc>
          <w:tcPr>
            <w:tcW w:w="485" w:type="dxa"/>
            <w:tcBorders>
              <w:top w:val="single" w:color="auto" w:sz="4" w:space="0"/>
              <w:left w:val="single" w:color="auto" w:sz="4" w:space="0"/>
              <w:bottom w:val="single" w:color="auto" w:sz="4" w:space="0"/>
              <w:right w:val="single" w:color="auto" w:sz="4" w:space="0"/>
            </w:tcBorders>
            <w:vAlign w:val="center"/>
          </w:tcPr>
          <w:p w14:paraId="525A622D">
            <w:pPr>
              <w:adjustRightInd w:val="0"/>
              <w:snapToGrid w:val="0"/>
              <w:spacing w:line="240" w:lineRule="exact"/>
              <w:ind w:left="-63" w:leftChars="-30" w:right="-63" w:rightChars="-30"/>
              <w:jc w:val="center"/>
              <w:rPr>
                <w:rFonts w:ascii="Times New Roman" w:hAnsi="Times New Roman" w:eastAsia="方正黑体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黑体_GBK" w:cs="Times New Roman"/>
                <w:bCs/>
                <w:color w:val="0D0D0D" w:themeColor="text1" w:themeTint="F2"/>
                <w:szCs w:val="21"/>
                <w14:textFill>
                  <w14:solidFill>
                    <w14:schemeClr w14:val="tx1">
                      <w14:lumMod w14:val="95000"/>
                      <w14:lumOff w14:val="5000"/>
                    </w14:schemeClr>
                  </w14:solidFill>
                </w14:textFill>
              </w:rPr>
              <w:t>单位</w:t>
            </w:r>
          </w:p>
        </w:tc>
        <w:tc>
          <w:tcPr>
            <w:tcW w:w="1240" w:type="dxa"/>
            <w:tcBorders>
              <w:top w:val="single" w:color="auto" w:sz="4" w:space="0"/>
              <w:left w:val="single" w:color="auto" w:sz="4" w:space="0"/>
              <w:bottom w:val="single" w:color="auto" w:sz="4" w:space="0"/>
              <w:right w:val="single" w:color="auto" w:sz="4" w:space="0"/>
            </w:tcBorders>
            <w:vAlign w:val="center"/>
          </w:tcPr>
          <w:p w14:paraId="6127FDC5">
            <w:pPr>
              <w:adjustRightInd w:val="0"/>
              <w:snapToGrid w:val="0"/>
              <w:spacing w:line="240" w:lineRule="exact"/>
              <w:ind w:left="-63" w:leftChars="-30" w:right="-63" w:rightChars="-30"/>
              <w:jc w:val="center"/>
              <w:rPr>
                <w:rFonts w:ascii="Times New Roman" w:hAnsi="Times New Roman" w:eastAsia="方正黑体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黑体_GBK" w:cs="Times New Roman"/>
                <w:bCs/>
                <w:color w:val="0D0D0D" w:themeColor="text1" w:themeTint="F2"/>
                <w:szCs w:val="21"/>
                <w14:textFill>
                  <w14:solidFill>
                    <w14:schemeClr w14:val="tx1">
                      <w14:lumMod w14:val="95000"/>
                      <w14:lumOff w14:val="5000"/>
                    </w14:schemeClr>
                  </w14:solidFill>
                </w14:textFill>
              </w:rPr>
              <w:t>2019年</w:t>
            </w:r>
          </w:p>
          <w:p w14:paraId="582D8992">
            <w:pPr>
              <w:adjustRightInd w:val="0"/>
              <w:snapToGrid w:val="0"/>
              <w:spacing w:line="240" w:lineRule="exact"/>
              <w:ind w:left="-63" w:leftChars="-30" w:right="-63" w:rightChars="-30"/>
              <w:jc w:val="center"/>
              <w:rPr>
                <w:rFonts w:ascii="Times New Roman" w:hAnsi="Times New Roman" w:eastAsia="方正黑体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黑体_GBK" w:cs="Times New Roman"/>
                <w:bCs/>
                <w:color w:val="0D0D0D" w:themeColor="text1" w:themeTint="F2"/>
                <w:szCs w:val="21"/>
                <w14:textFill>
                  <w14:solidFill>
                    <w14:schemeClr w14:val="tx1">
                      <w14:lumMod w14:val="95000"/>
                      <w14:lumOff w14:val="5000"/>
                    </w14:schemeClr>
                  </w14:solidFill>
                </w14:textFill>
              </w:rPr>
              <w:t>现状值</w:t>
            </w:r>
          </w:p>
        </w:tc>
        <w:tc>
          <w:tcPr>
            <w:tcW w:w="1205" w:type="dxa"/>
            <w:tcBorders>
              <w:top w:val="single" w:color="auto" w:sz="4" w:space="0"/>
              <w:left w:val="single" w:color="auto" w:sz="4" w:space="0"/>
              <w:bottom w:val="single" w:color="auto" w:sz="4" w:space="0"/>
              <w:right w:val="single" w:color="auto" w:sz="4" w:space="0"/>
            </w:tcBorders>
            <w:vAlign w:val="center"/>
          </w:tcPr>
          <w:p w14:paraId="28DF30A3">
            <w:pPr>
              <w:adjustRightInd w:val="0"/>
              <w:snapToGrid w:val="0"/>
              <w:spacing w:line="240" w:lineRule="exact"/>
              <w:ind w:left="-63" w:leftChars="-30" w:right="-63" w:rightChars="-30"/>
              <w:jc w:val="center"/>
              <w:rPr>
                <w:rFonts w:ascii="Times New Roman" w:hAnsi="Times New Roman" w:eastAsia="方正黑体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黑体_GBK" w:cs="Times New Roman"/>
                <w:bCs/>
                <w:color w:val="0D0D0D" w:themeColor="text1" w:themeTint="F2"/>
                <w:szCs w:val="21"/>
                <w14:textFill>
                  <w14:solidFill>
                    <w14:schemeClr w14:val="tx1">
                      <w14:lumMod w14:val="95000"/>
                      <w14:lumOff w14:val="5000"/>
                    </w14:schemeClr>
                  </w14:solidFill>
                </w14:textFill>
              </w:rPr>
              <w:t>2020年</w:t>
            </w:r>
          </w:p>
          <w:p w14:paraId="2FB3A008">
            <w:pPr>
              <w:adjustRightInd w:val="0"/>
              <w:snapToGrid w:val="0"/>
              <w:spacing w:line="240" w:lineRule="exact"/>
              <w:ind w:left="-63" w:leftChars="-30" w:right="-63" w:rightChars="-30"/>
              <w:jc w:val="center"/>
              <w:rPr>
                <w:rFonts w:ascii="Times New Roman" w:hAnsi="Times New Roman" w:eastAsia="方正黑体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黑体_GBK" w:cs="Times New Roman"/>
                <w:bCs/>
                <w:color w:val="0D0D0D" w:themeColor="text1" w:themeTint="F2"/>
                <w:szCs w:val="21"/>
                <w14:textFill>
                  <w14:solidFill>
                    <w14:schemeClr w14:val="tx1">
                      <w14:lumMod w14:val="95000"/>
                      <w14:lumOff w14:val="5000"/>
                    </w14:schemeClr>
                  </w14:solidFill>
                </w14:textFill>
              </w:rPr>
              <w:t>目标值</w:t>
            </w:r>
          </w:p>
        </w:tc>
        <w:tc>
          <w:tcPr>
            <w:tcW w:w="1205" w:type="dxa"/>
            <w:tcBorders>
              <w:top w:val="single" w:color="auto" w:sz="4" w:space="0"/>
              <w:left w:val="single" w:color="auto" w:sz="4" w:space="0"/>
              <w:bottom w:val="single" w:color="auto" w:sz="4" w:space="0"/>
              <w:right w:val="single" w:color="auto" w:sz="4" w:space="0"/>
            </w:tcBorders>
            <w:vAlign w:val="center"/>
          </w:tcPr>
          <w:p w14:paraId="41FC239C">
            <w:pPr>
              <w:adjustRightInd w:val="0"/>
              <w:snapToGrid w:val="0"/>
              <w:spacing w:line="240" w:lineRule="exact"/>
              <w:ind w:left="-63" w:leftChars="-30" w:right="-63" w:rightChars="-30"/>
              <w:jc w:val="center"/>
              <w:rPr>
                <w:rFonts w:ascii="Times New Roman" w:hAnsi="Times New Roman" w:eastAsia="方正黑体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黑体_GBK" w:cs="Times New Roman"/>
                <w:bCs/>
                <w:color w:val="0D0D0D" w:themeColor="text1" w:themeTint="F2"/>
                <w:szCs w:val="21"/>
                <w14:textFill>
                  <w14:solidFill>
                    <w14:schemeClr w14:val="tx1">
                      <w14:lumMod w14:val="95000"/>
                      <w14:lumOff w14:val="5000"/>
                    </w14:schemeClr>
                  </w14:solidFill>
                </w14:textFill>
              </w:rPr>
              <w:t>2021年</w:t>
            </w:r>
          </w:p>
          <w:p w14:paraId="7702179C">
            <w:pPr>
              <w:adjustRightInd w:val="0"/>
              <w:snapToGrid w:val="0"/>
              <w:spacing w:line="240" w:lineRule="exact"/>
              <w:ind w:left="-63" w:leftChars="-30" w:right="-63" w:rightChars="-30"/>
              <w:jc w:val="center"/>
              <w:rPr>
                <w:rFonts w:ascii="Times New Roman" w:hAnsi="Times New Roman" w:eastAsia="方正黑体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黑体_GBK" w:cs="Times New Roman"/>
                <w:bCs/>
                <w:color w:val="0D0D0D" w:themeColor="text1" w:themeTint="F2"/>
                <w:szCs w:val="21"/>
                <w14:textFill>
                  <w14:solidFill>
                    <w14:schemeClr w14:val="tx1">
                      <w14:lumMod w14:val="95000"/>
                      <w14:lumOff w14:val="5000"/>
                    </w14:schemeClr>
                  </w14:solidFill>
                </w14:textFill>
              </w:rPr>
              <w:t>目标值</w:t>
            </w:r>
          </w:p>
        </w:tc>
        <w:tc>
          <w:tcPr>
            <w:tcW w:w="1205" w:type="dxa"/>
            <w:tcBorders>
              <w:top w:val="single" w:color="auto" w:sz="4" w:space="0"/>
              <w:left w:val="single" w:color="auto" w:sz="4" w:space="0"/>
              <w:bottom w:val="single" w:color="auto" w:sz="4" w:space="0"/>
              <w:right w:val="single" w:color="auto" w:sz="4" w:space="0"/>
            </w:tcBorders>
            <w:vAlign w:val="center"/>
          </w:tcPr>
          <w:p w14:paraId="57A23146">
            <w:pPr>
              <w:adjustRightInd w:val="0"/>
              <w:snapToGrid w:val="0"/>
              <w:spacing w:line="240" w:lineRule="exact"/>
              <w:ind w:left="-63" w:leftChars="-30" w:right="-63" w:rightChars="-30"/>
              <w:jc w:val="center"/>
              <w:rPr>
                <w:rFonts w:ascii="Times New Roman" w:hAnsi="Times New Roman" w:eastAsia="方正黑体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黑体_GBK" w:cs="Times New Roman"/>
                <w:bCs/>
                <w:color w:val="0D0D0D" w:themeColor="text1" w:themeTint="F2"/>
                <w:szCs w:val="21"/>
                <w14:textFill>
                  <w14:solidFill>
                    <w14:schemeClr w14:val="tx1">
                      <w14:lumMod w14:val="95000"/>
                      <w14:lumOff w14:val="5000"/>
                    </w14:schemeClr>
                  </w14:solidFill>
                </w14:textFill>
              </w:rPr>
              <w:t>2022年</w:t>
            </w:r>
          </w:p>
          <w:p w14:paraId="7431D273">
            <w:pPr>
              <w:adjustRightInd w:val="0"/>
              <w:snapToGrid w:val="0"/>
              <w:spacing w:line="240" w:lineRule="exact"/>
              <w:ind w:left="-63" w:leftChars="-30" w:right="-63" w:rightChars="-30"/>
              <w:jc w:val="center"/>
              <w:rPr>
                <w:rFonts w:ascii="Times New Roman" w:hAnsi="Times New Roman" w:eastAsia="方正黑体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黑体_GBK" w:cs="Times New Roman"/>
                <w:bCs/>
                <w:color w:val="0D0D0D" w:themeColor="text1" w:themeTint="F2"/>
                <w:szCs w:val="21"/>
                <w14:textFill>
                  <w14:solidFill>
                    <w14:schemeClr w14:val="tx1">
                      <w14:lumMod w14:val="95000"/>
                      <w14:lumOff w14:val="5000"/>
                    </w14:schemeClr>
                  </w14:solidFill>
                </w14:textFill>
              </w:rPr>
              <w:t>目标值</w:t>
            </w:r>
          </w:p>
        </w:tc>
        <w:tc>
          <w:tcPr>
            <w:tcW w:w="1205" w:type="dxa"/>
            <w:tcBorders>
              <w:top w:val="single" w:color="auto" w:sz="4" w:space="0"/>
              <w:left w:val="single" w:color="auto" w:sz="4" w:space="0"/>
              <w:bottom w:val="single" w:color="auto" w:sz="4" w:space="0"/>
              <w:right w:val="single" w:color="auto" w:sz="4" w:space="0"/>
            </w:tcBorders>
            <w:vAlign w:val="center"/>
          </w:tcPr>
          <w:p w14:paraId="1FBF6DFE">
            <w:pPr>
              <w:adjustRightInd w:val="0"/>
              <w:snapToGrid w:val="0"/>
              <w:spacing w:line="240" w:lineRule="exact"/>
              <w:ind w:left="-63" w:leftChars="-30" w:right="-63" w:rightChars="-30"/>
              <w:jc w:val="center"/>
              <w:rPr>
                <w:rFonts w:ascii="Times New Roman" w:hAnsi="Times New Roman" w:eastAsia="方正黑体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黑体_GBK" w:cs="Times New Roman"/>
                <w:bCs/>
                <w:color w:val="0D0D0D" w:themeColor="text1" w:themeTint="F2"/>
                <w:szCs w:val="21"/>
                <w14:textFill>
                  <w14:solidFill>
                    <w14:schemeClr w14:val="tx1">
                      <w14:lumMod w14:val="95000"/>
                      <w14:lumOff w14:val="5000"/>
                    </w14:schemeClr>
                  </w14:solidFill>
                </w14:textFill>
              </w:rPr>
              <w:t>2023年</w:t>
            </w:r>
          </w:p>
          <w:p w14:paraId="7A01C765">
            <w:pPr>
              <w:adjustRightInd w:val="0"/>
              <w:snapToGrid w:val="0"/>
              <w:spacing w:line="240" w:lineRule="exact"/>
              <w:ind w:left="-63" w:leftChars="-30" w:right="-63" w:rightChars="-30"/>
              <w:jc w:val="center"/>
              <w:rPr>
                <w:rFonts w:ascii="Times New Roman" w:hAnsi="Times New Roman" w:eastAsia="方正黑体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黑体_GBK" w:cs="Times New Roman"/>
                <w:bCs/>
                <w:color w:val="0D0D0D" w:themeColor="text1" w:themeTint="F2"/>
                <w:szCs w:val="21"/>
                <w14:textFill>
                  <w14:solidFill>
                    <w14:schemeClr w14:val="tx1">
                      <w14:lumMod w14:val="95000"/>
                      <w14:lumOff w14:val="5000"/>
                    </w14:schemeClr>
                  </w14:solidFill>
                </w14:textFill>
              </w:rPr>
              <w:t>目标值</w:t>
            </w:r>
          </w:p>
        </w:tc>
        <w:tc>
          <w:tcPr>
            <w:tcW w:w="1123" w:type="dxa"/>
            <w:tcBorders>
              <w:top w:val="single" w:color="auto" w:sz="4" w:space="0"/>
              <w:left w:val="single" w:color="auto" w:sz="4" w:space="0"/>
              <w:bottom w:val="single" w:color="auto" w:sz="4" w:space="0"/>
              <w:right w:val="single" w:color="auto" w:sz="4" w:space="0"/>
            </w:tcBorders>
            <w:vAlign w:val="center"/>
          </w:tcPr>
          <w:p w14:paraId="4A259A5F">
            <w:pPr>
              <w:adjustRightInd w:val="0"/>
              <w:snapToGrid w:val="0"/>
              <w:spacing w:line="240" w:lineRule="exact"/>
              <w:ind w:left="-63" w:leftChars="-30" w:right="-63" w:rightChars="-30"/>
              <w:jc w:val="center"/>
              <w:rPr>
                <w:rFonts w:ascii="Times New Roman" w:hAnsi="Times New Roman" w:eastAsia="方正黑体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黑体_GBK" w:cs="Times New Roman"/>
                <w:bCs/>
                <w:color w:val="0D0D0D" w:themeColor="text1" w:themeTint="F2"/>
                <w:szCs w:val="21"/>
                <w14:textFill>
                  <w14:solidFill>
                    <w14:schemeClr w14:val="tx1">
                      <w14:lumMod w14:val="95000"/>
                      <w14:lumOff w14:val="5000"/>
                    </w14:schemeClr>
                  </w14:solidFill>
                </w14:textFill>
              </w:rPr>
              <w:t>2024年</w:t>
            </w:r>
          </w:p>
          <w:p w14:paraId="0828B29E">
            <w:pPr>
              <w:adjustRightInd w:val="0"/>
              <w:snapToGrid w:val="0"/>
              <w:spacing w:line="240" w:lineRule="exact"/>
              <w:ind w:left="-63" w:leftChars="-30" w:right="-63" w:rightChars="-30"/>
              <w:jc w:val="center"/>
              <w:rPr>
                <w:rFonts w:ascii="Times New Roman" w:hAnsi="Times New Roman" w:eastAsia="方正黑体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黑体_GBK" w:cs="Times New Roman"/>
                <w:bCs/>
                <w:color w:val="0D0D0D" w:themeColor="text1" w:themeTint="F2"/>
                <w:szCs w:val="21"/>
                <w14:textFill>
                  <w14:solidFill>
                    <w14:schemeClr w14:val="tx1">
                      <w14:lumMod w14:val="95000"/>
                      <w14:lumOff w14:val="5000"/>
                    </w14:schemeClr>
                  </w14:solidFill>
                </w14:textFill>
              </w:rPr>
              <w:t>目标值</w:t>
            </w:r>
          </w:p>
        </w:tc>
        <w:tc>
          <w:tcPr>
            <w:tcW w:w="992" w:type="dxa"/>
            <w:tcBorders>
              <w:top w:val="single" w:color="auto" w:sz="4" w:space="0"/>
              <w:left w:val="single" w:color="auto" w:sz="4" w:space="0"/>
              <w:bottom w:val="single" w:color="auto" w:sz="4" w:space="0"/>
              <w:right w:val="single" w:color="auto" w:sz="4" w:space="0"/>
            </w:tcBorders>
            <w:vAlign w:val="center"/>
          </w:tcPr>
          <w:p w14:paraId="03978AA6">
            <w:pPr>
              <w:adjustRightInd w:val="0"/>
              <w:snapToGrid w:val="0"/>
              <w:spacing w:line="240" w:lineRule="exact"/>
              <w:ind w:left="-63" w:leftChars="-30" w:right="-63" w:rightChars="-30"/>
              <w:jc w:val="center"/>
              <w:rPr>
                <w:rFonts w:ascii="Times New Roman" w:hAnsi="Times New Roman" w:eastAsia="方正黑体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黑体_GBK" w:cs="Times New Roman"/>
                <w:bCs/>
                <w:color w:val="0D0D0D" w:themeColor="text1" w:themeTint="F2"/>
                <w:szCs w:val="21"/>
                <w14:textFill>
                  <w14:solidFill>
                    <w14:schemeClr w14:val="tx1">
                      <w14:lumMod w14:val="95000"/>
                      <w14:lumOff w14:val="5000"/>
                    </w14:schemeClr>
                  </w14:solidFill>
                </w14:textFill>
              </w:rPr>
              <w:t>2025年</w:t>
            </w:r>
          </w:p>
          <w:p w14:paraId="7C87FF4B">
            <w:pPr>
              <w:adjustRightInd w:val="0"/>
              <w:snapToGrid w:val="0"/>
              <w:spacing w:line="240" w:lineRule="exact"/>
              <w:ind w:left="-63" w:leftChars="-30" w:right="-63" w:rightChars="-30"/>
              <w:jc w:val="center"/>
              <w:rPr>
                <w:rFonts w:ascii="Times New Roman" w:hAnsi="Times New Roman" w:eastAsia="方正黑体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黑体_GBK" w:cs="Times New Roman"/>
                <w:bCs/>
                <w:color w:val="0D0D0D" w:themeColor="text1" w:themeTint="F2"/>
                <w:szCs w:val="21"/>
                <w14:textFill>
                  <w14:solidFill>
                    <w14:schemeClr w14:val="tx1">
                      <w14:lumMod w14:val="95000"/>
                      <w14:lumOff w14:val="5000"/>
                    </w14:schemeClr>
                  </w14:solidFill>
                </w14:textFill>
              </w:rPr>
              <w:t>目标值</w:t>
            </w:r>
          </w:p>
        </w:tc>
        <w:tc>
          <w:tcPr>
            <w:tcW w:w="992" w:type="dxa"/>
            <w:tcBorders>
              <w:top w:val="single" w:color="auto" w:sz="4" w:space="0"/>
              <w:left w:val="single" w:color="auto" w:sz="4" w:space="0"/>
              <w:bottom w:val="single" w:color="auto" w:sz="4" w:space="0"/>
              <w:right w:val="single" w:color="auto" w:sz="4" w:space="0"/>
            </w:tcBorders>
            <w:vAlign w:val="center"/>
          </w:tcPr>
          <w:p w14:paraId="2F57E0E5">
            <w:pPr>
              <w:adjustRightInd w:val="0"/>
              <w:snapToGrid w:val="0"/>
              <w:spacing w:line="240" w:lineRule="exact"/>
              <w:ind w:left="-63" w:leftChars="-30" w:right="-63" w:rightChars="-30"/>
              <w:jc w:val="center"/>
              <w:rPr>
                <w:rFonts w:ascii="Times New Roman" w:hAnsi="Times New Roman" w:eastAsia="方正黑体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黑体_GBK" w:cs="Times New Roman"/>
                <w:bCs/>
                <w:color w:val="0D0D0D" w:themeColor="text1" w:themeTint="F2"/>
                <w:szCs w:val="21"/>
                <w14:textFill>
                  <w14:solidFill>
                    <w14:schemeClr w14:val="tx1">
                      <w14:lumMod w14:val="95000"/>
                      <w14:lumOff w14:val="5000"/>
                    </w14:schemeClr>
                  </w14:solidFill>
                </w14:textFill>
              </w:rPr>
              <w:t>牵头单位</w:t>
            </w:r>
          </w:p>
        </w:tc>
        <w:tc>
          <w:tcPr>
            <w:tcW w:w="1985" w:type="dxa"/>
            <w:tcBorders>
              <w:top w:val="single" w:color="auto" w:sz="4" w:space="0"/>
              <w:left w:val="single" w:color="auto" w:sz="4" w:space="0"/>
              <w:bottom w:val="single" w:color="auto" w:sz="4" w:space="0"/>
              <w:right w:val="single" w:color="auto" w:sz="4" w:space="0"/>
            </w:tcBorders>
            <w:vAlign w:val="center"/>
          </w:tcPr>
          <w:p w14:paraId="195F180C">
            <w:pPr>
              <w:adjustRightInd w:val="0"/>
              <w:snapToGrid w:val="0"/>
              <w:spacing w:line="240" w:lineRule="exact"/>
              <w:ind w:left="-63" w:leftChars="-30" w:right="-63" w:rightChars="-30"/>
              <w:jc w:val="center"/>
              <w:rPr>
                <w:rFonts w:ascii="Times New Roman" w:hAnsi="Times New Roman" w:eastAsia="方正黑体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黑体_GBK" w:cs="Times New Roman"/>
                <w:bCs/>
                <w:color w:val="0D0D0D" w:themeColor="text1" w:themeTint="F2"/>
                <w:szCs w:val="21"/>
                <w14:textFill>
                  <w14:solidFill>
                    <w14:schemeClr w14:val="tx1">
                      <w14:lumMod w14:val="95000"/>
                      <w14:lumOff w14:val="5000"/>
                    </w14:schemeClr>
                  </w14:solidFill>
                </w14:textFill>
              </w:rPr>
              <w:t>配合单位</w:t>
            </w:r>
          </w:p>
        </w:tc>
      </w:tr>
      <w:tr w14:paraId="594AA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458" w:type="dxa"/>
            <w:vMerge w:val="restart"/>
            <w:tcBorders>
              <w:top w:val="single" w:color="auto" w:sz="4" w:space="0"/>
              <w:left w:val="single" w:color="auto" w:sz="4" w:space="0"/>
              <w:right w:val="single" w:color="auto" w:sz="4" w:space="0"/>
            </w:tcBorders>
            <w:vAlign w:val="center"/>
          </w:tcPr>
          <w:p w14:paraId="73B5998F">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构筑绿水青山</w:t>
            </w:r>
          </w:p>
        </w:tc>
        <w:tc>
          <w:tcPr>
            <w:tcW w:w="503" w:type="dxa"/>
            <w:vMerge w:val="restart"/>
            <w:tcBorders>
              <w:top w:val="single" w:color="auto" w:sz="4" w:space="0"/>
              <w:left w:val="single" w:color="auto" w:sz="4" w:space="0"/>
              <w:right w:val="single" w:color="auto" w:sz="4" w:space="0"/>
            </w:tcBorders>
            <w:vAlign w:val="center"/>
          </w:tcPr>
          <w:p w14:paraId="4310D719">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环境质量</w:t>
            </w:r>
          </w:p>
        </w:tc>
        <w:tc>
          <w:tcPr>
            <w:tcW w:w="534" w:type="dxa"/>
            <w:tcBorders>
              <w:top w:val="single" w:color="auto" w:sz="4" w:space="0"/>
              <w:left w:val="single" w:color="auto" w:sz="4" w:space="0"/>
              <w:bottom w:val="single" w:color="auto" w:sz="4" w:space="0"/>
              <w:right w:val="single" w:color="auto" w:sz="4" w:space="0"/>
            </w:tcBorders>
            <w:vAlign w:val="center"/>
          </w:tcPr>
          <w:p w14:paraId="5DFB21B7">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1</w:t>
            </w:r>
          </w:p>
        </w:tc>
        <w:tc>
          <w:tcPr>
            <w:tcW w:w="2314" w:type="dxa"/>
            <w:tcBorders>
              <w:top w:val="single" w:color="auto" w:sz="4" w:space="0"/>
              <w:left w:val="single" w:color="auto" w:sz="4" w:space="0"/>
              <w:bottom w:val="single" w:color="auto" w:sz="4" w:space="0"/>
              <w:right w:val="single" w:color="auto" w:sz="4" w:space="0"/>
            </w:tcBorders>
            <w:vAlign w:val="center"/>
          </w:tcPr>
          <w:p w14:paraId="44930E1E">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环境空气质量优良天数比例</w:t>
            </w:r>
          </w:p>
        </w:tc>
        <w:tc>
          <w:tcPr>
            <w:tcW w:w="485" w:type="dxa"/>
            <w:tcBorders>
              <w:top w:val="single" w:color="auto" w:sz="4" w:space="0"/>
              <w:left w:val="single" w:color="auto" w:sz="4" w:space="0"/>
              <w:bottom w:val="single" w:color="auto" w:sz="4" w:space="0"/>
              <w:right w:val="single" w:color="auto" w:sz="4" w:space="0"/>
            </w:tcBorders>
            <w:vAlign w:val="center"/>
          </w:tcPr>
          <w:p w14:paraId="38EFAF38">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w:t>
            </w:r>
          </w:p>
        </w:tc>
        <w:tc>
          <w:tcPr>
            <w:tcW w:w="1240" w:type="dxa"/>
            <w:tcBorders>
              <w:top w:val="single" w:color="auto" w:sz="4" w:space="0"/>
              <w:left w:val="single" w:color="auto" w:sz="4" w:space="0"/>
              <w:bottom w:val="single" w:color="auto" w:sz="4" w:space="0"/>
              <w:right w:val="single" w:color="auto" w:sz="4" w:space="0"/>
            </w:tcBorders>
            <w:vAlign w:val="center"/>
          </w:tcPr>
          <w:p w14:paraId="27A740C0">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8</w:t>
            </w: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7.67（</w:t>
            </w: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3</w:t>
            </w: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20天）</w:t>
            </w:r>
          </w:p>
        </w:tc>
        <w:tc>
          <w:tcPr>
            <w:tcW w:w="1205" w:type="dxa"/>
            <w:tcBorders>
              <w:top w:val="single" w:color="auto" w:sz="4" w:space="0"/>
              <w:left w:val="single" w:color="auto" w:sz="4" w:space="0"/>
              <w:bottom w:val="single" w:color="auto" w:sz="4" w:space="0"/>
              <w:right w:val="single" w:color="auto" w:sz="4" w:space="0"/>
            </w:tcBorders>
            <w:vAlign w:val="center"/>
          </w:tcPr>
          <w:p w14:paraId="1CFE434D">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稳定增加</w:t>
            </w:r>
          </w:p>
        </w:tc>
        <w:tc>
          <w:tcPr>
            <w:tcW w:w="1205" w:type="dxa"/>
            <w:tcBorders>
              <w:top w:val="single" w:color="auto" w:sz="4" w:space="0"/>
              <w:left w:val="single" w:color="auto" w:sz="4" w:space="0"/>
              <w:bottom w:val="single" w:color="auto" w:sz="4" w:space="0"/>
              <w:right w:val="single" w:color="auto" w:sz="4" w:space="0"/>
            </w:tcBorders>
            <w:vAlign w:val="center"/>
          </w:tcPr>
          <w:p w14:paraId="694CDAE3">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稳定增加</w:t>
            </w:r>
          </w:p>
        </w:tc>
        <w:tc>
          <w:tcPr>
            <w:tcW w:w="1205" w:type="dxa"/>
            <w:tcBorders>
              <w:top w:val="single" w:color="auto" w:sz="4" w:space="0"/>
              <w:left w:val="single" w:color="auto" w:sz="4" w:space="0"/>
              <w:bottom w:val="single" w:color="auto" w:sz="4" w:space="0"/>
              <w:right w:val="single" w:color="auto" w:sz="4" w:space="0"/>
            </w:tcBorders>
            <w:vAlign w:val="center"/>
          </w:tcPr>
          <w:p w14:paraId="1B51A007">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稳定增加</w:t>
            </w:r>
          </w:p>
        </w:tc>
        <w:tc>
          <w:tcPr>
            <w:tcW w:w="1205" w:type="dxa"/>
            <w:tcBorders>
              <w:top w:val="single" w:color="auto" w:sz="4" w:space="0"/>
              <w:left w:val="single" w:color="auto" w:sz="4" w:space="0"/>
              <w:bottom w:val="single" w:color="auto" w:sz="4" w:space="0"/>
              <w:right w:val="single" w:color="auto" w:sz="4" w:space="0"/>
            </w:tcBorders>
            <w:vAlign w:val="center"/>
          </w:tcPr>
          <w:p w14:paraId="29F4ACCF">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稳定增加</w:t>
            </w:r>
          </w:p>
        </w:tc>
        <w:tc>
          <w:tcPr>
            <w:tcW w:w="1123" w:type="dxa"/>
            <w:tcBorders>
              <w:top w:val="single" w:color="auto" w:sz="4" w:space="0"/>
              <w:left w:val="single" w:color="auto" w:sz="4" w:space="0"/>
              <w:bottom w:val="single" w:color="auto" w:sz="4" w:space="0"/>
              <w:right w:val="single" w:color="auto" w:sz="4" w:space="0"/>
            </w:tcBorders>
            <w:vAlign w:val="center"/>
          </w:tcPr>
          <w:p w14:paraId="501A14BB">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稳定增加</w:t>
            </w:r>
          </w:p>
        </w:tc>
        <w:tc>
          <w:tcPr>
            <w:tcW w:w="992" w:type="dxa"/>
            <w:tcBorders>
              <w:top w:val="single" w:color="auto" w:sz="4" w:space="0"/>
              <w:left w:val="single" w:color="auto" w:sz="4" w:space="0"/>
              <w:bottom w:val="single" w:color="auto" w:sz="4" w:space="0"/>
              <w:right w:val="single" w:color="auto" w:sz="4" w:space="0"/>
            </w:tcBorders>
            <w:vAlign w:val="center"/>
          </w:tcPr>
          <w:p w14:paraId="0FD4FA14">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w:t>
            </w: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90%</w:t>
            </w:r>
          </w:p>
        </w:tc>
        <w:tc>
          <w:tcPr>
            <w:tcW w:w="992" w:type="dxa"/>
            <w:tcBorders>
              <w:top w:val="single" w:color="auto" w:sz="4" w:space="0"/>
              <w:left w:val="single" w:color="auto" w:sz="4" w:space="0"/>
              <w:bottom w:val="single" w:color="auto" w:sz="4" w:space="0"/>
              <w:right w:val="single" w:color="auto" w:sz="4" w:space="0"/>
            </w:tcBorders>
            <w:vAlign w:val="center"/>
          </w:tcPr>
          <w:p w14:paraId="0355C83F">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区生态环境局</w:t>
            </w:r>
          </w:p>
        </w:tc>
        <w:tc>
          <w:tcPr>
            <w:tcW w:w="1985" w:type="dxa"/>
            <w:tcBorders>
              <w:top w:val="single" w:color="auto" w:sz="4" w:space="0"/>
              <w:left w:val="single" w:color="auto" w:sz="4" w:space="0"/>
              <w:bottom w:val="single" w:color="auto" w:sz="4" w:space="0"/>
              <w:right w:val="single" w:color="auto" w:sz="4" w:space="0"/>
            </w:tcBorders>
            <w:vAlign w:val="center"/>
          </w:tcPr>
          <w:p w14:paraId="27575B02">
            <w:pPr>
              <w:adjustRightInd w:val="0"/>
              <w:snapToGrid w:val="0"/>
              <w:spacing w:line="240" w:lineRule="exact"/>
              <w:ind w:left="-63" w:leftChars="-30" w:right="-63" w:rightChars="-30"/>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区住房城乡建委</w:t>
            </w: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、区城管局、区交委、</w:t>
            </w: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区商务委</w:t>
            </w: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、区农业农村委、区市场监管局、区公安分局、各街镇</w:t>
            </w:r>
          </w:p>
        </w:tc>
      </w:tr>
      <w:tr w14:paraId="79140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6" w:hRule="atLeast"/>
          <w:jc w:val="center"/>
        </w:trPr>
        <w:tc>
          <w:tcPr>
            <w:tcW w:w="458" w:type="dxa"/>
            <w:vMerge w:val="continue"/>
            <w:tcBorders>
              <w:left w:val="single" w:color="auto" w:sz="4" w:space="0"/>
              <w:right w:val="single" w:color="auto" w:sz="4" w:space="0"/>
            </w:tcBorders>
            <w:vAlign w:val="center"/>
          </w:tcPr>
          <w:p w14:paraId="4D2B809A">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p>
        </w:tc>
        <w:tc>
          <w:tcPr>
            <w:tcW w:w="503" w:type="dxa"/>
            <w:vMerge w:val="continue"/>
            <w:tcBorders>
              <w:left w:val="single" w:color="auto" w:sz="4" w:space="0"/>
              <w:right w:val="single" w:color="auto" w:sz="4" w:space="0"/>
            </w:tcBorders>
            <w:vAlign w:val="center"/>
          </w:tcPr>
          <w:p w14:paraId="06E7F86A">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p>
        </w:tc>
        <w:tc>
          <w:tcPr>
            <w:tcW w:w="534" w:type="dxa"/>
            <w:tcBorders>
              <w:top w:val="single" w:color="auto" w:sz="4" w:space="0"/>
              <w:left w:val="single" w:color="auto" w:sz="4" w:space="0"/>
              <w:bottom w:val="single" w:color="auto" w:sz="4" w:space="0"/>
              <w:right w:val="single" w:color="auto" w:sz="4" w:space="0"/>
            </w:tcBorders>
            <w:vAlign w:val="center"/>
          </w:tcPr>
          <w:p w14:paraId="7F207743">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2</w:t>
            </w:r>
          </w:p>
        </w:tc>
        <w:tc>
          <w:tcPr>
            <w:tcW w:w="2314" w:type="dxa"/>
            <w:tcBorders>
              <w:top w:val="single" w:color="auto" w:sz="4" w:space="0"/>
              <w:left w:val="single" w:color="auto" w:sz="4" w:space="0"/>
              <w:bottom w:val="single" w:color="auto" w:sz="4" w:space="0"/>
              <w:right w:val="single" w:color="auto" w:sz="4" w:space="0"/>
            </w:tcBorders>
            <w:vAlign w:val="center"/>
          </w:tcPr>
          <w:p w14:paraId="4F3F493D">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集中式饮用水水源地水质达标率</w:t>
            </w:r>
          </w:p>
        </w:tc>
        <w:tc>
          <w:tcPr>
            <w:tcW w:w="485" w:type="dxa"/>
            <w:tcBorders>
              <w:top w:val="single" w:color="auto" w:sz="4" w:space="0"/>
              <w:left w:val="single" w:color="auto" w:sz="4" w:space="0"/>
              <w:bottom w:val="single" w:color="auto" w:sz="4" w:space="0"/>
              <w:right w:val="single" w:color="auto" w:sz="4" w:space="0"/>
            </w:tcBorders>
            <w:vAlign w:val="center"/>
          </w:tcPr>
          <w:p w14:paraId="4428309A">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w:t>
            </w:r>
          </w:p>
        </w:tc>
        <w:tc>
          <w:tcPr>
            <w:tcW w:w="1240" w:type="dxa"/>
            <w:tcBorders>
              <w:top w:val="single" w:color="auto" w:sz="4" w:space="0"/>
              <w:left w:val="single" w:color="auto" w:sz="4" w:space="0"/>
              <w:bottom w:val="single" w:color="auto" w:sz="4" w:space="0"/>
              <w:right w:val="single" w:color="auto" w:sz="4" w:space="0"/>
            </w:tcBorders>
            <w:vAlign w:val="center"/>
          </w:tcPr>
          <w:p w14:paraId="6D7842C9">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100</w:t>
            </w:r>
          </w:p>
        </w:tc>
        <w:tc>
          <w:tcPr>
            <w:tcW w:w="1205" w:type="dxa"/>
            <w:tcBorders>
              <w:top w:val="single" w:color="auto" w:sz="4" w:space="0"/>
              <w:left w:val="single" w:color="auto" w:sz="4" w:space="0"/>
              <w:bottom w:val="single" w:color="auto" w:sz="4" w:space="0"/>
              <w:right w:val="single" w:color="auto" w:sz="4" w:space="0"/>
            </w:tcBorders>
            <w:vAlign w:val="center"/>
          </w:tcPr>
          <w:p w14:paraId="73AC9B7F">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100</w:t>
            </w:r>
          </w:p>
        </w:tc>
        <w:tc>
          <w:tcPr>
            <w:tcW w:w="1205" w:type="dxa"/>
            <w:tcBorders>
              <w:top w:val="single" w:color="auto" w:sz="4" w:space="0"/>
              <w:left w:val="single" w:color="auto" w:sz="4" w:space="0"/>
              <w:bottom w:val="single" w:color="auto" w:sz="4" w:space="0"/>
              <w:right w:val="single" w:color="auto" w:sz="4" w:space="0"/>
            </w:tcBorders>
            <w:vAlign w:val="center"/>
          </w:tcPr>
          <w:p w14:paraId="446DE28E">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100</w:t>
            </w:r>
          </w:p>
        </w:tc>
        <w:tc>
          <w:tcPr>
            <w:tcW w:w="1205" w:type="dxa"/>
            <w:tcBorders>
              <w:top w:val="single" w:color="auto" w:sz="4" w:space="0"/>
              <w:left w:val="single" w:color="auto" w:sz="4" w:space="0"/>
              <w:bottom w:val="single" w:color="auto" w:sz="4" w:space="0"/>
              <w:right w:val="single" w:color="auto" w:sz="4" w:space="0"/>
            </w:tcBorders>
            <w:vAlign w:val="center"/>
          </w:tcPr>
          <w:p w14:paraId="0A556BA5">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100</w:t>
            </w:r>
          </w:p>
        </w:tc>
        <w:tc>
          <w:tcPr>
            <w:tcW w:w="1205" w:type="dxa"/>
            <w:tcBorders>
              <w:top w:val="single" w:color="auto" w:sz="4" w:space="0"/>
              <w:left w:val="single" w:color="auto" w:sz="4" w:space="0"/>
              <w:bottom w:val="single" w:color="auto" w:sz="4" w:space="0"/>
              <w:right w:val="single" w:color="auto" w:sz="4" w:space="0"/>
            </w:tcBorders>
            <w:vAlign w:val="center"/>
          </w:tcPr>
          <w:p w14:paraId="164BD4B2">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100</w:t>
            </w:r>
          </w:p>
        </w:tc>
        <w:tc>
          <w:tcPr>
            <w:tcW w:w="1123" w:type="dxa"/>
            <w:tcBorders>
              <w:top w:val="single" w:color="auto" w:sz="4" w:space="0"/>
              <w:left w:val="single" w:color="auto" w:sz="4" w:space="0"/>
              <w:bottom w:val="single" w:color="auto" w:sz="4" w:space="0"/>
              <w:right w:val="single" w:color="auto" w:sz="4" w:space="0"/>
            </w:tcBorders>
            <w:vAlign w:val="center"/>
          </w:tcPr>
          <w:p w14:paraId="6D43A543">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100</w:t>
            </w:r>
          </w:p>
        </w:tc>
        <w:tc>
          <w:tcPr>
            <w:tcW w:w="992" w:type="dxa"/>
            <w:tcBorders>
              <w:top w:val="single" w:color="auto" w:sz="4" w:space="0"/>
              <w:left w:val="single" w:color="auto" w:sz="4" w:space="0"/>
              <w:bottom w:val="single" w:color="auto" w:sz="4" w:space="0"/>
              <w:right w:val="single" w:color="auto" w:sz="4" w:space="0"/>
            </w:tcBorders>
            <w:vAlign w:val="center"/>
          </w:tcPr>
          <w:p w14:paraId="70984EDC">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100</w:t>
            </w:r>
          </w:p>
        </w:tc>
        <w:tc>
          <w:tcPr>
            <w:tcW w:w="992" w:type="dxa"/>
            <w:tcBorders>
              <w:top w:val="single" w:color="auto" w:sz="4" w:space="0"/>
              <w:left w:val="single" w:color="auto" w:sz="4" w:space="0"/>
              <w:bottom w:val="single" w:color="auto" w:sz="4" w:space="0"/>
              <w:right w:val="single" w:color="auto" w:sz="4" w:space="0"/>
            </w:tcBorders>
            <w:vAlign w:val="center"/>
          </w:tcPr>
          <w:p w14:paraId="00D8F654">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区生态环境局</w:t>
            </w:r>
          </w:p>
        </w:tc>
        <w:tc>
          <w:tcPr>
            <w:tcW w:w="1985" w:type="dxa"/>
            <w:tcBorders>
              <w:top w:val="single" w:color="auto" w:sz="4" w:space="0"/>
              <w:left w:val="single" w:color="auto" w:sz="4" w:space="0"/>
              <w:bottom w:val="single" w:color="auto" w:sz="4" w:space="0"/>
              <w:right w:val="single" w:color="auto" w:sz="4" w:space="0"/>
            </w:tcBorders>
            <w:vAlign w:val="center"/>
          </w:tcPr>
          <w:p w14:paraId="068C5F2E">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区水利局、区卫健委</w:t>
            </w:r>
          </w:p>
        </w:tc>
      </w:tr>
      <w:tr w14:paraId="5B715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458" w:type="dxa"/>
            <w:vMerge w:val="continue"/>
            <w:tcBorders>
              <w:left w:val="single" w:color="auto" w:sz="4" w:space="0"/>
              <w:right w:val="single" w:color="auto" w:sz="4" w:space="0"/>
            </w:tcBorders>
            <w:vAlign w:val="center"/>
          </w:tcPr>
          <w:p w14:paraId="5729CB93">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p>
        </w:tc>
        <w:tc>
          <w:tcPr>
            <w:tcW w:w="503" w:type="dxa"/>
            <w:vMerge w:val="continue"/>
            <w:tcBorders>
              <w:left w:val="single" w:color="auto" w:sz="4" w:space="0"/>
              <w:right w:val="single" w:color="auto" w:sz="4" w:space="0"/>
            </w:tcBorders>
            <w:vAlign w:val="center"/>
          </w:tcPr>
          <w:p w14:paraId="6193DBE3">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p>
        </w:tc>
        <w:tc>
          <w:tcPr>
            <w:tcW w:w="534" w:type="dxa"/>
            <w:tcBorders>
              <w:top w:val="single" w:color="auto" w:sz="4" w:space="0"/>
              <w:left w:val="single" w:color="auto" w:sz="4" w:space="0"/>
              <w:bottom w:val="single" w:color="auto" w:sz="4" w:space="0"/>
              <w:right w:val="single" w:color="auto" w:sz="4" w:space="0"/>
            </w:tcBorders>
            <w:vAlign w:val="center"/>
          </w:tcPr>
          <w:p w14:paraId="667E346C">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3</w:t>
            </w:r>
          </w:p>
        </w:tc>
        <w:tc>
          <w:tcPr>
            <w:tcW w:w="2314" w:type="dxa"/>
            <w:tcBorders>
              <w:top w:val="single" w:color="auto" w:sz="4" w:space="0"/>
              <w:left w:val="single" w:color="auto" w:sz="4" w:space="0"/>
              <w:bottom w:val="single" w:color="auto" w:sz="4" w:space="0"/>
              <w:right w:val="single" w:color="auto" w:sz="4" w:space="0"/>
            </w:tcBorders>
            <w:vAlign w:val="center"/>
          </w:tcPr>
          <w:p w14:paraId="01C0138B">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地表水水质达到或优于Ⅲ类水的比例</w:t>
            </w:r>
          </w:p>
        </w:tc>
        <w:tc>
          <w:tcPr>
            <w:tcW w:w="485" w:type="dxa"/>
            <w:tcBorders>
              <w:top w:val="single" w:color="auto" w:sz="4" w:space="0"/>
              <w:left w:val="single" w:color="auto" w:sz="4" w:space="0"/>
              <w:bottom w:val="single" w:color="auto" w:sz="4" w:space="0"/>
              <w:right w:val="single" w:color="auto" w:sz="4" w:space="0"/>
            </w:tcBorders>
            <w:vAlign w:val="center"/>
          </w:tcPr>
          <w:p w14:paraId="7AA671E4">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w:t>
            </w:r>
          </w:p>
        </w:tc>
        <w:tc>
          <w:tcPr>
            <w:tcW w:w="1240" w:type="dxa"/>
            <w:tcBorders>
              <w:top w:val="single" w:color="auto" w:sz="4" w:space="0"/>
              <w:left w:val="single" w:color="auto" w:sz="4" w:space="0"/>
              <w:bottom w:val="single" w:color="auto" w:sz="4" w:space="0"/>
              <w:right w:val="single" w:color="auto" w:sz="4" w:space="0"/>
            </w:tcBorders>
            <w:vAlign w:val="center"/>
          </w:tcPr>
          <w:p w14:paraId="4D76EADB">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7</w:t>
            </w: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5</w:t>
            </w:r>
          </w:p>
        </w:tc>
        <w:tc>
          <w:tcPr>
            <w:tcW w:w="1205" w:type="dxa"/>
            <w:tcBorders>
              <w:top w:val="single" w:color="auto" w:sz="4" w:space="0"/>
              <w:left w:val="single" w:color="auto" w:sz="4" w:space="0"/>
              <w:bottom w:val="single" w:color="auto" w:sz="4" w:space="0"/>
              <w:right w:val="single" w:color="auto" w:sz="4" w:space="0"/>
            </w:tcBorders>
            <w:vAlign w:val="center"/>
          </w:tcPr>
          <w:p w14:paraId="7575C73B">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稳定增加</w:t>
            </w:r>
          </w:p>
        </w:tc>
        <w:tc>
          <w:tcPr>
            <w:tcW w:w="1205" w:type="dxa"/>
            <w:tcBorders>
              <w:top w:val="single" w:color="auto" w:sz="4" w:space="0"/>
              <w:left w:val="single" w:color="auto" w:sz="4" w:space="0"/>
              <w:bottom w:val="single" w:color="auto" w:sz="4" w:space="0"/>
              <w:right w:val="single" w:color="auto" w:sz="4" w:space="0"/>
            </w:tcBorders>
            <w:vAlign w:val="center"/>
          </w:tcPr>
          <w:p w14:paraId="6A8BA17A">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稳定增加</w:t>
            </w:r>
          </w:p>
        </w:tc>
        <w:tc>
          <w:tcPr>
            <w:tcW w:w="1205" w:type="dxa"/>
            <w:tcBorders>
              <w:top w:val="single" w:color="auto" w:sz="4" w:space="0"/>
              <w:left w:val="single" w:color="auto" w:sz="4" w:space="0"/>
              <w:bottom w:val="single" w:color="auto" w:sz="4" w:space="0"/>
              <w:right w:val="single" w:color="auto" w:sz="4" w:space="0"/>
            </w:tcBorders>
            <w:vAlign w:val="center"/>
          </w:tcPr>
          <w:p w14:paraId="3E745477">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稳定增加</w:t>
            </w:r>
          </w:p>
        </w:tc>
        <w:tc>
          <w:tcPr>
            <w:tcW w:w="1205" w:type="dxa"/>
            <w:tcBorders>
              <w:top w:val="single" w:color="auto" w:sz="4" w:space="0"/>
              <w:left w:val="single" w:color="auto" w:sz="4" w:space="0"/>
              <w:bottom w:val="single" w:color="auto" w:sz="4" w:space="0"/>
              <w:right w:val="single" w:color="auto" w:sz="4" w:space="0"/>
            </w:tcBorders>
            <w:vAlign w:val="center"/>
          </w:tcPr>
          <w:p w14:paraId="2E1BB2C5">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稳定增加</w:t>
            </w:r>
          </w:p>
        </w:tc>
        <w:tc>
          <w:tcPr>
            <w:tcW w:w="1123" w:type="dxa"/>
            <w:tcBorders>
              <w:top w:val="single" w:color="auto" w:sz="4" w:space="0"/>
              <w:left w:val="single" w:color="auto" w:sz="4" w:space="0"/>
              <w:bottom w:val="single" w:color="auto" w:sz="4" w:space="0"/>
              <w:right w:val="single" w:color="auto" w:sz="4" w:space="0"/>
            </w:tcBorders>
            <w:vAlign w:val="center"/>
          </w:tcPr>
          <w:p w14:paraId="50B29D32">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稳定增加</w:t>
            </w:r>
          </w:p>
        </w:tc>
        <w:tc>
          <w:tcPr>
            <w:tcW w:w="992" w:type="dxa"/>
            <w:tcBorders>
              <w:top w:val="single" w:color="auto" w:sz="4" w:space="0"/>
              <w:left w:val="single" w:color="auto" w:sz="4" w:space="0"/>
              <w:bottom w:val="single" w:color="auto" w:sz="4" w:space="0"/>
              <w:right w:val="single" w:color="auto" w:sz="4" w:space="0"/>
            </w:tcBorders>
            <w:vAlign w:val="center"/>
          </w:tcPr>
          <w:p w14:paraId="482EDB71">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稳定增加</w:t>
            </w:r>
          </w:p>
        </w:tc>
        <w:tc>
          <w:tcPr>
            <w:tcW w:w="992" w:type="dxa"/>
            <w:tcBorders>
              <w:top w:val="single" w:color="auto" w:sz="4" w:space="0"/>
              <w:left w:val="single" w:color="auto" w:sz="4" w:space="0"/>
              <w:bottom w:val="single" w:color="auto" w:sz="4" w:space="0"/>
              <w:right w:val="single" w:color="auto" w:sz="4" w:space="0"/>
            </w:tcBorders>
            <w:vAlign w:val="center"/>
          </w:tcPr>
          <w:p w14:paraId="7BCCCF0D">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区生态环境局</w:t>
            </w:r>
          </w:p>
        </w:tc>
        <w:tc>
          <w:tcPr>
            <w:tcW w:w="1985" w:type="dxa"/>
            <w:tcBorders>
              <w:top w:val="single" w:color="auto" w:sz="4" w:space="0"/>
              <w:left w:val="single" w:color="auto" w:sz="4" w:space="0"/>
              <w:bottom w:val="single" w:color="auto" w:sz="4" w:space="0"/>
              <w:right w:val="single" w:color="auto" w:sz="4" w:space="0"/>
            </w:tcBorders>
            <w:vAlign w:val="center"/>
          </w:tcPr>
          <w:p w14:paraId="65FFE567">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区农业农村委、区水利局、</w:t>
            </w: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区住房城乡建委</w:t>
            </w:r>
          </w:p>
        </w:tc>
      </w:tr>
      <w:tr w14:paraId="6B880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458" w:type="dxa"/>
            <w:vMerge w:val="continue"/>
            <w:tcBorders>
              <w:left w:val="single" w:color="auto" w:sz="4" w:space="0"/>
              <w:right w:val="single" w:color="auto" w:sz="4" w:space="0"/>
            </w:tcBorders>
            <w:vAlign w:val="center"/>
          </w:tcPr>
          <w:p w14:paraId="555A0D1F">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p>
        </w:tc>
        <w:tc>
          <w:tcPr>
            <w:tcW w:w="503" w:type="dxa"/>
            <w:vMerge w:val="continue"/>
            <w:tcBorders>
              <w:left w:val="single" w:color="auto" w:sz="4" w:space="0"/>
              <w:right w:val="single" w:color="auto" w:sz="4" w:space="0"/>
            </w:tcBorders>
            <w:vAlign w:val="center"/>
          </w:tcPr>
          <w:p w14:paraId="26306C22">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p>
        </w:tc>
        <w:tc>
          <w:tcPr>
            <w:tcW w:w="534" w:type="dxa"/>
            <w:tcBorders>
              <w:top w:val="single" w:color="auto" w:sz="4" w:space="0"/>
              <w:left w:val="single" w:color="auto" w:sz="4" w:space="0"/>
              <w:bottom w:val="single" w:color="auto" w:sz="4" w:space="0"/>
              <w:right w:val="single" w:color="auto" w:sz="4" w:space="0"/>
            </w:tcBorders>
            <w:vAlign w:val="center"/>
          </w:tcPr>
          <w:p w14:paraId="42F77606">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4</w:t>
            </w:r>
          </w:p>
        </w:tc>
        <w:tc>
          <w:tcPr>
            <w:tcW w:w="2314" w:type="dxa"/>
            <w:tcBorders>
              <w:top w:val="single" w:color="auto" w:sz="4" w:space="0"/>
              <w:left w:val="single" w:color="auto" w:sz="4" w:space="0"/>
              <w:bottom w:val="single" w:color="auto" w:sz="4" w:space="0"/>
              <w:right w:val="single" w:color="auto" w:sz="4" w:space="0"/>
            </w:tcBorders>
            <w:vAlign w:val="center"/>
          </w:tcPr>
          <w:p w14:paraId="41A3129C">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地下水水质达到或优于Ⅲ类水的比例</w:t>
            </w:r>
          </w:p>
        </w:tc>
        <w:tc>
          <w:tcPr>
            <w:tcW w:w="485" w:type="dxa"/>
            <w:tcBorders>
              <w:top w:val="single" w:color="auto" w:sz="4" w:space="0"/>
              <w:left w:val="single" w:color="auto" w:sz="4" w:space="0"/>
              <w:bottom w:val="single" w:color="auto" w:sz="4" w:space="0"/>
              <w:right w:val="single" w:color="auto" w:sz="4" w:space="0"/>
            </w:tcBorders>
            <w:vAlign w:val="center"/>
          </w:tcPr>
          <w:p w14:paraId="5FAD49AC">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w:t>
            </w:r>
          </w:p>
        </w:tc>
        <w:tc>
          <w:tcPr>
            <w:tcW w:w="1240" w:type="dxa"/>
            <w:tcBorders>
              <w:top w:val="single" w:color="auto" w:sz="4" w:space="0"/>
              <w:left w:val="single" w:color="auto" w:sz="4" w:space="0"/>
              <w:bottom w:val="single" w:color="auto" w:sz="4" w:space="0"/>
              <w:right w:val="single" w:color="auto" w:sz="4" w:space="0"/>
            </w:tcBorders>
            <w:vAlign w:val="center"/>
          </w:tcPr>
          <w:p w14:paraId="00E35DBD">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保持稳定</w:t>
            </w:r>
          </w:p>
        </w:tc>
        <w:tc>
          <w:tcPr>
            <w:tcW w:w="1205" w:type="dxa"/>
            <w:tcBorders>
              <w:top w:val="single" w:color="auto" w:sz="4" w:space="0"/>
              <w:left w:val="single" w:color="auto" w:sz="4" w:space="0"/>
              <w:bottom w:val="single" w:color="auto" w:sz="4" w:space="0"/>
              <w:right w:val="single" w:color="auto" w:sz="4" w:space="0"/>
            </w:tcBorders>
            <w:vAlign w:val="center"/>
          </w:tcPr>
          <w:p w14:paraId="18D864F4">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稳定提高</w:t>
            </w:r>
          </w:p>
        </w:tc>
        <w:tc>
          <w:tcPr>
            <w:tcW w:w="1205" w:type="dxa"/>
            <w:tcBorders>
              <w:top w:val="single" w:color="auto" w:sz="4" w:space="0"/>
              <w:left w:val="single" w:color="auto" w:sz="4" w:space="0"/>
              <w:bottom w:val="single" w:color="auto" w:sz="4" w:space="0"/>
              <w:right w:val="single" w:color="auto" w:sz="4" w:space="0"/>
            </w:tcBorders>
            <w:vAlign w:val="center"/>
          </w:tcPr>
          <w:p w14:paraId="3D775658">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稳定提高</w:t>
            </w:r>
          </w:p>
        </w:tc>
        <w:tc>
          <w:tcPr>
            <w:tcW w:w="1205" w:type="dxa"/>
            <w:tcBorders>
              <w:top w:val="single" w:color="auto" w:sz="4" w:space="0"/>
              <w:left w:val="single" w:color="auto" w:sz="4" w:space="0"/>
              <w:bottom w:val="single" w:color="auto" w:sz="4" w:space="0"/>
              <w:right w:val="single" w:color="auto" w:sz="4" w:space="0"/>
            </w:tcBorders>
            <w:vAlign w:val="center"/>
          </w:tcPr>
          <w:p w14:paraId="5D79FB2A">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稳定提高</w:t>
            </w:r>
          </w:p>
        </w:tc>
        <w:tc>
          <w:tcPr>
            <w:tcW w:w="1205" w:type="dxa"/>
            <w:tcBorders>
              <w:top w:val="single" w:color="auto" w:sz="4" w:space="0"/>
              <w:left w:val="single" w:color="auto" w:sz="4" w:space="0"/>
              <w:bottom w:val="single" w:color="auto" w:sz="4" w:space="0"/>
              <w:right w:val="single" w:color="auto" w:sz="4" w:space="0"/>
            </w:tcBorders>
            <w:vAlign w:val="center"/>
          </w:tcPr>
          <w:p w14:paraId="5A331E61">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稳定提高</w:t>
            </w:r>
          </w:p>
        </w:tc>
        <w:tc>
          <w:tcPr>
            <w:tcW w:w="1123" w:type="dxa"/>
            <w:tcBorders>
              <w:top w:val="single" w:color="auto" w:sz="4" w:space="0"/>
              <w:left w:val="single" w:color="auto" w:sz="4" w:space="0"/>
              <w:bottom w:val="single" w:color="auto" w:sz="4" w:space="0"/>
              <w:right w:val="single" w:color="auto" w:sz="4" w:space="0"/>
            </w:tcBorders>
            <w:vAlign w:val="center"/>
          </w:tcPr>
          <w:p w14:paraId="10AEC2EB">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稳定提高</w:t>
            </w:r>
          </w:p>
        </w:tc>
        <w:tc>
          <w:tcPr>
            <w:tcW w:w="992" w:type="dxa"/>
            <w:tcBorders>
              <w:top w:val="single" w:color="auto" w:sz="4" w:space="0"/>
              <w:left w:val="single" w:color="auto" w:sz="4" w:space="0"/>
              <w:bottom w:val="single" w:color="auto" w:sz="4" w:space="0"/>
              <w:right w:val="single" w:color="auto" w:sz="4" w:space="0"/>
            </w:tcBorders>
            <w:vAlign w:val="center"/>
          </w:tcPr>
          <w:p w14:paraId="632EEFCA">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稳定提高</w:t>
            </w:r>
          </w:p>
        </w:tc>
        <w:tc>
          <w:tcPr>
            <w:tcW w:w="992" w:type="dxa"/>
            <w:tcBorders>
              <w:top w:val="single" w:color="auto" w:sz="4" w:space="0"/>
              <w:left w:val="single" w:color="auto" w:sz="4" w:space="0"/>
              <w:bottom w:val="single" w:color="auto" w:sz="4" w:space="0"/>
              <w:right w:val="single" w:color="auto" w:sz="4" w:space="0"/>
            </w:tcBorders>
            <w:vAlign w:val="center"/>
          </w:tcPr>
          <w:p w14:paraId="519CD790">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区生态环境局</w:t>
            </w:r>
          </w:p>
        </w:tc>
        <w:tc>
          <w:tcPr>
            <w:tcW w:w="1985" w:type="dxa"/>
            <w:tcBorders>
              <w:top w:val="single" w:color="auto" w:sz="4" w:space="0"/>
              <w:left w:val="single" w:color="auto" w:sz="4" w:space="0"/>
              <w:bottom w:val="single" w:color="auto" w:sz="4" w:space="0"/>
              <w:right w:val="single" w:color="auto" w:sz="4" w:space="0"/>
            </w:tcBorders>
            <w:vAlign w:val="center"/>
          </w:tcPr>
          <w:p w14:paraId="7F307FA5">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区规划自然资源局</w:t>
            </w:r>
          </w:p>
        </w:tc>
      </w:tr>
      <w:tr w14:paraId="5C052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458" w:type="dxa"/>
            <w:vMerge w:val="continue"/>
            <w:tcBorders>
              <w:left w:val="single" w:color="auto" w:sz="4" w:space="0"/>
              <w:right w:val="single" w:color="auto" w:sz="4" w:space="0"/>
            </w:tcBorders>
            <w:vAlign w:val="center"/>
          </w:tcPr>
          <w:p w14:paraId="7FC9C9B6">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p>
        </w:tc>
        <w:tc>
          <w:tcPr>
            <w:tcW w:w="503" w:type="dxa"/>
            <w:vMerge w:val="continue"/>
            <w:tcBorders>
              <w:left w:val="single" w:color="auto" w:sz="4" w:space="0"/>
              <w:right w:val="single" w:color="auto" w:sz="4" w:space="0"/>
            </w:tcBorders>
            <w:vAlign w:val="center"/>
          </w:tcPr>
          <w:p w14:paraId="3BDC9DAF">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p>
        </w:tc>
        <w:tc>
          <w:tcPr>
            <w:tcW w:w="534" w:type="dxa"/>
            <w:tcBorders>
              <w:top w:val="single" w:color="auto" w:sz="4" w:space="0"/>
              <w:left w:val="single" w:color="auto" w:sz="4" w:space="0"/>
              <w:bottom w:val="single" w:color="auto" w:sz="4" w:space="0"/>
              <w:right w:val="single" w:color="auto" w:sz="4" w:space="0"/>
            </w:tcBorders>
            <w:vAlign w:val="center"/>
          </w:tcPr>
          <w:p w14:paraId="282744DF">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5</w:t>
            </w:r>
          </w:p>
        </w:tc>
        <w:tc>
          <w:tcPr>
            <w:tcW w:w="2314" w:type="dxa"/>
            <w:tcBorders>
              <w:top w:val="single" w:color="auto" w:sz="4" w:space="0"/>
              <w:left w:val="single" w:color="auto" w:sz="4" w:space="0"/>
              <w:bottom w:val="single" w:color="auto" w:sz="4" w:space="0"/>
              <w:right w:val="single" w:color="auto" w:sz="4" w:space="0"/>
            </w:tcBorders>
            <w:vAlign w:val="center"/>
          </w:tcPr>
          <w:p w14:paraId="620FA973">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受污染耕地安全利用率</w:t>
            </w:r>
          </w:p>
        </w:tc>
        <w:tc>
          <w:tcPr>
            <w:tcW w:w="485" w:type="dxa"/>
            <w:tcBorders>
              <w:top w:val="single" w:color="auto" w:sz="4" w:space="0"/>
              <w:left w:val="single" w:color="auto" w:sz="4" w:space="0"/>
              <w:bottom w:val="single" w:color="auto" w:sz="4" w:space="0"/>
              <w:right w:val="single" w:color="auto" w:sz="4" w:space="0"/>
            </w:tcBorders>
            <w:vAlign w:val="center"/>
          </w:tcPr>
          <w:p w14:paraId="32BD2C5C">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w:t>
            </w:r>
          </w:p>
        </w:tc>
        <w:tc>
          <w:tcPr>
            <w:tcW w:w="1240" w:type="dxa"/>
            <w:tcBorders>
              <w:top w:val="single" w:color="auto" w:sz="4" w:space="0"/>
              <w:left w:val="single" w:color="auto" w:sz="4" w:space="0"/>
              <w:bottom w:val="single" w:color="auto" w:sz="4" w:space="0"/>
              <w:right w:val="single" w:color="auto" w:sz="4" w:space="0"/>
            </w:tcBorders>
            <w:vAlign w:val="center"/>
          </w:tcPr>
          <w:p w14:paraId="61A4305A">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保持稳定</w:t>
            </w:r>
          </w:p>
        </w:tc>
        <w:tc>
          <w:tcPr>
            <w:tcW w:w="1205" w:type="dxa"/>
            <w:tcBorders>
              <w:top w:val="single" w:color="auto" w:sz="4" w:space="0"/>
              <w:left w:val="single" w:color="auto" w:sz="4" w:space="0"/>
              <w:bottom w:val="single" w:color="auto" w:sz="4" w:space="0"/>
              <w:right w:val="single" w:color="auto" w:sz="4" w:space="0"/>
            </w:tcBorders>
            <w:vAlign w:val="center"/>
          </w:tcPr>
          <w:p w14:paraId="667CE219">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9</w:t>
            </w: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5</w:t>
            </w:r>
          </w:p>
        </w:tc>
        <w:tc>
          <w:tcPr>
            <w:tcW w:w="4738" w:type="dxa"/>
            <w:gridSpan w:val="4"/>
            <w:tcBorders>
              <w:top w:val="single" w:color="auto" w:sz="4" w:space="0"/>
              <w:left w:val="single" w:color="auto" w:sz="4" w:space="0"/>
              <w:bottom w:val="single" w:color="auto" w:sz="4" w:space="0"/>
              <w:right w:val="single" w:color="auto" w:sz="4" w:space="0"/>
            </w:tcBorders>
            <w:vAlign w:val="center"/>
          </w:tcPr>
          <w:p w14:paraId="0D4AA211">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w:t>
            </w: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95且不降低</w:t>
            </w:r>
          </w:p>
        </w:tc>
        <w:tc>
          <w:tcPr>
            <w:tcW w:w="992" w:type="dxa"/>
            <w:tcBorders>
              <w:top w:val="single" w:color="auto" w:sz="4" w:space="0"/>
              <w:left w:val="single" w:color="auto" w:sz="4" w:space="0"/>
              <w:bottom w:val="single" w:color="auto" w:sz="4" w:space="0"/>
              <w:right w:val="single" w:color="auto" w:sz="4" w:space="0"/>
            </w:tcBorders>
            <w:vAlign w:val="center"/>
          </w:tcPr>
          <w:p w14:paraId="056FAA2B">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&gt;</w:t>
            </w: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9</w:t>
            </w: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5</w:t>
            </w:r>
          </w:p>
        </w:tc>
        <w:tc>
          <w:tcPr>
            <w:tcW w:w="992" w:type="dxa"/>
            <w:tcBorders>
              <w:top w:val="single" w:color="auto" w:sz="4" w:space="0"/>
              <w:left w:val="single" w:color="auto" w:sz="4" w:space="0"/>
              <w:bottom w:val="single" w:color="auto" w:sz="4" w:space="0"/>
              <w:right w:val="single" w:color="auto" w:sz="4" w:space="0"/>
            </w:tcBorders>
            <w:vAlign w:val="center"/>
          </w:tcPr>
          <w:p w14:paraId="2883AAED">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区农业农村委、区生态环境局</w:t>
            </w:r>
          </w:p>
        </w:tc>
        <w:tc>
          <w:tcPr>
            <w:tcW w:w="1985" w:type="dxa"/>
            <w:tcBorders>
              <w:top w:val="single" w:color="auto" w:sz="4" w:space="0"/>
              <w:left w:val="single" w:color="auto" w:sz="4" w:space="0"/>
              <w:bottom w:val="single" w:color="auto" w:sz="4" w:space="0"/>
              <w:right w:val="single" w:color="auto" w:sz="4" w:space="0"/>
            </w:tcBorders>
            <w:vAlign w:val="center"/>
          </w:tcPr>
          <w:p w14:paraId="5C86C107">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各街镇</w:t>
            </w:r>
          </w:p>
        </w:tc>
      </w:tr>
      <w:tr w14:paraId="5DEB6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458" w:type="dxa"/>
            <w:vMerge w:val="continue"/>
            <w:tcBorders>
              <w:left w:val="single" w:color="auto" w:sz="4" w:space="0"/>
              <w:right w:val="single" w:color="auto" w:sz="4" w:space="0"/>
            </w:tcBorders>
            <w:vAlign w:val="center"/>
          </w:tcPr>
          <w:p w14:paraId="1DE63764">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p>
        </w:tc>
        <w:tc>
          <w:tcPr>
            <w:tcW w:w="503" w:type="dxa"/>
            <w:vMerge w:val="continue"/>
            <w:tcBorders>
              <w:left w:val="single" w:color="auto" w:sz="4" w:space="0"/>
              <w:bottom w:val="single" w:color="auto" w:sz="4" w:space="0"/>
              <w:right w:val="single" w:color="auto" w:sz="4" w:space="0"/>
            </w:tcBorders>
            <w:vAlign w:val="center"/>
          </w:tcPr>
          <w:p w14:paraId="5D9C3F9F">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p>
        </w:tc>
        <w:tc>
          <w:tcPr>
            <w:tcW w:w="534" w:type="dxa"/>
            <w:tcBorders>
              <w:top w:val="single" w:color="auto" w:sz="4" w:space="0"/>
              <w:left w:val="single" w:color="auto" w:sz="4" w:space="0"/>
              <w:bottom w:val="single" w:color="auto" w:sz="4" w:space="0"/>
              <w:right w:val="single" w:color="auto" w:sz="4" w:space="0"/>
            </w:tcBorders>
            <w:vAlign w:val="center"/>
          </w:tcPr>
          <w:p w14:paraId="69946839">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6</w:t>
            </w:r>
          </w:p>
        </w:tc>
        <w:tc>
          <w:tcPr>
            <w:tcW w:w="2314" w:type="dxa"/>
            <w:tcBorders>
              <w:top w:val="single" w:color="auto" w:sz="4" w:space="0"/>
              <w:left w:val="single" w:color="auto" w:sz="4" w:space="0"/>
              <w:bottom w:val="single" w:color="auto" w:sz="4" w:space="0"/>
              <w:right w:val="single" w:color="auto" w:sz="4" w:space="0"/>
            </w:tcBorders>
            <w:vAlign w:val="center"/>
          </w:tcPr>
          <w:p w14:paraId="6363865E">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污染地块安全利用率</w:t>
            </w:r>
          </w:p>
        </w:tc>
        <w:tc>
          <w:tcPr>
            <w:tcW w:w="485" w:type="dxa"/>
            <w:tcBorders>
              <w:top w:val="single" w:color="auto" w:sz="4" w:space="0"/>
              <w:left w:val="single" w:color="auto" w:sz="4" w:space="0"/>
              <w:bottom w:val="single" w:color="auto" w:sz="4" w:space="0"/>
              <w:right w:val="single" w:color="auto" w:sz="4" w:space="0"/>
            </w:tcBorders>
            <w:vAlign w:val="center"/>
          </w:tcPr>
          <w:p w14:paraId="4258851E">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w:t>
            </w:r>
          </w:p>
        </w:tc>
        <w:tc>
          <w:tcPr>
            <w:tcW w:w="1240" w:type="dxa"/>
            <w:tcBorders>
              <w:top w:val="single" w:color="auto" w:sz="4" w:space="0"/>
              <w:left w:val="single" w:color="auto" w:sz="4" w:space="0"/>
              <w:bottom w:val="single" w:color="auto" w:sz="4" w:space="0"/>
              <w:right w:val="single" w:color="auto" w:sz="4" w:space="0"/>
            </w:tcBorders>
            <w:vAlign w:val="center"/>
          </w:tcPr>
          <w:p w14:paraId="107B8E7A">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保持稳定</w:t>
            </w:r>
          </w:p>
        </w:tc>
        <w:tc>
          <w:tcPr>
            <w:tcW w:w="1205" w:type="dxa"/>
            <w:tcBorders>
              <w:top w:val="single" w:color="auto" w:sz="4" w:space="0"/>
              <w:left w:val="single" w:color="auto" w:sz="4" w:space="0"/>
              <w:bottom w:val="single" w:color="auto" w:sz="4" w:space="0"/>
              <w:right w:val="single" w:color="auto" w:sz="4" w:space="0"/>
            </w:tcBorders>
            <w:vAlign w:val="center"/>
          </w:tcPr>
          <w:p w14:paraId="77DE12FE">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9</w:t>
            </w: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5</w:t>
            </w:r>
          </w:p>
        </w:tc>
        <w:tc>
          <w:tcPr>
            <w:tcW w:w="4738" w:type="dxa"/>
            <w:gridSpan w:val="4"/>
            <w:tcBorders>
              <w:top w:val="single" w:color="auto" w:sz="4" w:space="0"/>
              <w:left w:val="single" w:color="auto" w:sz="4" w:space="0"/>
              <w:bottom w:val="single" w:color="auto" w:sz="4" w:space="0"/>
              <w:right w:val="single" w:color="auto" w:sz="4" w:space="0"/>
            </w:tcBorders>
            <w:vAlign w:val="center"/>
          </w:tcPr>
          <w:p w14:paraId="0DCA469E">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w:t>
            </w: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95且不降低</w:t>
            </w:r>
          </w:p>
        </w:tc>
        <w:tc>
          <w:tcPr>
            <w:tcW w:w="992" w:type="dxa"/>
            <w:tcBorders>
              <w:top w:val="single" w:color="auto" w:sz="4" w:space="0"/>
              <w:left w:val="single" w:color="auto" w:sz="4" w:space="0"/>
              <w:bottom w:val="single" w:color="auto" w:sz="4" w:space="0"/>
              <w:right w:val="single" w:color="auto" w:sz="4" w:space="0"/>
            </w:tcBorders>
            <w:vAlign w:val="center"/>
          </w:tcPr>
          <w:p w14:paraId="61614238">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&gt;</w:t>
            </w: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9</w:t>
            </w: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5</w:t>
            </w:r>
          </w:p>
        </w:tc>
        <w:tc>
          <w:tcPr>
            <w:tcW w:w="992" w:type="dxa"/>
            <w:tcBorders>
              <w:top w:val="single" w:color="auto" w:sz="4" w:space="0"/>
              <w:left w:val="single" w:color="auto" w:sz="4" w:space="0"/>
              <w:bottom w:val="single" w:color="auto" w:sz="4" w:space="0"/>
              <w:right w:val="single" w:color="auto" w:sz="4" w:space="0"/>
            </w:tcBorders>
            <w:vAlign w:val="center"/>
          </w:tcPr>
          <w:p w14:paraId="47153864">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区生态环境局</w:t>
            </w:r>
          </w:p>
        </w:tc>
        <w:tc>
          <w:tcPr>
            <w:tcW w:w="1985" w:type="dxa"/>
            <w:tcBorders>
              <w:top w:val="single" w:color="auto" w:sz="4" w:space="0"/>
              <w:left w:val="single" w:color="auto" w:sz="4" w:space="0"/>
              <w:bottom w:val="single" w:color="auto" w:sz="4" w:space="0"/>
              <w:right w:val="single" w:color="auto" w:sz="4" w:space="0"/>
            </w:tcBorders>
            <w:vAlign w:val="center"/>
          </w:tcPr>
          <w:p w14:paraId="5920DB37">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区经济信息委、各园区管委会、各街镇</w:t>
            </w:r>
          </w:p>
        </w:tc>
      </w:tr>
      <w:tr w14:paraId="694C0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33" w:hRule="atLeast"/>
          <w:jc w:val="center"/>
        </w:trPr>
        <w:tc>
          <w:tcPr>
            <w:tcW w:w="458" w:type="dxa"/>
            <w:vMerge w:val="continue"/>
            <w:tcBorders>
              <w:left w:val="single" w:color="auto" w:sz="4" w:space="0"/>
              <w:right w:val="single" w:color="auto" w:sz="4" w:space="0"/>
            </w:tcBorders>
            <w:vAlign w:val="center"/>
          </w:tcPr>
          <w:p w14:paraId="709142A7">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p>
        </w:tc>
        <w:tc>
          <w:tcPr>
            <w:tcW w:w="503" w:type="dxa"/>
            <w:vMerge w:val="restart"/>
            <w:tcBorders>
              <w:top w:val="single" w:color="auto" w:sz="4" w:space="0"/>
              <w:left w:val="single" w:color="auto" w:sz="4" w:space="0"/>
              <w:right w:val="single" w:color="auto" w:sz="4" w:space="0"/>
            </w:tcBorders>
            <w:vAlign w:val="center"/>
          </w:tcPr>
          <w:p w14:paraId="4CD27F86">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生态状况</w:t>
            </w:r>
          </w:p>
        </w:tc>
        <w:tc>
          <w:tcPr>
            <w:tcW w:w="534" w:type="dxa"/>
            <w:tcBorders>
              <w:top w:val="single" w:color="auto" w:sz="4" w:space="0"/>
              <w:left w:val="single" w:color="auto" w:sz="4" w:space="0"/>
              <w:bottom w:val="single" w:color="auto" w:sz="4" w:space="0"/>
              <w:right w:val="single" w:color="auto" w:sz="4" w:space="0"/>
            </w:tcBorders>
            <w:vAlign w:val="center"/>
          </w:tcPr>
          <w:p w14:paraId="1C581DA4">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7</w:t>
            </w:r>
          </w:p>
        </w:tc>
        <w:tc>
          <w:tcPr>
            <w:tcW w:w="2314" w:type="dxa"/>
            <w:tcBorders>
              <w:top w:val="single" w:color="auto" w:sz="4" w:space="0"/>
              <w:left w:val="single" w:color="auto" w:sz="4" w:space="0"/>
              <w:bottom w:val="single" w:color="auto" w:sz="4" w:space="0"/>
              <w:right w:val="single" w:color="auto" w:sz="4" w:space="0"/>
            </w:tcBorders>
            <w:vAlign w:val="center"/>
          </w:tcPr>
          <w:p w14:paraId="1C0CAE0F">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林草覆盖率</w:t>
            </w:r>
          </w:p>
        </w:tc>
        <w:tc>
          <w:tcPr>
            <w:tcW w:w="485" w:type="dxa"/>
            <w:tcBorders>
              <w:top w:val="single" w:color="auto" w:sz="4" w:space="0"/>
              <w:left w:val="single" w:color="auto" w:sz="4" w:space="0"/>
              <w:bottom w:val="single" w:color="auto" w:sz="4" w:space="0"/>
              <w:right w:val="single" w:color="auto" w:sz="4" w:space="0"/>
            </w:tcBorders>
            <w:vAlign w:val="center"/>
          </w:tcPr>
          <w:p w14:paraId="5870350B">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w:t>
            </w:r>
          </w:p>
        </w:tc>
        <w:tc>
          <w:tcPr>
            <w:tcW w:w="1240" w:type="dxa"/>
            <w:tcBorders>
              <w:top w:val="single" w:color="auto" w:sz="4" w:space="0"/>
              <w:left w:val="single" w:color="auto" w:sz="4" w:space="0"/>
              <w:bottom w:val="single" w:color="auto" w:sz="4" w:space="0"/>
              <w:right w:val="single" w:color="auto" w:sz="4" w:space="0"/>
            </w:tcBorders>
            <w:vAlign w:val="center"/>
          </w:tcPr>
          <w:p w14:paraId="0883529A">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5</w:t>
            </w: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3.13</w:t>
            </w:r>
          </w:p>
        </w:tc>
        <w:tc>
          <w:tcPr>
            <w:tcW w:w="6935" w:type="dxa"/>
            <w:gridSpan w:val="6"/>
            <w:tcBorders>
              <w:top w:val="single" w:color="auto" w:sz="4" w:space="0"/>
              <w:left w:val="single" w:color="auto" w:sz="4" w:space="0"/>
              <w:bottom w:val="single" w:color="auto" w:sz="4" w:space="0"/>
              <w:right w:val="single" w:color="auto" w:sz="4" w:space="0"/>
            </w:tcBorders>
            <w:vAlign w:val="center"/>
          </w:tcPr>
          <w:p w14:paraId="25A56FDB">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丘陵区</w:t>
            </w: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&gt;40</w:t>
            </w:r>
          </w:p>
        </w:tc>
        <w:tc>
          <w:tcPr>
            <w:tcW w:w="992" w:type="dxa"/>
            <w:tcBorders>
              <w:top w:val="single" w:color="auto" w:sz="4" w:space="0"/>
              <w:left w:val="single" w:color="auto" w:sz="4" w:space="0"/>
              <w:bottom w:val="single" w:color="auto" w:sz="4" w:space="0"/>
              <w:right w:val="single" w:color="auto" w:sz="4" w:space="0"/>
            </w:tcBorders>
            <w:vAlign w:val="center"/>
          </w:tcPr>
          <w:p w14:paraId="1E960AA9">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区林业局</w:t>
            </w:r>
          </w:p>
        </w:tc>
        <w:tc>
          <w:tcPr>
            <w:tcW w:w="1985" w:type="dxa"/>
            <w:tcBorders>
              <w:top w:val="single" w:color="auto" w:sz="4" w:space="0"/>
              <w:left w:val="single" w:color="auto" w:sz="4" w:space="0"/>
              <w:bottom w:val="single" w:color="auto" w:sz="4" w:space="0"/>
              <w:right w:val="single" w:color="auto" w:sz="4" w:space="0"/>
            </w:tcBorders>
            <w:vAlign w:val="center"/>
          </w:tcPr>
          <w:p w14:paraId="6687B763">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w:t>
            </w:r>
          </w:p>
        </w:tc>
      </w:tr>
      <w:tr w14:paraId="5B8F0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27" w:hRule="atLeast"/>
          <w:jc w:val="center"/>
        </w:trPr>
        <w:tc>
          <w:tcPr>
            <w:tcW w:w="458" w:type="dxa"/>
            <w:vMerge w:val="continue"/>
            <w:tcBorders>
              <w:left w:val="single" w:color="auto" w:sz="4" w:space="0"/>
              <w:right w:val="single" w:color="auto" w:sz="4" w:space="0"/>
            </w:tcBorders>
            <w:vAlign w:val="center"/>
          </w:tcPr>
          <w:p w14:paraId="090EA158">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p>
        </w:tc>
        <w:tc>
          <w:tcPr>
            <w:tcW w:w="503" w:type="dxa"/>
            <w:vMerge w:val="continue"/>
            <w:tcBorders>
              <w:left w:val="single" w:color="auto" w:sz="4" w:space="0"/>
              <w:right w:val="single" w:color="auto" w:sz="4" w:space="0"/>
            </w:tcBorders>
            <w:vAlign w:val="center"/>
          </w:tcPr>
          <w:p w14:paraId="00275250">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p>
        </w:tc>
        <w:tc>
          <w:tcPr>
            <w:tcW w:w="534" w:type="dxa"/>
            <w:tcBorders>
              <w:top w:val="single" w:color="auto" w:sz="4" w:space="0"/>
              <w:left w:val="single" w:color="auto" w:sz="4" w:space="0"/>
              <w:bottom w:val="single" w:color="auto" w:sz="4" w:space="0"/>
              <w:right w:val="single" w:color="auto" w:sz="4" w:space="0"/>
            </w:tcBorders>
            <w:vAlign w:val="center"/>
          </w:tcPr>
          <w:p w14:paraId="435C061D">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8</w:t>
            </w:r>
          </w:p>
        </w:tc>
        <w:tc>
          <w:tcPr>
            <w:tcW w:w="2314" w:type="dxa"/>
            <w:tcBorders>
              <w:top w:val="single" w:color="auto" w:sz="4" w:space="0"/>
              <w:left w:val="single" w:color="auto" w:sz="4" w:space="0"/>
              <w:bottom w:val="single" w:color="auto" w:sz="4" w:space="0"/>
              <w:right w:val="single" w:color="auto" w:sz="4" w:space="0"/>
            </w:tcBorders>
            <w:vAlign w:val="center"/>
          </w:tcPr>
          <w:p w14:paraId="68971516">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物种丰富度</w:t>
            </w:r>
          </w:p>
        </w:tc>
        <w:tc>
          <w:tcPr>
            <w:tcW w:w="485" w:type="dxa"/>
            <w:tcBorders>
              <w:top w:val="single" w:color="auto" w:sz="4" w:space="0"/>
              <w:left w:val="single" w:color="auto" w:sz="4" w:space="0"/>
              <w:bottom w:val="single" w:color="auto" w:sz="4" w:space="0"/>
              <w:right w:val="single" w:color="auto" w:sz="4" w:space="0"/>
            </w:tcBorders>
            <w:vAlign w:val="center"/>
          </w:tcPr>
          <w:p w14:paraId="32621023">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w:t>
            </w:r>
          </w:p>
        </w:tc>
        <w:tc>
          <w:tcPr>
            <w:tcW w:w="1240" w:type="dxa"/>
            <w:tcBorders>
              <w:top w:val="single" w:color="auto" w:sz="4" w:space="0"/>
              <w:left w:val="single" w:color="auto" w:sz="4" w:space="0"/>
              <w:bottom w:val="single" w:color="auto" w:sz="4" w:space="0"/>
              <w:right w:val="single" w:color="auto" w:sz="4" w:space="0"/>
            </w:tcBorders>
            <w:vAlign w:val="center"/>
          </w:tcPr>
          <w:p w14:paraId="2BC5FF90">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保持稳定</w:t>
            </w:r>
          </w:p>
        </w:tc>
        <w:tc>
          <w:tcPr>
            <w:tcW w:w="1205" w:type="dxa"/>
            <w:tcBorders>
              <w:top w:val="single" w:color="auto" w:sz="4" w:space="0"/>
              <w:left w:val="single" w:color="auto" w:sz="4" w:space="0"/>
              <w:bottom w:val="single" w:color="auto" w:sz="4" w:space="0"/>
              <w:right w:val="single" w:color="auto" w:sz="4" w:space="0"/>
            </w:tcBorders>
            <w:vAlign w:val="center"/>
          </w:tcPr>
          <w:p w14:paraId="739493B5">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稳定提高</w:t>
            </w:r>
          </w:p>
        </w:tc>
        <w:tc>
          <w:tcPr>
            <w:tcW w:w="1205" w:type="dxa"/>
            <w:tcBorders>
              <w:top w:val="single" w:color="auto" w:sz="4" w:space="0"/>
              <w:left w:val="single" w:color="auto" w:sz="4" w:space="0"/>
              <w:bottom w:val="single" w:color="auto" w:sz="4" w:space="0"/>
              <w:right w:val="single" w:color="auto" w:sz="4" w:space="0"/>
            </w:tcBorders>
            <w:vAlign w:val="center"/>
          </w:tcPr>
          <w:p w14:paraId="3458C205">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稳定提高</w:t>
            </w:r>
          </w:p>
        </w:tc>
        <w:tc>
          <w:tcPr>
            <w:tcW w:w="1205" w:type="dxa"/>
            <w:tcBorders>
              <w:top w:val="single" w:color="auto" w:sz="4" w:space="0"/>
              <w:left w:val="single" w:color="auto" w:sz="4" w:space="0"/>
              <w:bottom w:val="single" w:color="auto" w:sz="4" w:space="0"/>
              <w:right w:val="single" w:color="auto" w:sz="4" w:space="0"/>
            </w:tcBorders>
            <w:vAlign w:val="center"/>
          </w:tcPr>
          <w:p w14:paraId="2CDDEA60">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稳定提高</w:t>
            </w:r>
          </w:p>
        </w:tc>
        <w:tc>
          <w:tcPr>
            <w:tcW w:w="1205" w:type="dxa"/>
            <w:tcBorders>
              <w:top w:val="single" w:color="auto" w:sz="4" w:space="0"/>
              <w:left w:val="single" w:color="auto" w:sz="4" w:space="0"/>
              <w:bottom w:val="single" w:color="auto" w:sz="4" w:space="0"/>
              <w:right w:val="single" w:color="auto" w:sz="4" w:space="0"/>
            </w:tcBorders>
            <w:vAlign w:val="center"/>
          </w:tcPr>
          <w:p w14:paraId="2B447FE0">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稳定提高</w:t>
            </w:r>
          </w:p>
        </w:tc>
        <w:tc>
          <w:tcPr>
            <w:tcW w:w="1123" w:type="dxa"/>
            <w:tcBorders>
              <w:top w:val="single" w:color="auto" w:sz="4" w:space="0"/>
              <w:left w:val="single" w:color="auto" w:sz="4" w:space="0"/>
              <w:bottom w:val="single" w:color="auto" w:sz="4" w:space="0"/>
              <w:right w:val="single" w:color="auto" w:sz="4" w:space="0"/>
            </w:tcBorders>
            <w:vAlign w:val="center"/>
          </w:tcPr>
          <w:p w14:paraId="0E1A74E3">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稳定提高</w:t>
            </w:r>
          </w:p>
        </w:tc>
        <w:tc>
          <w:tcPr>
            <w:tcW w:w="992" w:type="dxa"/>
            <w:tcBorders>
              <w:top w:val="single" w:color="auto" w:sz="4" w:space="0"/>
              <w:left w:val="single" w:color="auto" w:sz="4" w:space="0"/>
              <w:bottom w:val="single" w:color="auto" w:sz="4" w:space="0"/>
              <w:right w:val="single" w:color="auto" w:sz="4" w:space="0"/>
            </w:tcBorders>
            <w:vAlign w:val="center"/>
          </w:tcPr>
          <w:p w14:paraId="309F3068">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稳定提高</w:t>
            </w:r>
          </w:p>
        </w:tc>
        <w:tc>
          <w:tcPr>
            <w:tcW w:w="992" w:type="dxa"/>
            <w:tcBorders>
              <w:top w:val="single" w:color="auto" w:sz="4" w:space="0"/>
              <w:left w:val="single" w:color="auto" w:sz="4" w:space="0"/>
              <w:bottom w:val="single" w:color="auto" w:sz="4" w:space="0"/>
              <w:right w:val="single" w:color="auto" w:sz="4" w:space="0"/>
            </w:tcBorders>
            <w:vAlign w:val="center"/>
          </w:tcPr>
          <w:p w14:paraId="19FB6A16">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区林业局</w:t>
            </w:r>
          </w:p>
        </w:tc>
        <w:tc>
          <w:tcPr>
            <w:tcW w:w="1985" w:type="dxa"/>
            <w:tcBorders>
              <w:top w:val="single" w:color="auto" w:sz="4" w:space="0"/>
              <w:left w:val="single" w:color="auto" w:sz="4" w:space="0"/>
              <w:bottom w:val="single" w:color="auto" w:sz="4" w:space="0"/>
              <w:right w:val="single" w:color="auto" w:sz="4" w:space="0"/>
            </w:tcBorders>
            <w:vAlign w:val="center"/>
          </w:tcPr>
          <w:p w14:paraId="0CAA25BB">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区农业农村委</w:t>
            </w:r>
          </w:p>
        </w:tc>
      </w:tr>
      <w:tr w14:paraId="36EF5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35" w:hRule="atLeast"/>
          <w:jc w:val="center"/>
        </w:trPr>
        <w:tc>
          <w:tcPr>
            <w:tcW w:w="458" w:type="dxa"/>
            <w:vMerge w:val="continue"/>
            <w:tcBorders>
              <w:left w:val="single" w:color="auto" w:sz="4" w:space="0"/>
              <w:right w:val="single" w:color="auto" w:sz="4" w:space="0"/>
            </w:tcBorders>
            <w:vAlign w:val="center"/>
          </w:tcPr>
          <w:p w14:paraId="691C8EF4">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p>
        </w:tc>
        <w:tc>
          <w:tcPr>
            <w:tcW w:w="503" w:type="dxa"/>
            <w:vMerge w:val="continue"/>
            <w:tcBorders>
              <w:left w:val="single" w:color="auto" w:sz="4" w:space="0"/>
              <w:right w:val="single" w:color="auto" w:sz="4" w:space="0"/>
            </w:tcBorders>
            <w:vAlign w:val="center"/>
          </w:tcPr>
          <w:p w14:paraId="742FAD87">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p>
        </w:tc>
        <w:tc>
          <w:tcPr>
            <w:tcW w:w="534" w:type="dxa"/>
            <w:tcBorders>
              <w:top w:val="single" w:color="auto" w:sz="4" w:space="0"/>
              <w:left w:val="single" w:color="auto" w:sz="4" w:space="0"/>
              <w:bottom w:val="single" w:color="auto" w:sz="4" w:space="0"/>
              <w:right w:val="single" w:color="auto" w:sz="4" w:space="0"/>
            </w:tcBorders>
            <w:vAlign w:val="center"/>
          </w:tcPr>
          <w:p w14:paraId="5A43B7A3">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9</w:t>
            </w:r>
          </w:p>
        </w:tc>
        <w:tc>
          <w:tcPr>
            <w:tcW w:w="2314" w:type="dxa"/>
            <w:tcBorders>
              <w:top w:val="single" w:color="auto" w:sz="4" w:space="0"/>
              <w:left w:val="single" w:color="auto" w:sz="4" w:space="0"/>
              <w:bottom w:val="single" w:color="auto" w:sz="4" w:space="0"/>
              <w:right w:val="single" w:color="auto" w:sz="4" w:space="0"/>
            </w:tcBorders>
            <w:vAlign w:val="center"/>
          </w:tcPr>
          <w:p w14:paraId="0C735B8A">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生态保护红线面积</w:t>
            </w:r>
          </w:p>
        </w:tc>
        <w:tc>
          <w:tcPr>
            <w:tcW w:w="485" w:type="dxa"/>
            <w:tcBorders>
              <w:top w:val="single" w:color="auto" w:sz="4" w:space="0"/>
              <w:left w:val="single" w:color="auto" w:sz="4" w:space="0"/>
              <w:bottom w:val="single" w:color="auto" w:sz="4" w:space="0"/>
              <w:right w:val="single" w:color="auto" w:sz="4" w:space="0"/>
            </w:tcBorders>
            <w:vAlign w:val="center"/>
          </w:tcPr>
          <w:p w14:paraId="39E01C88">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kern w:val="0"/>
                <w:szCs w:val="21"/>
                <w14:textFill>
                  <w14:solidFill>
                    <w14:schemeClr w14:val="tx1">
                      <w14:lumMod w14:val="95000"/>
                      <w14:lumOff w14:val="5000"/>
                    </w14:schemeClr>
                  </w14:solidFill>
                </w14:textFill>
              </w:rPr>
              <w:t>km²</w:t>
            </w:r>
          </w:p>
        </w:tc>
        <w:tc>
          <w:tcPr>
            <w:tcW w:w="1240" w:type="dxa"/>
            <w:tcBorders>
              <w:top w:val="single" w:color="auto" w:sz="4" w:space="0"/>
              <w:left w:val="single" w:color="auto" w:sz="4" w:space="0"/>
              <w:bottom w:val="single" w:color="auto" w:sz="4" w:space="0"/>
              <w:right w:val="single" w:color="auto" w:sz="4" w:space="0"/>
            </w:tcBorders>
            <w:vAlign w:val="center"/>
          </w:tcPr>
          <w:p w14:paraId="1CD70D27">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不减少</w:t>
            </w:r>
          </w:p>
        </w:tc>
        <w:tc>
          <w:tcPr>
            <w:tcW w:w="1205" w:type="dxa"/>
            <w:tcBorders>
              <w:top w:val="single" w:color="auto" w:sz="4" w:space="0"/>
              <w:left w:val="single" w:color="auto" w:sz="4" w:space="0"/>
              <w:bottom w:val="single" w:color="auto" w:sz="4" w:space="0"/>
              <w:right w:val="single" w:color="auto" w:sz="4" w:space="0"/>
            </w:tcBorders>
            <w:vAlign w:val="center"/>
          </w:tcPr>
          <w:p w14:paraId="5C18A83D">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不减少</w:t>
            </w:r>
          </w:p>
        </w:tc>
        <w:tc>
          <w:tcPr>
            <w:tcW w:w="1205" w:type="dxa"/>
            <w:tcBorders>
              <w:top w:val="single" w:color="auto" w:sz="4" w:space="0"/>
              <w:left w:val="single" w:color="auto" w:sz="4" w:space="0"/>
              <w:bottom w:val="single" w:color="auto" w:sz="4" w:space="0"/>
              <w:right w:val="single" w:color="auto" w:sz="4" w:space="0"/>
            </w:tcBorders>
            <w:vAlign w:val="center"/>
          </w:tcPr>
          <w:p w14:paraId="38E76A1B">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不减少</w:t>
            </w:r>
          </w:p>
        </w:tc>
        <w:tc>
          <w:tcPr>
            <w:tcW w:w="1205" w:type="dxa"/>
            <w:tcBorders>
              <w:top w:val="single" w:color="auto" w:sz="4" w:space="0"/>
              <w:left w:val="single" w:color="auto" w:sz="4" w:space="0"/>
              <w:bottom w:val="single" w:color="auto" w:sz="4" w:space="0"/>
              <w:right w:val="single" w:color="auto" w:sz="4" w:space="0"/>
            </w:tcBorders>
            <w:vAlign w:val="center"/>
          </w:tcPr>
          <w:p w14:paraId="194C0E50">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不减少</w:t>
            </w:r>
          </w:p>
        </w:tc>
        <w:tc>
          <w:tcPr>
            <w:tcW w:w="1205" w:type="dxa"/>
            <w:tcBorders>
              <w:top w:val="single" w:color="auto" w:sz="4" w:space="0"/>
              <w:left w:val="single" w:color="auto" w:sz="4" w:space="0"/>
              <w:bottom w:val="single" w:color="auto" w:sz="4" w:space="0"/>
              <w:right w:val="single" w:color="auto" w:sz="4" w:space="0"/>
            </w:tcBorders>
            <w:vAlign w:val="center"/>
          </w:tcPr>
          <w:p w14:paraId="2EC71680">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不减少</w:t>
            </w:r>
          </w:p>
        </w:tc>
        <w:tc>
          <w:tcPr>
            <w:tcW w:w="1123" w:type="dxa"/>
            <w:tcBorders>
              <w:top w:val="single" w:color="auto" w:sz="4" w:space="0"/>
              <w:left w:val="single" w:color="auto" w:sz="4" w:space="0"/>
              <w:bottom w:val="single" w:color="auto" w:sz="4" w:space="0"/>
              <w:right w:val="single" w:color="auto" w:sz="4" w:space="0"/>
            </w:tcBorders>
            <w:vAlign w:val="center"/>
          </w:tcPr>
          <w:p w14:paraId="7156768F">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不减少</w:t>
            </w:r>
          </w:p>
        </w:tc>
        <w:tc>
          <w:tcPr>
            <w:tcW w:w="992" w:type="dxa"/>
            <w:tcBorders>
              <w:top w:val="single" w:color="auto" w:sz="4" w:space="0"/>
              <w:left w:val="single" w:color="auto" w:sz="4" w:space="0"/>
              <w:bottom w:val="single" w:color="auto" w:sz="4" w:space="0"/>
              <w:right w:val="single" w:color="auto" w:sz="4" w:space="0"/>
            </w:tcBorders>
            <w:vAlign w:val="center"/>
          </w:tcPr>
          <w:p w14:paraId="2C7847F3">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不减少</w:t>
            </w:r>
          </w:p>
        </w:tc>
        <w:tc>
          <w:tcPr>
            <w:tcW w:w="992" w:type="dxa"/>
            <w:tcBorders>
              <w:top w:val="single" w:color="auto" w:sz="4" w:space="0"/>
              <w:left w:val="single" w:color="auto" w:sz="4" w:space="0"/>
              <w:bottom w:val="single" w:color="auto" w:sz="4" w:space="0"/>
              <w:right w:val="single" w:color="auto" w:sz="4" w:space="0"/>
            </w:tcBorders>
            <w:vAlign w:val="center"/>
          </w:tcPr>
          <w:p w14:paraId="2B599E94">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区规划自然资源局</w:t>
            </w:r>
          </w:p>
        </w:tc>
        <w:tc>
          <w:tcPr>
            <w:tcW w:w="1985" w:type="dxa"/>
            <w:tcBorders>
              <w:top w:val="single" w:color="auto" w:sz="4" w:space="0"/>
              <w:left w:val="single" w:color="auto" w:sz="4" w:space="0"/>
              <w:bottom w:val="single" w:color="auto" w:sz="4" w:space="0"/>
              <w:right w:val="single" w:color="auto" w:sz="4" w:space="0"/>
            </w:tcBorders>
            <w:vAlign w:val="center"/>
          </w:tcPr>
          <w:p w14:paraId="66DC49F0">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区生态环境局</w:t>
            </w:r>
          </w:p>
        </w:tc>
      </w:tr>
      <w:tr w14:paraId="04C33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458" w:type="dxa"/>
            <w:vMerge w:val="continue"/>
            <w:tcBorders>
              <w:left w:val="single" w:color="auto" w:sz="4" w:space="0"/>
              <w:bottom w:val="single" w:color="auto" w:sz="4" w:space="0"/>
              <w:right w:val="single" w:color="auto" w:sz="4" w:space="0"/>
            </w:tcBorders>
            <w:vAlign w:val="center"/>
          </w:tcPr>
          <w:p w14:paraId="0C454E48">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p>
        </w:tc>
        <w:tc>
          <w:tcPr>
            <w:tcW w:w="503" w:type="dxa"/>
            <w:vMerge w:val="continue"/>
            <w:tcBorders>
              <w:left w:val="single" w:color="auto" w:sz="4" w:space="0"/>
              <w:bottom w:val="single" w:color="auto" w:sz="4" w:space="0"/>
              <w:right w:val="single" w:color="auto" w:sz="4" w:space="0"/>
            </w:tcBorders>
            <w:vAlign w:val="center"/>
          </w:tcPr>
          <w:p w14:paraId="22C095CF">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p>
        </w:tc>
        <w:tc>
          <w:tcPr>
            <w:tcW w:w="534" w:type="dxa"/>
            <w:tcBorders>
              <w:top w:val="single" w:color="auto" w:sz="4" w:space="0"/>
              <w:left w:val="single" w:color="auto" w:sz="4" w:space="0"/>
              <w:bottom w:val="single" w:color="auto" w:sz="4" w:space="0"/>
              <w:right w:val="single" w:color="auto" w:sz="4" w:space="0"/>
            </w:tcBorders>
            <w:vAlign w:val="center"/>
          </w:tcPr>
          <w:p w14:paraId="17741C85">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10</w:t>
            </w:r>
          </w:p>
        </w:tc>
        <w:tc>
          <w:tcPr>
            <w:tcW w:w="2314" w:type="dxa"/>
            <w:tcBorders>
              <w:top w:val="single" w:color="auto" w:sz="4" w:space="0"/>
              <w:left w:val="single" w:color="auto" w:sz="4" w:space="0"/>
              <w:bottom w:val="single" w:color="auto" w:sz="4" w:space="0"/>
              <w:right w:val="single" w:color="auto" w:sz="4" w:space="0"/>
            </w:tcBorders>
            <w:vAlign w:val="center"/>
          </w:tcPr>
          <w:p w14:paraId="23B61653">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单位国土面积生态系统生产总值</w:t>
            </w:r>
          </w:p>
        </w:tc>
        <w:tc>
          <w:tcPr>
            <w:tcW w:w="485" w:type="dxa"/>
            <w:tcBorders>
              <w:top w:val="single" w:color="auto" w:sz="4" w:space="0"/>
              <w:left w:val="single" w:color="auto" w:sz="4" w:space="0"/>
              <w:bottom w:val="single" w:color="auto" w:sz="4" w:space="0"/>
              <w:right w:val="single" w:color="auto" w:sz="4" w:space="0"/>
            </w:tcBorders>
            <w:vAlign w:val="center"/>
          </w:tcPr>
          <w:p w14:paraId="0510ABA6">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万元</w:t>
            </w: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/亩</w:t>
            </w:r>
          </w:p>
        </w:tc>
        <w:tc>
          <w:tcPr>
            <w:tcW w:w="1240" w:type="dxa"/>
            <w:tcBorders>
              <w:top w:val="single" w:color="auto" w:sz="4" w:space="0"/>
              <w:left w:val="single" w:color="auto" w:sz="4" w:space="0"/>
              <w:bottom w:val="single" w:color="auto" w:sz="4" w:space="0"/>
              <w:right w:val="single" w:color="auto" w:sz="4" w:space="0"/>
            </w:tcBorders>
            <w:vAlign w:val="center"/>
          </w:tcPr>
          <w:p w14:paraId="24B77652">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保持稳定</w:t>
            </w:r>
          </w:p>
        </w:tc>
        <w:tc>
          <w:tcPr>
            <w:tcW w:w="1205" w:type="dxa"/>
            <w:tcBorders>
              <w:top w:val="single" w:color="auto" w:sz="4" w:space="0"/>
              <w:left w:val="single" w:color="auto" w:sz="4" w:space="0"/>
              <w:bottom w:val="single" w:color="auto" w:sz="4" w:space="0"/>
              <w:right w:val="single" w:color="auto" w:sz="4" w:space="0"/>
            </w:tcBorders>
            <w:vAlign w:val="center"/>
          </w:tcPr>
          <w:p w14:paraId="4FCC9DAA">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稳定提高</w:t>
            </w:r>
          </w:p>
        </w:tc>
        <w:tc>
          <w:tcPr>
            <w:tcW w:w="1205" w:type="dxa"/>
            <w:tcBorders>
              <w:top w:val="single" w:color="auto" w:sz="4" w:space="0"/>
              <w:left w:val="single" w:color="auto" w:sz="4" w:space="0"/>
              <w:bottom w:val="single" w:color="auto" w:sz="4" w:space="0"/>
              <w:right w:val="single" w:color="auto" w:sz="4" w:space="0"/>
            </w:tcBorders>
            <w:vAlign w:val="center"/>
          </w:tcPr>
          <w:p w14:paraId="37E78D98">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稳定提高</w:t>
            </w:r>
          </w:p>
        </w:tc>
        <w:tc>
          <w:tcPr>
            <w:tcW w:w="1205" w:type="dxa"/>
            <w:tcBorders>
              <w:top w:val="single" w:color="auto" w:sz="4" w:space="0"/>
              <w:left w:val="single" w:color="auto" w:sz="4" w:space="0"/>
              <w:bottom w:val="single" w:color="auto" w:sz="4" w:space="0"/>
              <w:right w:val="single" w:color="auto" w:sz="4" w:space="0"/>
            </w:tcBorders>
            <w:vAlign w:val="center"/>
          </w:tcPr>
          <w:p w14:paraId="5696D819">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稳定提高</w:t>
            </w:r>
          </w:p>
        </w:tc>
        <w:tc>
          <w:tcPr>
            <w:tcW w:w="1205" w:type="dxa"/>
            <w:tcBorders>
              <w:top w:val="single" w:color="auto" w:sz="4" w:space="0"/>
              <w:left w:val="single" w:color="auto" w:sz="4" w:space="0"/>
              <w:bottom w:val="single" w:color="auto" w:sz="4" w:space="0"/>
              <w:right w:val="single" w:color="auto" w:sz="4" w:space="0"/>
            </w:tcBorders>
            <w:vAlign w:val="center"/>
          </w:tcPr>
          <w:p w14:paraId="5F8F2F88">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稳定提高</w:t>
            </w:r>
          </w:p>
        </w:tc>
        <w:tc>
          <w:tcPr>
            <w:tcW w:w="1123" w:type="dxa"/>
            <w:tcBorders>
              <w:top w:val="single" w:color="auto" w:sz="4" w:space="0"/>
              <w:left w:val="single" w:color="auto" w:sz="4" w:space="0"/>
              <w:bottom w:val="single" w:color="auto" w:sz="4" w:space="0"/>
              <w:right w:val="single" w:color="auto" w:sz="4" w:space="0"/>
            </w:tcBorders>
            <w:vAlign w:val="center"/>
          </w:tcPr>
          <w:p w14:paraId="50EE9BB3">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稳定提高</w:t>
            </w:r>
          </w:p>
        </w:tc>
        <w:tc>
          <w:tcPr>
            <w:tcW w:w="992" w:type="dxa"/>
            <w:tcBorders>
              <w:top w:val="single" w:color="auto" w:sz="4" w:space="0"/>
              <w:left w:val="single" w:color="auto" w:sz="4" w:space="0"/>
              <w:bottom w:val="single" w:color="auto" w:sz="4" w:space="0"/>
              <w:right w:val="single" w:color="auto" w:sz="4" w:space="0"/>
            </w:tcBorders>
            <w:vAlign w:val="center"/>
          </w:tcPr>
          <w:p w14:paraId="05F5898E">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稳定提高</w:t>
            </w:r>
          </w:p>
        </w:tc>
        <w:tc>
          <w:tcPr>
            <w:tcW w:w="992" w:type="dxa"/>
            <w:tcBorders>
              <w:top w:val="single" w:color="auto" w:sz="4" w:space="0"/>
              <w:left w:val="single" w:color="auto" w:sz="4" w:space="0"/>
              <w:bottom w:val="single" w:color="auto" w:sz="4" w:space="0"/>
              <w:right w:val="single" w:color="auto" w:sz="4" w:space="0"/>
            </w:tcBorders>
            <w:vAlign w:val="center"/>
          </w:tcPr>
          <w:p w14:paraId="557F4F54">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区规划自然资源局</w:t>
            </w:r>
          </w:p>
        </w:tc>
        <w:tc>
          <w:tcPr>
            <w:tcW w:w="1985" w:type="dxa"/>
            <w:tcBorders>
              <w:top w:val="single" w:color="auto" w:sz="4" w:space="0"/>
              <w:left w:val="single" w:color="auto" w:sz="4" w:space="0"/>
              <w:bottom w:val="single" w:color="auto" w:sz="4" w:space="0"/>
              <w:right w:val="single" w:color="auto" w:sz="4" w:space="0"/>
            </w:tcBorders>
            <w:vAlign w:val="center"/>
          </w:tcPr>
          <w:p w14:paraId="6EC533E4">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区发展改革委、区农业农村委、区林业局、区经济信息委、区生态环境局</w:t>
            </w:r>
          </w:p>
        </w:tc>
      </w:tr>
      <w:tr w14:paraId="2E2C2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458" w:type="dxa"/>
            <w:vMerge w:val="restart"/>
            <w:tcBorders>
              <w:top w:val="single" w:color="auto" w:sz="4" w:space="0"/>
              <w:left w:val="single" w:color="auto" w:sz="4" w:space="0"/>
              <w:right w:val="single" w:color="auto" w:sz="4" w:space="0"/>
            </w:tcBorders>
            <w:vAlign w:val="center"/>
          </w:tcPr>
          <w:p w14:paraId="5110B068">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推动</w:t>
            </w: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w:t>
            </w: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两山</w:t>
            </w: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w:t>
            </w: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转化</w:t>
            </w:r>
          </w:p>
        </w:tc>
        <w:tc>
          <w:tcPr>
            <w:tcW w:w="503" w:type="dxa"/>
            <w:tcBorders>
              <w:top w:val="single" w:color="auto" w:sz="4" w:space="0"/>
              <w:left w:val="single" w:color="auto" w:sz="4" w:space="0"/>
              <w:bottom w:val="single" w:color="auto" w:sz="4" w:space="0"/>
              <w:right w:val="single" w:color="auto" w:sz="4" w:space="0"/>
            </w:tcBorders>
            <w:vAlign w:val="center"/>
          </w:tcPr>
          <w:p w14:paraId="51278478">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民生福祉</w:t>
            </w:r>
          </w:p>
        </w:tc>
        <w:tc>
          <w:tcPr>
            <w:tcW w:w="534" w:type="dxa"/>
            <w:tcBorders>
              <w:top w:val="single" w:color="auto" w:sz="4" w:space="0"/>
              <w:left w:val="single" w:color="auto" w:sz="4" w:space="0"/>
              <w:bottom w:val="single" w:color="auto" w:sz="4" w:space="0"/>
              <w:right w:val="single" w:color="auto" w:sz="4" w:space="0"/>
            </w:tcBorders>
            <w:vAlign w:val="center"/>
          </w:tcPr>
          <w:p w14:paraId="23CE9B0D">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11</w:t>
            </w:r>
          </w:p>
        </w:tc>
        <w:tc>
          <w:tcPr>
            <w:tcW w:w="2314" w:type="dxa"/>
            <w:tcBorders>
              <w:top w:val="single" w:color="auto" w:sz="4" w:space="0"/>
              <w:left w:val="single" w:color="auto" w:sz="4" w:space="0"/>
              <w:bottom w:val="single" w:color="auto" w:sz="4" w:space="0"/>
              <w:right w:val="single" w:color="auto" w:sz="4" w:space="0"/>
            </w:tcBorders>
            <w:vAlign w:val="center"/>
          </w:tcPr>
          <w:p w14:paraId="00BB89F9">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居民人均生态产品产值占比</w:t>
            </w:r>
          </w:p>
        </w:tc>
        <w:tc>
          <w:tcPr>
            <w:tcW w:w="485" w:type="dxa"/>
            <w:tcBorders>
              <w:top w:val="single" w:color="auto" w:sz="4" w:space="0"/>
              <w:left w:val="single" w:color="auto" w:sz="4" w:space="0"/>
              <w:bottom w:val="single" w:color="auto" w:sz="4" w:space="0"/>
              <w:right w:val="single" w:color="auto" w:sz="4" w:space="0"/>
            </w:tcBorders>
            <w:vAlign w:val="center"/>
          </w:tcPr>
          <w:p w14:paraId="18400BF1">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w:t>
            </w:r>
          </w:p>
        </w:tc>
        <w:tc>
          <w:tcPr>
            <w:tcW w:w="1240" w:type="dxa"/>
            <w:tcBorders>
              <w:top w:val="single" w:color="auto" w:sz="4" w:space="0"/>
              <w:left w:val="single" w:color="auto" w:sz="4" w:space="0"/>
              <w:bottom w:val="single" w:color="auto" w:sz="4" w:space="0"/>
              <w:right w:val="single" w:color="auto" w:sz="4" w:space="0"/>
            </w:tcBorders>
            <w:vAlign w:val="center"/>
          </w:tcPr>
          <w:p w14:paraId="1ACD2562">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保持稳定</w:t>
            </w:r>
          </w:p>
        </w:tc>
        <w:tc>
          <w:tcPr>
            <w:tcW w:w="1205" w:type="dxa"/>
            <w:tcBorders>
              <w:top w:val="single" w:color="auto" w:sz="4" w:space="0"/>
              <w:left w:val="single" w:color="auto" w:sz="4" w:space="0"/>
              <w:bottom w:val="single" w:color="auto" w:sz="4" w:space="0"/>
              <w:right w:val="single" w:color="auto" w:sz="4" w:space="0"/>
            </w:tcBorders>
            <w:vAlign w:val="center"/>
          </w:tcPr>
          <w:p w14:paraId="17F26A53">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稳定提高</w:t>
            </w:r>
          </w:p>
        </w:tc>
        <w:tc>
          <w:tcPr>
            <w:tcW w:w="1205" w:type="dxa"/>
            <w:tcBorders>
              <w:top w:val="single" w:color="auto" w:sz="4" w:space="0"/>
              <w:left w:val="single" w:color="auto" w:sz="4" w:space="0"/>
              <w:bottom w:val="single" w:color="auto" w:sz="4" w:space="0"/>
              <w:right w:val="single" w:color="auto" w:sz="4" w:space="0"/>
            </w:tcBorders>
            <w:vAlign w:val="center"/>
          </w:tcPr>
          <w:p w14:paraId="4426F647">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稳定提高</w:t>
            </w:r>
          </w:p>
        </w:tc>
        <w:tc>
          <w:tcPr>
            <w:tcW w:w="1205" w:type="dxa"/>
            <w:tcBorders>
              <w:top w:val="single" w:color="auto" w:sz="4" w:space="0"/>
              <w:left w:val="single" w:color="auto" w:sz="4" w:space="0"/>
              <w:bottom w:val="single" w:color="auto" w:sz="4" w:space="0"/>
              <w:right w:val="single" w:color="auto" w:sz="4" w:space="0"/>
            </w:tcBorders>
            <w:vAlign w:val="center"/>
          </w:tcPr>
          <w:p w14:paraId="72BEE4C4">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稳定提高</w:t>
            </w:r>
          </w:p>
        </w:tc>
        <w:tc>
          <w:tcPr>
            <w:tcW w:w="1205" w:type="dxa"/>
            <w:tcBorders>
              <w:top w:val="single" w:color="auto" w:sz="4" w:space="0"/>
              <w:left w:val="single" w:color="auto" w:sz="4" w:space="0"/>
              <w:bottom w:val="single" w:color="auto" w:sz="4" w:space="0"/>
              <w:right w:val="single" w:color="auto" w:sz="4" w:space="0"/>
            </w:tcBorders>
            <w:vAlign w:val="center"/>
          </w:tcPr>
          <w:p w14:paraId="368D4826">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稳定提高</w:t>
            </w:r>
          </w:p>
        </w:tc>
        <w:tc>
          <w:tcPr>
            <w:tcW w:w="1123" w:type="dxa"/>
            <w:tcBorders>
              <w:top w:val="single" w:color="auto" w:sz="4" w:space="0"/>
              <w:left w:val="single" w:color="auto" w:sz="4" w:space="0"/>
              <w:bottom w:val="single" w:color="auto" w:sz="4" w:space="0"/>
              <w:right w:val="single" w:color="auto" w:sz="4" w:space="0"/>
            </w:tcBorders>
            <w:vAlign w:val="center"/>
          </w:tcPr>
          <w:p w14:paraId="654C117D">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稳定提高</w:t>
            </w:r>
          </w:p>
        </w:tc>
        <w:tc>
          <w:tcPr>
            <w:tcW w:w="992" w:type="dxa"/>
            <w:tcBorders>
              <w:top w:val="single" w:color="auto" w:sz="4" w:space="0"/>
              <w:left w:val="single" w:color="auto" w:sz="4" w:space="0"/>
              <w:bottom w:val="single" w:color="auto" w:sz="4" w:space="0"/>
              <w:right w:val="single" w:color="auto" w:sz="4" w:space="0"/>
            </w:tcBorders>
            <w:vAlign w:val="center"/>
          </w:tcPr>
          <w:p w14:paraId="5C52A677">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稳定提高</w:t>
            </w:r>
          </w:p>
        </w:tc>
        <w:tc>
          <w:tcPr>
            <w:tcW w:w="992" w:type="dxa"/>
            <w:tcBorders>
              <w:top w:val="single" w:color="auto" w:sz="4" w:space="0"/>
              <w:left w:val="single" w:color="auto" w:sz="4" w:space="0"/>
              <w:bottom w:val="single" w:color="auto" w:sz="4" w:space="0"/>
              <w:right w:val="single" w:color="auto" w:sz="4" w:space="0"/>
            </w:tcBorders>
            <w:vAlign w:val="center"/>
          </w:tcPr>
          <w:p w14:paraId="472CD911">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区规划自然资源局</w:t>
            </w:r>
          </w:p>
        </w:tc>
        <w:tc>
          <w:tcPr>
            <w:tcW w:w="1985" w:type="dxa"/>
            <w:tcBorders>
              <w:top w:val="single" w:color="auto" w:sz="4" w:space="0"/>
              <w:left w:val="single" w:color="auto" w:sz="4" w:space="0"/>
              <w:bottom w:val="single" w:color="auto" w:sz="4" w:space="0"/>
              <w:right w:val="single" w:color="auto" w:sz="4" w:space="0"/>
            </w:tcBorders>
            <w:vAlign w:val="center"/>
          </w:tcPr>
          <w:p w14:paraId="366FF983">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区发展改革委、区农业农村委、区林业局、区经济信息委、区生态环境局</w:t>
            </w:r>
          </w:p>
        </w:tc>
      </w:tr>
      <w:tr w14:paraId="1867A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458" w:type="dxa"/>
            <w:vMerge w:val="continue"/>
            <w:tcBorders>
              <w:left w:val="single" w:color="auto" w:sz="4" w:space="0"/>
              <w:right w:val="single" w:color="auto" w:sz="4" w:space="0"/>
            </w:tcBorders>
            <w:vAlign w:val="center"/>
          </w:tcPr>
          <w:p w14:paraId="4DBD107C">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p>
        </w:tc>
        <w:tc>
          <w:tcPr>
            <w:tcW w:w="503" w:type="dxa"/>
            <w:vMerge w:val="restart"/>
            <w:tcBorders>
              <w:top w:val="single" w:color="auto" w:sz="4" w:space="0"/>
              <w:left w:val="single" w:color="auto" w:sz="4" w:space="0"/>
              <w:right w:val="single" w:color="auto" w:sz="4" w:space="0"/>
            </w:tcBorders>
            <w:vAlign w:val="center"/>
          </w:tcPr>
          <w:p w14:paraId="2D317EF1">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生态经济</w:t>
            </w:r>
          </w:p>
        </w:tc>
        <w:tc>
          <w:tcPr>
            <w:tcW w:w="534" w:type="dxa"/>
            <w:tcBorders>
              <w:top w:val="single" w:color="auto" w:sz="4" w:space="0"/>
              <w:left w:val="single" w:color="auto" w:sz="4" w:space="0"/>
              <w:bottom w:val="single" w:color="auto" w:sz="4" w:space="0"/>
              <w:right w:val="single" w:color="auto" w:sz="4" w:space="0"/>
            </w:tcBorders>
            <w:vAlign w:val="center"/>
          </w:tcPr>
          <w:p w14:paraId="02E5BB4F">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12</w:t>
            </w:r>
          </w:p>
        </w:tc>
        <w:tc>
          <w:tcPr>
            <w:tcW w:w="2314" w:type="dxa"/>
            <w:vAlign w:val="center"/>
          </w:tcPr>
          <w:p w14:paraId="25FE659E">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绿色、有机农产品产值占农业总产值比重</w:t>
            </w:r>
          </w:p>
        </w:tc>
        <w:tc>
          <w:tcPr>
            <w:tcW w:w="485" w:type="dxa"/>
            <w:tcBorders>
              <w:top w:val="single" w:color="auto" w:sz="4" w:space="0"/>
              <w:left w:val="single" w:color="auto" w:sz="4" w:space="0"/>
              <w:bottom w:val="single" w:color="auto" w:sz="4" w:space="0"/>
              <w:right w:val="single" w:color="auto" w:sz="4" w:space="0"/>
            </w:tcBorders>
            <w:vAlign w:val="center"/>
          </w:tcPr>
          <w:p w14:paraId="6D6514A7">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w:t>
            </w:r>
          </w:p>
        </w:tc>
        <w:tc>
          <w:tcPr>
            <w:tcW w:w="1240" w:type="dxa"/>
            <w:tcBorders>
              <w:top w:val="single" w:color="auto" w:sz="4" w:space="0"/>
              <w:left w:val="single" w:color="auto" w:sz="4" w:space="0"/>
              <w:bottom w:val="single" w:color="auto" w:sz="4" w:space="0"/>
              <w:right w:val="single" w:color="auto" w:sz="4" w:space="0"/>
            </w:tcBorders>
            <w:vAlign w:val="center"/>
          </w:tcPr>
          <w:p w14:paraId="4E97F13F">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28.16</w:t>
            </w:r>
          </w:p>
        </w:tc>
        <w:tc>
          <w:tcPr>
            <w:tcW w:w="1205" w:type="dxa"/>
            <w:tcBorders>
              <w:top w:val="single" w:color="auto" w:sz="4" w:space="0"/>
              <w:left w:val="single" w:color="auto" w:sz="4" w:space="0"/>
              <w:bottom w:val="single" w:color="auto" w:sz="4" w:space="0"/>
              <w:right w:val="single" w:color="auto" w:sz="4" w:space="0"/>
            </w:tcBorders>
            <w:vAlign w:val="center"/>
          </w:tcPr>
          <w:p w14:paraId="398811FE">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稳定提高</w:t>
            </w:r>
          </w:p>
        </w:tc>
        <w:tc>
          <w:tcPr>
            <w:tcW w:w="1205" w:type="dxa"/>
            <w:tcBorders>
              <w:top w:val="single" w:color="auto" w:sz="4" w:space="0"/>
              <w:left w:val="single" w:color="auto" w:sz="4" w:space="0"/>
              <w:bottom w:val="single" w:color="auto" w:sz="4" w:space="0"/>
              <w:right w:val="single" w:color="auto" w:sz="4" w:space="0"/>
            </w:tcBorders>
            <w:vAlign w:val="center"/>
          </w:tcPr>
          <w:p w14:paraId="3672B208">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稳定提高</w:t>
            </w:r>
          </w:p>
        </w:tc>
        <w:tc>
          <w:tcPr>
            <w:tcW w:w="1205" w:type="dxa"/>
            <w:tcBorders>
              <w:top w:val="single" w:color="auto" w:sz="4" w:space="0"/>
              <w:left w:val="single" w:color="auto" w:sz="4" w:space="0"/>
              <w:bottom w:val="single" w:color="auto" w:sz="4" w:space="0"/>
              <w:right w:val="single" w:color="auto" w:sz="4" w:space="0"/>
            </w:tcBorders>
            <w:vAlign w:val="center"/>
          </w:tcPr>
          <w:p w14:paraId="14726641">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稳定提高</w:t>
            </w:r>
          </w:p>
        </w:tc>
        <w:tc>
          <w:tcPr>
            <w:tcW w:w="1205" w:type="dxa"/>
            <w:tcBorders>
              <w:top w:val="single" w:color="auto" w:sz="4" w:space="0"/>
              <w:left w:val="single" w:color="auto" w:sz="4" w:space="0"/>
              <w:bottom w:val="single" w:color="auto" w:sz="4" w:space="0"/>
              <w:right w:val="single" w:color="auto" w:sz="4" w:space="0"/>
            </w:tcBorders>
            <w:vAlign w:val="center"/>
          </w:tcPr>
          <w:p w14:paraId="57B9F552">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稳定提高</w:t>
            </w:r>
          </w:p>
        </w:tc>
        <w:tc>
          <w:tcPr>
            <w:tcW w:w="1123" w:type="dxa"/>
            <w:tcBorders>
              <w:top w:val="single" w:color="auto" w:sz="4" w:space="0"/>
              <w:left w:val="single" w:color="auto" w:sz="4" w:space="0"/>
              <w:bottom w:val="single" w:color="auto" w:sz="4" w:space="0"/>
              <w:right w:val="single" w:color="auto" w:sz="4" w:space="0"/>
            </w:tcBorders>
            <w:vAlign w:val="center"/>
          </w:tcPr>
          <w:p w14:paraId="79402404">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稳定提高</w:t>
            </w:r>
          </w:p>
        </w:tc>
        <w:tc>
          <w:tcPr>
            <w:tcW w:w="992" w:type="dxa"/>
            <w:tcBorders>
              <w:top w:val="single" w:color="auto" w:sz="4" w:space="0"/>
              <w:left w:val="single" w:color="auto" w:sz="4" w:space="0"/>
              <w:bottom w:val="single" w:color="auto" w:sz="4" w:space="0"/>
              <w:right w:val="single" w:color="auto" w:sz="4" w:space="0"/>
            </w:tcBorders>
            <w:vAlign w:val="center"/>
          </w:tcPr>
          <w:p w14:paraId="487D56DD">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稳定提高</w:t>
            </w:r>
          </w:p>
        </w:tc>
        <w:tc>
          <w:tcPr>
            <w:tcW w:w="992" w:type="dxa"/>
            <w:tcBorders>
              <w:top w:val="single" w:color="auto" w:sz="4" w:space="0"/>
              <w:left w:val="single" w:color="auto" w:sz="4" w:space="0"/>
              <w:bottom w:val="single" w:color="auto" w:sz="4" w:space="0"/>
              <w:right w:val="single" w:color="auto" w:sz="4" w:space="0"/>
            </w:tcBorders>
            <w:vAlign w:val="center"/>
          </w:tcPr>
          <w:p w14:paraId="7F13EBF6">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区农业农村委</w:t>
            </w:r>
          </w:p>
        </w:tc>
        <w:tc>
          <w:tcPr>
            <w:tcW w:w="1985" w:type="dxa"/>
            <w:tcBorders>
              <w:top w:val="single" w:color="auto" w:sz="4" w:space="0"/>
              <w:left w:val="single" w:color="auto" w:sz="4" w:space="0"/>
              <w:bottom w:val="single" w:color="auto" w:sz="4" w:space="0"/>
              <w:right w:val="single" w:color="auto" w:sz="4" w:space="0"/>
            </w:tcBorders>
            <w:vAlign w:val="center"/>
          </w:tcPr>
          <w:p w14:paraId="2FE2BA4D">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w:t>
            </w:r>
          </w:p>
        </w:tc>
      </w:tr>
      <w:tr w14:paraId="273E4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458" w:type="dxa"/>
            <w:vMerge w:val="continue"/>
            <w:tcBorders>
              <w:left w:val="single" w:color="auto" w:sz="4" w:space="0"/>
              <w:right w:val="single" w:color="auto" w:sz="4" w:space="0"/>
            </w:tcBorders>
            <w:vAlign w:val="center"/>
          </w:tcPr>
          <w:p w14:paraId="6C8DD462">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p>
        </w:tc>
        <w:tc>
          <w:tcPr>
            <w:tcW w:w="503" w:type="dxa"/>
            <w:vMerge w:val="continue"/>
            <w:tcBorders>
              <w:left w:val="single" w:color="auto" w:sz="4" w:space="0"/>
              <w:right w:val="single" w:color="auto" w:sz="4" w:space="0"/>
            </w:tcBorders>
            <w:vAlign w:val="center"/>
          </w:tcPr>
          <w:p w14:paraId="24237D1E">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p>
        </w:tc>
        <w:tc>
          <w:tcPr>
            <w:tcW w:w="534" w:type="dxa"/>
            <w:tcBorders>
              <w:top w:val="single" w:color="auto" w:sz="4" w:space="0"/>
              <w:left w:val="single" w:color="auto" w:sz="4" w:space="0"/>
              <w:bottom w:val="single" w:color="auto" w:sz="4" w:space="0"/>
              <w:right w:val="single" w:color="auto" w:sz="4" w:space="0"/>
            </w:tcBorders>
            <w:vAlign w:val="center"/>
          </w:tcPr>
          <w:p w14:paraId="4942CAFB">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1</w:t>
            </w: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3</w:t>
            </w:r>
          </w:p>
        </w:tc>
        <w:tc>
          <w:tcPr>
            <w:tcW w:w="2314" w:type="dxa"/>
            <w:vAlign w:val="center"/>
          </w:tcPr>
          <w:p w14:paraId="7ECF7E14">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bookmarkStart w:id="162" w:name="_Hlk50306412"/>
            <w:bookmarkStart w:id="163" w:name="_Hlk50306423"/>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生态加工业</w:t>
            </w:r>
            <w:bookmarkEnd w:id="162"/>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产值占工业总产值比重</w:t>
            </w:r>
            <w:bookmarkEnd w:id="163"/>
          </w:p>
        </w:tc>
        <w:tc>
          <w:tcPr>
            <w:tcW w:w="485" w:type="dxa"/>
            <w:tcBorders>
              <w:top w:val="single" w:color="auto" w:sz="4" w:space="0"/>
              <w:left w:val="single" w:color="auto" w:sz="4" w:space="0"/>
              <w:bottom w:val="single" w:color="auto" w:sz="4" w:space="0"/>
              <w:right w:val="single" w:color="auto" w:sz="4" w:space="0"/>
            </w:tcBorders>
            <w:vAlign w:val="center"/>
          </w:tcPr>
          <w:p w14:paraId="53E1F91A">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w:t>
            </w:r>
          </w:p>
        </w:tc>
        <w:tc>
          <w:tcPr>
            <w:tcW w:w="1240" w:type="dxa"/>
            <w:tcBorders>
              <w:top w:val="single" w:color="auto" w:sz="4" w:space="0"/>
              <w:left w:val="single" w:color="auto" w:sz="4" w:space="0"/>
              <w:bottom w:val="single" w:color="auto" w:sz="4" w:space="0"/>
              <w:right w:val="single" w:color="auto" w:sz="4" w:space="0"/>
            </w:tcBorders>
            <w:vAlign w:val="center"/>
          </w:tcPr>
          <w:p w14:paraId="2195AC44">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1</w:t>
            </w: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.78</w:t>
            </w:r>
          </w:p>
        </w:tc>
        <w:tc>
          <w:tcPr>
            <w:tcW w:w="1205" w:type="dxa"/>
            <w:tcBorders>
              <w:top w:val="single" w:color="auto" w:sz="4" w:space="0"/>
              <w:left w:val="single" w:color="auto" w:sz="4" w:space="0"/>
              <w:bottom w:val="single" w:color="auto" w:sz="4" w:space="0"/>
              <w:right w:val="single" w:color="auto" w:sz="4" w:space="0"/>
            </w:tcBorders>
            <w:vAlign w:val="center"/>
          </w:tcPr>
          <w:p w14:paraId="06393DB4">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稳定提高</w:t>
            </w:r>
          </w:p>
        </w:tc>
        <w:tc>
          <w:tcPr>
            <w:tcW w:w="1205" w:type="dxa"/>
            <w:tcBorders>
              <w:top w:val="single" w:color="auto" w:sz="4" w:space="0"/>
              <w:left w:val="single" w:color="auto" w:sz="4" w:space="0"/>
              <w:bottom w:val="single" w:color="auto" w:sz="4" w:space="0"/>
              <w:right w:val="single" w:color="auto" w:sz="4" w:space="0"/>
            </w:tcBorders>
            <w:vAlign w:val="center"/>
          </w:tcPr>
          <w:p w14:paraId="743916CF">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稳定提高</w:t>
            </w:r>
          </w:p>
        </w:tc>
        <w:tc>
          <w:tcPr>
            <w:tcW w:w="1205" w:type="dxa"/>
            <w:tcBorders>
              <w:top w:val="single" w:color="auto" w:sz="4" w:space="0"/>
              <w:left w:val="single" w:color="auto" w:sz="4" w:space="0"/>
              <w:bottom w:val="single" w:color="auto" w:sz="4" w:space="0"/>
              <w:right w:val="single" w:color="auto" w:sz="4" w:space="0"/>
            </w:tcBorders>
            <w:vAlign w:val="center"/>
          </w:tcPr>
          <w:p w14:paraId="0AA8B78D">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稳定提高</w:t>
            </w:r>
          </w:p>
        </w:tc>
        <w:tc>
          <w:tcPr>
            <w:tcW w:w="1205" w:type="dxa"/>
            <w:tcBorders>
              <w:top w:val="single" w:color="auto" w:sz="4" w:space="0"/>
              <w:left w:val="single" w:color="auto" w:sz="4" w:space="0"/>
              <w:bottom w:val="single" w:color="auto" w:sz="4" w:space="0"/>
              <w:right w:val="single" w:color="auto" w:sz="4" w:space="0"/>
            </w:tcBorders>
            <w:vAlign w:val="center"/>
          </w:tcPr>
          <w:p w14:paraId="69DD7EF4">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稳定提高</w:t>
            </w:r>
          </w:p>
        </w:tc>
        <w:tc>
          <w:tcPr>
            <w:tcW w:w="1123" w:type="dxa"/>
            <w:tcBorders>
              <w:top w:val="single" w:color="auto" w:sz="4" w:space="0"/>
              <w:left w:val="single" w:color="auto" w:sz="4" w:space="0"/>
              <w:bottom w:val="single" w:color="auto" w:sz="4" w:space="0"/>
              <w:right w:val="single" w:color="auto" w:sz="4" w:space="0"/>
            </w:tcBorders>
            <w:vAlign w:val="center"/>
          </w:tcPr>
          <w:p w14:paraId="2FD2CA31">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稳定提高</w:t>
            </w:r>
          </w:p>
        </w:tc>
        <w:tc>
          <w:tcPr>
            <w:tcW w:w="992" w:type="dxa"/>
            <w:tcBorders>
              <w:top w:val="single" w:color="auto" w:sz="4" w:space="0"/>
              <w:left w:val="single" w:color="auto" w:sz="4" w:space="0"/>
              <w:bottom w:val="single" w:color="auto" w:sz="4" w:space="0"/>
              <w:right w:val="single" w:color="auto" w:sz="4" w:space="0"/>
            </w:tcBorders>
            <w:vAlign w:val="center"/>
          </w:tcPr>
          <w:p w14:paraId="7AFFF6B2">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稳定提高</w:t>
            </w:r>
          </w:p>
        </w:tc>
        <w:tc>
          <w:tcPr>
            <w:tcW w:w="992" w:type="dxa"/>
            <w:tcBorders>
              <w:top w:val="single" w:color="auto" w:sz="4" w:space="0"/>
              <w:left w:val="single" w:color="auto" w:sz="4" w:space="0"/>
              <w:bottom w:val="single" w:color="auto" w:sz="4" w:space="0"/>
              <w:right w:val="single" w:color="auto" w:sz="4" w:space="0"/>
            </w:tcBorders>
            <w:vAlign w:val="center"/>
          </w:tcPr>
          <w:p w14:paraId="3FD23DAB">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区经济信息委</w:t>
            </w:r>
          </w:p>
        </w:tc>
        <w:tc>
          <w:tcPr>
            <w:tcW w:w="1985" w:type="dxa"/>
            <w:tcBorders>
              <w:top w:val="single" w:color="auto" w:sz="4" w:space="0"/>
              <w:left w:val="single" w:color="auto" w:sz="4" w:space="0"/>
              <w:bottom w:val="single" w:color="auto" w:sz="4" w:space="0"/>
              <w:right w:val="single" w:color="auto" w:sz="4" w:space="0"/>
            </w:tcBorders>
            <w:vAlign w:val="center"/>
          </w:tcPr>
          <w:p w14:paraId="245791DF">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w:t>
            </w:r>
          </w:p>
        </w:tc>
      </w:tr>
      <w:tr w14:paraId="76542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458" w:type="dxa"/>
            <w:vMerge w:val="continue"/>
            <w:tcBorders>
              <w:left w:val="single" w:color="auto" w:sz="4" w:space="0"/>
              <w:right w:val="single" w:color="auto" w:sz="4" w:space="0"/>
            </w:tcBorders>
            <w:vAlign w:val="center"/>
          </w:tcPr>
          <w:p w14:paraId="1525A529">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p>
        </w:tc>
        <w:tc>
          <w:tcPr>
            <w:tcW w:w="503" w:type="dxa"/>
            <w:vMerge w:val="continue"/>
            <w:tcBorders>
              <w:left w:val="single" w:color="auto" w:sz="4" w:space="0"/>
              <w:right w:val="single" w:color="auto" w:sz="4" w:space="0"/>
            </w:tcBorders>
            <w:vAlign w:val="center"/>
          </w:tcPr>
          <w:p w14:paraId="428594EA">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p>
        </w:tc>
        <w:tc>
          <w:tcPr>
            <w:tcW w:w="534" w:type="dxa"/>
            <w:tcBorders>
              <w:top w:val="single" w:color="auto" w:sz="4" w:space="0"/>
              <w:left w:val="single" w:color="auto" w:sz="4" w:space="0"/>
              <w:bottom w:val="single" w:color="auto" w:sz="4" w:space="0"/>
              <w:right w:val="single" w:color="auto" w:sz="4" w:space="0"/>
            </w:tcBorders>
            <w:vAlign w:val="center"/>
          </w:tcPr>
          <w:p w14:paraId="21BBDD37">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14</w:t>
            </w:r>
          </w:p>
        </w:tc>
        <w:tc>
          <w:tcPr>
            <w:tcW w:w="2314" w:type="dxa"/>
            <w:tcBorders>
              <w:top w:val="single" w:color="auto" w:sz="4" w:space="0"/>
              <w:left w:val="single" w:color="auto" w:sz="4" w:space="0"/>
              <w:bottom w:val="single" w:color="auto" w:sz="4" w:space="0"/>
              <w:right w:val="single" w:color="auto" w:sz="4" w:space="0"/>
            </w:tcBorders>
            <w:vAlign w:val="center"/>
          </w:tcPr>
          <w:p w14:paraId="3002AB0F">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生态旅游收入占服务业总产值比重</w:t>
            </w:r>
          </w:p>
        </w:tc>
        <w:tc>
          <w:tcPr>
            <w:tcW w:w="485" w:type="dxa"/>
            <w:tcBorders>
              <w:top w:val="single" w:color="auto" w:sz="4" w:space="0"/>
              <w:left w:val="single" w:color="auto" w:sz="4" w:space="0"/>
              <w:bottom w:val="single" w:color="auto" w:sz="4" w:space="0"/>
              <w:right w:val="single" w:color="auto" w:sz="4" w:space="0"/>
            </w:tcBorders>
            <w:vAlign w:val="center"/>
          </w:tcPr>
          <w:p w14:paraId="264B9192">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w:t>
            </w:r>
          </w:p>
        </w:tc>
        <w:tc>
          <w:tcPr>
            <w:tcW w:w="1240" w:type="dxa"/>
            <w:tcBorders>
              <w:top w:val="single" w:color="auto" w:sz="4" w:space="0"/>
              <w:left w:val="single" w:color="auto" w:sz="4" w:space="0"/>
              <w:bottom w:val="single" w:color="auto" w:sz="4" w:space="0"/>
              <w:right w:val="single" w:color="auto" w:sz="4" w:space="0"/>
            </w:tcBorders>
            <w:vAlign w:val="center"/>
          </w:tcPr>
          <w:p w14:paraId="47C2BEB8">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3</w:t>
            </w: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8.97</w:t>
            </w:r>
          </w:p>
        </w:tc>
        <w:tc>
          <w:tcPr>
            <w:tcW w:w="1205" w:type="dxa"/>
            <w:tcBorders>
              <w:top w:val="single" w:color="auto" w:sz="4" w:space="0"/>
              <w:left w:val="single" w:color="auto" w:sz="4" w:space="0"/>
              <w:bottom w:val="single" w:color="auto" w:sz="4" w:space="0"/>
              <w:right w:val="single" w:color="auto" w:sz="4" w:space="0"/>
            </w:tcBorders>
            <w:vAlign w:val="center"/>
          </w:tcPr>
          <w:p w14:paraId="47E9A8A6">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稳定提高</w:t>
            </w:r>
          </w:p>
        </w:tc>
        <w:tc>
          <w:tcPr>
            <w:tcW w:w="1205" w:type="dxa"/>
            <w:tcBorders>
              <w:top w:val="single" w:color="auto" w:sz="4" w:space="0"/>
              <w:left w:val="single" w:color="auto" w:sz="4" w:space="0"/>
              <w:bottom w:val="single" w:color="auto" w:sz="4" w:space="0"/>
              <w:right w:val="single" w:color="auto" w:sz="4" w:space="0"/>
            </w:tcBorders>
            <w:vAlign w:val="center"/>
          </w:tcPr>
          <w:p w14:paraId="01C37C63">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稳定提高</w:t>
            </w:r>
          </w:p>
        </w:tc>
        <w:tc>
          <w:tcPr>
            <w:tcW w:w="1205" w:type="dxa"/>
            <w:tcBorders>
              <w:top w:val="single" w:color="auto" w:sz="4" w:space="0"/>
              <w:left w:val="single" w:color="auto" w:sz="4" w:space="0"/>
              <w:bottom w:val="single" w:color="auto" w:sz="4" w:space="0"/>
              <w:right w:val="single" w:color="auto" w:sz="4" w:space="0"/>
            </w:tcBorders>
            <w:vAlign w:val="center"/>
          </w:tcPr>
          <w:p w14:paraId="6BB6101D">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稳定提高</w:t>
            </w:r>
          </w:p>
        </w:tc>
        <w:tc>
          <w:tcPr>
            <w:tcW w:w="1205" w:type="dxa"/>
            <w:tcBorders>
              <w:top w:val="single" w:color="auto" w:sz="4" w:space="0"/>
              <w:left w:val="single" w:color="auto" w:sz="4" w:space="0"/>
              <w:bottom w:val="single" w:color="auto" w:sz="4" w:space="0"/>
              <w:right w:val="single" w:color="auto" w:sz="4" w:space="0"/>
            </w:tcBorders>
            <w:vAlign w:val="center"/>
          </w:tcPr>
          <w:p w14:paraId="0D5BC693">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稳定提高</w:t>
            </w:r>
          </w:p>
        </w:tc>
        <w:tc>
          <w:tcPr>
            <w:tcW w:w="1123" w:type="dxa"/>
            <w:tcBorders>
              <w:top w:val="single" w:color="auto" w:sz="4" w:space="0"/>
              <w:left w:val="single" w:color="auto" w:sz="4" w:space="0"/>
              <w:bottom w:val="single" w:color="auto" w:sz="4" w:space="0"/>
              <w:right w:val="single" w:color="auto" w:sz="4" w:space="0"/>
            </w:tcBorders>
            <w:vAlign w:val="center"/>
          </w:tcPr>
          <w:p w14:paraId="12600641">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稳定提高</w:t>
            </w:r>
          </w:p>
        </w:tc>
        <w:tc>
          <w:tcPr>
            <w:tcW w:w="992" w:type="dxa"/>
            <w:tcBorders>
              <w:top w:val="single" w:color="auto" w:sz="4" w:space="0"/>
              <w:left w:val="single" w:color="auto" w:sz="4" w:space="0"/>
              <w:bottom w:val="single" w:color="auto" w:sz="4" w:space="0"/>
              <w:right w:val="single" w:color="auto" w:sz="4" w:space="0"/>
            </w:tcBorders>
            <w:vAlign w:val="center"/>
          </w:tcPr>
          <w:p w14:paraId="14E2EFB7">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稳定提高</w:t>
            </w:r>
          </w:p>
        </w:tc>
        <w:tc>
          <w:tcPr>
            <w:tcW w:w="992" w:type="dxa"/>
            <w:tcBorders>
              <w:top w:val="single" w:color="auto" w:sz="4" w:space="0"/>
              <w:left w:val="single" w:color="auto" w:sz="4" w:space="0"/>
              <w:bottom w:val="single" w:color="auto" w:sz="4" w:space="0"/>
              <w:right w:val="single" w:color="auto" w:sz="4" w:space="0"/>
            </w:tcBorders>
            <w:vAlign w:val="center"/>
          </w:tcPr>
          <w:p w14:paraId="5D0059E8">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区文化旅游委</w:t>
            </w:r>
          </w:p>
        </w:tc>
        <w:tc>
          <w:tcPr>
            <w:tcW w:w="1985" w:type="dxa"/>
            <w:tcBorders>
              <w:top w:val="single" w:color="auto" w:sz="4" w:space="0"/>
              <w:left w:val="single" w:color="auto" w:sz="4" w:space="0"/>
              <w:bottom w:val="single" w:color="auto" w:sz="4" w:space="0"/>
              <w:right w:val="single" w:color="auto" w:sz="4" w:space="0"/>
            </w:tcBorders>
            <w:vAlign w:val="center"/>
          </w:tcPr>
          <w:p w14:paraId="3569C58C">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w:t>
            </w:r>
          </w:p>
        </w:tc>
      </w:tr>
      <w:tr w14:paraId="3E370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458" w:type="dxa"/>
            <w:vMerge w:val="continue"/>
            <w:tcBorders>
              <w:left w:val="single" w:color="auto" w:sz="4" w:space="0"/>
              <w:right w:val="single" w:color="auto" w:sz="4" w:space="0"/>
            </w:tcBorders>
            <w:vAlign w:val="center"/>
          </w:tcPr>
          <w:p w14:paraId="46F18D7F">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p>
        </w:tc>
        <w:tc>
          <w:tcPr>
            <w:tcW w:w="503" w:type="dxa"/>
            <w:vMerge w:val="continue"/>
            <w:tcBorders>
              <w:left w:val="single" w:color="auto" w:sz="4" w:space="0"/>
              <w:bottom w:val="single" w:color="auto" w:sz="4" w:space="0"/>
              <w:right w:val="single" w:color="auto" w:sz="4" w:space="0"/>
            </w:tcBorders>
            <w:vAlign w:val="center"/>
          </w:tcPr>
          <w:p w14:paraId="363D465C">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p>
        </w:tc>
        <w:tc>
          <w:tcPr>
            <w:tcW w:w="534" w:type="dxa"/>
            <w:tcBorders>
              <w:top w:val="single" w:color="auto" w:sz="4" w:space="0"/>
              <w:left w:val="single" w:color="auto" w:sz="4" w:space="0"/>
              <w:bottom w:val="single" w:color="auto" w:sz="4" w:space="0"/>
              <w:right w:val="single" w:color="auto" w:sz="4" w:space="0"/>
            </w:tcBorders>
            <w:vAlign w:val="center"/>
          </w:tcPr>
          <w:p w14:paraId="345762AA">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15</w:t>
            </w:r>
          </w:p>
        </w:tc>
        <w:tc>
          <w:tcPr>
            <w:tcW w:w="2314" w:type="dxa"/>
            <w:tcBorders>
              <w:top w:val="single" w:color="auto" w:sz="4" w:space="0"/>
              <w:left w:val="single" w:color="auto" w:sz="4" w:space="0"/>
              <w:bottom w:val="single" w:color="auto" w:sz="4" w:space="0"/>
              <w:right w:val="single" w:color="auto" w:sz="4" w:space="0"/>
            </w:tcBorders>
            <w:vAlign w:val="center"/>
          </w:tcPr>
          <w:p w14:paraId="7FC35D83">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战略新兴产业产值占全区规上工业产值</w:t>
            </w:r>
          </w:p>
        </w:tc>
        <w:tc>
          <w:tcPr>
            <w:tcW w:w="485" w:type="dxa"/>
            <w:tcBorders>
              <w:top w:val="single" w:color="auto" w:sz="4" w:space="0"/>
              <w:left w:val="single" w:color="auto" w:sz="4" w:space="0"/>
              <w:bottom w:val="single" w:color="auto" w:sz="4" w:space="0"/>
              <w:right w:val="single" w:color="auto" w:sz="4" w:space="0"/>
            </w:tcBorders>
            <w:vAlign w:val="center"/>
          </w:tcPr>
          <w:p w14:paraId="1E693BB8">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w:t>
            </w:r>
          </w:p>
        </w:tc>
        <w:tc>
          <w:tcPr>
            <w:tcW w:w="1240" w:type="dxa"/>
            <w:tcBorders>
              <w:top w:val="single" w:color="auto" w:sz="4" w:space="0"/>
              <w:left w:val="single" w:color="auto" w:sz="4" w:space="0"/>
              <w:bottom w:val="single" w:color="auto" w:sz="4" w:space="0"/>
              <w:right w:val="single" w:color="auto" w:sz="4" w:space="0"/>
            </w:tcBorders>
            <w:vAlign w:val="center"/>
          </w:tcPr>
          <w:p w14:paraId="3BEDE87A">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6</w:t>
            </w: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3.79</w:t>
            </w:r>
          </w:p>
        </w:tc>
        <w:tc>
          <w:tcPr>
            <w:tcW w:w="1205" w:type="dxa"/>
            <w:tcBorders>
              <w:top w:val="single" w:color="auto" w:sz="4" w:space="0"/>
              <w:left w:val="single" w:color="auto" w:sz="4" w:space="0"/>
              <w:bottom w:val="single" w:color="auto" w:sz="4" w:space="0"/>
              <w:right w:val="single" w:color="auto" w:sz="4" w:space="0"/>
            </w:tcBorders>
            <w:vAlign w:val="center"/>
          </w:tcPr>
          <w:p w14:paraId="756C5B7D">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稳定提高</w:t>
            </w:r>
          </w:p>
        </w:tc>
        <w:tc>
          <w:tcPr>
            <w:tcW w:w="1205" w:type="dxa"/>
            <w:tcBorders>
              <w:top w:val="single" w:color="auto" w:sz="4" w:space="0"/>
              <w:left w:val="single" w:color="auto" w:sz="4" w:space="0"/>
              <w:bottom w:val="single" w:color="auto" w:sz="4" w:space="0"/>
              <w:right w:val="single" w:color="auto" w:sz="4" w:space="0"/>
            </w:tcBorders>
            <w:vAlign w:val="center"/>
          </w:tcPr>
          <w:p w14:paraId="1A86C2DD">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稳定提高</w:t>
            </w:r>
          </w:p>
        </w:tc>
        <w:tc>
          <w:tcPr>
            <w:tcW w:w="1205" w:type="dxa"/>
            <w:tcBorders>
              <w:top w:val="single" w:color="auto" w:sz="4" w:space="0"/>
              <w:left w:val="single" w:color="auto" w:sz="4" w:space="0"/>
              <w:bottom w:val="single" w:color="auto" w:sz="4" w:space="0"/>
              <w:right w:val="single" w:color="auto" w:sz="4" w:space="0"/>
            </w:tcBorders>
            <w:vAlign w:val="center"/>
          </w:tcPr>
          <w:p w14:paraId="7624B67D">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稳定提高</w:t>
            </w:r>
          </w:p>
        </w:tc>
        <w:tc>
          <w:tcPr>
            <w:tcW w:w="1205" w:type="dxa"/>
            <w:tcBorders>
              <w:top w:val="single" w:color="auto" w:sz="4" w:space="0"/>
              <w:left w:val="single" w:color="auto" w:sz="4" w:space="0"/>
              <w:bottom w:val="single" w:color="auto" w:sz="4" w:space="0"/>
              <w:right w:val="single" w:color="auto" w:sz="4" w:space="0"/>
            </w:tcBorders>
            <w:vAlign w:val="center"/>
          </w:tcPr>
          <w:p w14:paraId="09124F88">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稳定提高</w:t>
            </w:r>
          </w:p>
        </w:tc>
        <w:tc>
          <w:tcPr>
            <w:tcW w:w="1123" w:type="dxa"/>
            <w:tcBorders>
              <w:top w:val="single" w:color="auto" w:sz="4" w:space="0"/>
              <w:left w:val="single" w:color="auto" w:sz="4" w:space="0"/>
              <w:bottom w:val="single" w:color="auto" w:sz="4" w:space="0"/>
              <w:right w:val="single" w:color="auto" w:sz="4" w:space="0"/>
            </w:tcBorders>
            <w:vAlign w:val="center"/>
          </w:tcPr>
          <w:p w14:paraId="6D773E1C">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稳定提高</w:t>
            </w:r>
          </w:p>
        </w:tc>
        <w:tc>
          <w:tcPr>
            <w:tcW w:w="992" w:type="dxa"/>
            <w:tcBorders>
              <w:top w:val="single" w:color="auto" w:sz="4" w:space="0"/>
              <w:left w:val="single" w:color="auto" w:sz="4" w:space="0"/>
              <w:bottom w:val="single" w:color="auto" w:sz="4" w:space="0"/>
              <w:right w:val="single" w:color="auto" w:sz="4" w:space="0"/>
            </w:tcBorders>
            <w:vAlign w:val="center"/>
          </w:tcPr>
          <w:p w14:paraId="1B235BE1">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稳定提高</w:t>
            </w:r>
          </w:p>
        </w:tc>
        <w:tc>
          <w:tcPr>
            <w:tcW w:w="992" w:type="dxa"/>
            <w:tcBorders>
              <w:top w:val="single" w:color="auto" w:sz="4" w:space="0"/>
              <w:left w:val="single" w:color="auto" w:sz="4" w:space="0"/>
              <w:bottom w:val="single" w:color="auto" w:sz="4" w:space="0"/>
              <w:right w:val="single" w:color="auto" w:sz="4" w:space="0"/>
            </w:tcBorders>
            <w:vAlign w:val="center"/>
          </w:tcPr>
          <w:p w14:paraId="110BFCA5">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区经济信息委</w:t>
            </w:r>
          </w:p>
        </w:tc>
        <w:tc>
          <w:tcPr>
            <w:tcW w:w="1985" w:type="dxa"/>
            <w:tcBorders>
              <w:top w:val="single" w:color="auto" w:sz="4" w:space="0"/>
              <w:left w:val="single" w:color="auto" w:sz="4" w:space="0"/>
              <w:bottom w:val="single" w:color="auto" w:sz="4" w:space="0"/>
              <w:right w:val="single" w:color="auto" w:sz="4" w:space="0"/>
            </w:tcBorders>
            <w:vAlign w:val="center"/>
          </w:tcPr>
          <w:p w14:paraId="22F25593">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区发展改革委</w:t>
            </w:r>
          </w:p>
        </w:tc>
      </w:tr>
      <w:tr w14:paraId="10BFC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458" w:type="dxa"/>
            <w:vMerge w:val="continue"/>
            <w:tcBorders>
              <w:left w:val="single" w:color="auto" w:sz="4" w:space="0"/>
              <w:right w:val="single" w:color="auto" w:sz="4" w:space="0"/>
            </w:tcBorders>
            <w:vAlign w:val="center"/>
          </w:tcPr>
          <w:p w14:paraId="5AA3BC9E">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p>
        </w:tc>
        <w:tc>
          <w:tcPr>
            <w:tcW w:w="503" w:type="dxa"/>
            <w:tcBorders>
              <w:top w:val="single" w:color="auto" w:sz="4" w:space="0"/>
              <w:left w:val="single" w:color="auto" w:sz="4" w:space="0"/>
              <w:bottom w:val="single" w:color="auto" w:sz="4" w:space="0"/>
              <w:right w:val="single" w:color="auto" w:sz="4" w:space="0"/>
            </w:tcBorders>
            <w:vAlign w:val="center"/>
          </w:tcPr>
          <w:p w14:paraId="3712BF90">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生态补偿</w:t>
            </w:r>
          </w:p>
        </w:tc>
        <w:tc>
          <w:tcPr>
            <w:tcW w:w="534" w:type="dxa"/>
            <w:tcBorders>
              <w:top w:val="single" w:color="auto" w:sz="4" w:space="0"/>
              <w:left w:val="single" w:color="auto" w:sz="4" w:space="0"/>
              <w:bottom w:val="single" w:color="auto" w:sz="4" w:space="0"/>
              <w:right w:val="single" w:color="auto" w:sz="4" w:space="0"/>
            </w:tcBorders>
            <w:vAlign w:val="center"/>
          </w:tcPr>
          <w:p w14:paraId="15DEB3AD">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16</w:t>
            </w:r>
          </w:p>
        </w:tc>
        <w:tc>
          <w:tcPr>
            <w:tcW w:w="2314" w:type="dxa"/>
            <w:tcBorders>
              <w:top w:val="single" w:color="auto" w:sz="4" w:space="0"/>
              <w:left w:val="single" w:color="auto" w:sz="4" w:space="0"/>
              <w:bottom w:val="single" w:color="auto" w:sz="4" w:space="0"/>
              <w:right w:val="single" w:color="auto" w:sz="4" w:space="0"/>
            </w:tcBorders>
            <w:vAlign w:val="center"/>
          </w:tcPr>
          <w:p w14:paraId="62070EB1">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生态补偿类收入占财政总收入比重</w:t>
            </w:r>
          </w:p>
        </w:tc>
        <w:tc>
          <w:tcPr>
            <w:tcW w:w="485" w:type="dxa"/>
            <w:tcBorders>
              <w:top w:val="single" w:color="auto" w:sz="4" w:space="0"/>
              <w:left w:val="single" w:color="auto" w:sz="4" w:space="0"/>
              <w:bottom w:val="single" w:color="auto" w:sz="4" w:space="0"/>
              <w:right w:val="single" w:color="auto" w:sz="4" w:space="0"/>
            </w:tcBorders>
            <w:vAlign w:val="center"/>
          </w:tcPr>
          <w:p w14:paraId="124E1814">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w:t>
            </w:r>
          </w:p>
        </w:tc>
        <w:tc>
          <w:tcPr>
            <w:tcW w:w="1240" w:type="dxa"/>
            <w:tcBorders>
              <w:top w:val="single" w:color="auto" w:sz="4" w:space="0"/>
              <w:left w:val="single" w:color="auto" w:sz="4" w:space="0"/>
              <w:bottom w:val="single" w:color="auto" w:sz="4" w:space="0"/>
              <w:right w:val="single" w:color="auto" w:sz="4" w:space="0"/>
            </w:tcBorders>
            <w:vAlign w:val="center"/>
          </w:tcPr>
          <w:p w14:paraId="2E71F0E5">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2</w:t>
            </w: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.59</w:t>
            </w:r>
          </w:p>
        </w:tc>
        <w:tc>
          <w:tcPr>
            <w:tcW w:w="1205" w:type="dxa"/>
            <w:tcBorders>
              <w:top w:val="single" w:color="auto" w:sz="4" w:space="0"/>
              <w:left w:val="single" w:color="auto" w:sz="4" w:space="0"/>
              <w:bottom w:val="single" w:color="auto" w:sz="4" w:space="0"/>
              <w:right w:val="single" w:color="auto" w:sz="4" w:space="0"/>
            </w:tcBorders>
            <w:vAlign w:val="center"/>
          </w:tcPr>
          <w:p w14:paraId="43BF880B">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稳定提高</w:t>
            </w:r>
          </w:p>
        </w:tc>
        <w:tc>
          <w:tcPr>
            <w:tcW w:w="1205" w:type="dxa"/>
            <w:tcBorders>
              <w:top w:val="single" w:color="auto" w:sz="4" w:space="0"/>
              <w:left w:val="single" w:color="auto" w:sz="4" w:space="0"/>
              <w:bottom w:val="single" w:color="auto" w:sz="4" w:space="0"/>
              <w:right w:val="single" w:color="auto" w:sz="4" w:space="0"/>
            </w:tcBorders>
            <w:vAlign w:val="center"/>
          </w:tcPr>
          <w:p w14:paraId="143B26C6">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稳定提高</w:t>
            </w:r>
          </w:p>
        </w:tc>
        <w:tc>
          <w:tcPr>
            <w:tcW w:w="1205" w:type="dxa"/>
            <w:tcBorders>
              <w:top w:val="single" w:color="auto" w:sz="4" w:space="0"/>
              <w:left w:val="single" w:color="auto" w:sz="4" w:space="0"/>
              <w:bottom w:val="single" w:color="auto" w:sz="4" w:space="0"/>
              <w:right w:val="single" w:color="auto" w:sz="4" w:space="0"/>
            </w:tcBorders>
            <w:vAlign w:val="center"/>
          </w:tcPr>
          <w:p w14:paraId="5240B18E">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稳定提高</w:t>
            </w:r>
          </w:p>
        </w:tc>
        <w:tc>
          <w:tcPr>
            <w:tcW w:w="1205" w:type="dxa"/>
            <w:tcBorders>
              <w:top w:val="single" w:color="auto" w:sz="4" w:space="0"/>
              <w:left w:val="single" w:color="auto" w:sz="4" w:space="0"/>
              <w:bottom w:val="single" w:color="auto" w:sz="4" w:space="0"/>
              <w:right w:val="single" w:color="auto" w:sz="4" w:space="0"/>
            </w:tcBorders>
            <w:vAlign w:val="center"/>
          </w:tcPr>
          <w:p w14:paraId="6F57FE5B">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稳定提高</w:t>
            </w:r>
          </w:p>
        </w:tc>
        <w:tc>
          <w:tcPr>
            <w:tcW w:w="1123" w:type="dxa"/>
            <w:tcBorders>
              <w:top w:val="single" w:color="auto" w:sz="4" w:space="0"/>
              <w:left w:val="single" w:color="auto" w:sz="4" w:space="0"/>
              <w:bottom w:val="single" w:color="auto" w:sz="4" w:space="0"/>
              <w:right w:val="single" w:color="auto" w:sz="4" w:space="0"/>
            </w:tcBorders>
            <w:vAlign w:val="center"/>
          </w:tcPr>
          <w:p w14:paraId="1C3519BD">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稳定提高</w:t>
            </w:r>
          </w:p>
        </w:tc>
        <w:tc>
          <w:tcPr>
            <w:tcW w:w="992" w:type="dxa"/>
            <w:tcBorders>
              <w:top w:val="single" w:color="auto" w:sz="4" w:space="0"/>
              <w:left w:val="single" w:color="auto" w:sz="4" w:space="0"/>
              <w:bottom w:val="single" w:color="auto" w:sz="4" w:space="0"/>
              <w:right w:val="single" w:color="auto" w:sz="4" w:space="0"/>
            </w:tcBorders>
            <w:vAlign w:val="center"/>
          </w:tcPr>
          <w:p w14:paraId="2C27058C">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稳定提高</w:t>
            </w:r>
          </w:p>
        </w:tc>
        <w:tc>
          <w:tcPr>
            <w:tcW w:w="992" w:type="dxa"/>
            <w:tcBorders>
              <w:top w:val="single" w:color="auto" w:sz="4" w:space="0"/>
              <w:left w:val="single" w:color="auto" w:sz="4" w:space="0"/>
              <w:bottom w:val="single" w:color="auto" w:sz="4" w:space="0"/>
              <w:right w:val="single" w:color="auto" w:sz="4" w:space="0"/>
            </w:tcBorders>
            <w:vAlign w:val="center"/>
          </w:tcPr>
          <w:p w14:paraId="4E709E50">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区财政局</w:t>
            </w:r>
          </w:p>
        </w:tc>
        <w:tc>
          <w:tcPr>
            <w:tcW w:w="1985" w:type="dxa"/>
            <w:tcBorders>
              <w:top w:val="single" w:color="auto" w:sz="4" w:space="0"/>
              <w:left w:val="single" w:color="auto" w:sz="4" w:space="0"/>
              <w:bottom w:val="single" w:color="auto" w:sz="4" w:space="0"/>
              <w:right w:val="single" w:color="auto" w:sz="4" w:space="0"/>
            </w:tcBorders>
            <w:vAlign w:val="center"/>
          </w:tcPr>
          <w:p w14:paraId="2F4D2849">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区发展改革委</w:t>
            </w: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、区生态环境局、区林业局、</w:t>
            </w: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区规划自然资源局</w:t>
            </w: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、区水利局</w:t>
            </w:r>
          </w:p>
        </w:tc>
      </w:tr>
      <w:tr w14:paraId="20CE9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458" w:type="dxa"/>
            <w:vMerge w:val="continue"/>
            <w:tcBorders>
              <w:left w:val="single" w:color="auto" w:sz="4" w:space="0"/>
              <w:right w:val="single" w:color="auto" w:sz="4" w:space="0"/>
            </w:tcBorders>
            <w:vAlign w:val="center"/>
          </w:tcPr>
          <w:p w14:paraId="6276C435">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p>
        </w:tc>
        <w:tc>
          <w:tcPr>
            <w:tcW w:w="503" w:type="dxa"/>
            <w:vMerge w:val="restart"/>
            <w:tcBorders>
              <w:top w:val="single" w:color="auto" w:sz="4" w:space="0"/>
              <w:left w:val="single" w:color="auto" w:sz="4" w:space="0"/>
              <w:right w:val="single" w:color="auto" w:sz="4" w:space="0"/>
            </w:tcBorders>
            <w:vAlign w:val="center"/>
          </w:tcPr>
          <w:p w14:paraId="69655EEA">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社会效益</w:t>
            </w:r>
          </w:p>
        </w:tc>
        <w:tc>
          <w:tcPr>
            <w:tcW w:w="534" w:type="dxa"/>
            <w:tcBorders>
              <w:top w:val="single" w:color="auto" w:sz="4" w:space="0"/>
              <w:left w:val="single" w:color="auto" w:sz="4" w:space="0"/>
              <w:bottom w:val="single" w:color="auto" w:sz="4" w:space="0"/>
              <w:right w:val="single" w:color="auto" w:sz="4" w:space="0"/>
            </w:tcBorders>
            <w:vAlign w:val="center"/>
          </w:tcPr>
          <w:p w14:paraId="4BFD3706">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17</w:t>
            </w:r>
          </w:p>
        </w:tc>
        <w:tc>
          <w:tcPr>
            <w:tcW w:w="2314" w:type="dxa"/>
            <w:tcBorders>
              <w:top w:val="single" w:color="auto" w:sz="4" w:space="0"/>
              <w:left w:val="single" w:color="auto" w:sz="4" w:space="0"/>
              <w:bottom w:val="single" w:color="auto" w:sz="4" w:space="0"/>
              <w:right w:val="single" w:color="auto" w:sz="4" w:space="0"/>
            </w:tcBorders>
            <w:vAlign w:val="center"/>
          </w:tcPr>
          <w:p w14:paraId="0DA80226">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国际国内生态文化品牌</w:t>
            </w:r>
          </w:p>
        </w:tc>
        <w:tc>
          <w:tcPr>
            <w:tcW w:w="485" w:type="dxa"/>
            <w:tcBorders>
              <w:top w:val="single" w:color="auto" w:sz="4" w:space="0"/>
              <w:left w:val="single" w:color="auto" w:sz="4" w:space="0"/>
              <w:bottom w:val="single" w:color="auto" w:sz="4" w:space="0"/>
              <w:right w:val="single" w:color="auto" w:sz="4" w:space="0"/>
            </w:tcBorders>
            <w:vAlign w:val="center"/>
          </w:tcPr>
          <w:p w14:paraId="72B81965">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w:t>
            </w:r>
          </w:p>
        </w:tc>
        <w:tc>
          <w:tcPr>
            <w:tcW w:w="1240" w:type="dxa"/>
            <w:tcBorders>
              <w:top w:val="single" w:color="auto" w:sz="4" w:space="0"/>
              <w:left w:val="single" w:color="auto" w:sz="4" w:space="0"/>
              <w:bottom w:val="single" w:color="auto" w:sz="4" w:space="0"/>
              <w:right w:val="single" w:color="auto" w:sz="4" w:space="0"/>
            </w:tcBorders>
            <w:vAlign w:val="center"/>
          </w:tcPr>
          <w:p w14:paraId="43127977">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获得多个</w:t>
            </w:r>
          </w:p>
        </w:tc>
        <w:tc>
          <w:tcPr>
            <w:tcW w:w="1205" w:type="dxa"/>
            <w:tcBorders>
              <w:top w:val="single" w:color="auto" w:sz="4" w:space="0"/>
              <w:left w:val="single" w:color="auto" w:sz="4" w:space="0"/>
              <w:bottom w:val="single" w:color="auto" w:sz="4" w:space="0"/>
              <w:right w:val="single" w:color="auto" w:sz="4" w:space="0"/>
            </w:tcBorders>
            <w:vAlign w:val="center"/>
          </w:tcPr>
          <w:p w14:paraId="71AF81ED">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保持</w:t>
            </w:r>
          </w:p>
        </w:tc>
        <w:tc>
          <w:tcPr>
            <w:tcW w:w="1205" w:type="dxa"/>
            <w:tcBorders>
              <w:top w:val="single" w:color="auto" w:sz="4" w:space="0"/>
              <w:left w:val="single" w:color="auto" w:sz="4" w:space="0"/>
              <w:bottom w:val="single" w:color="auto" w:sz="4" w:space="0"/>
              <w:right w:val="single" w:color="auto" w:sz="4" w:space="0"/>
            </w:tcBorders>
            <w:vAlign w:val="center"/>
          </w:tcPr>
          <w:p w14:paraId="542FD397">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保持</w:t>
            </w:r>
          </w:p>
        </w:tc>
        <w:tc>
          <w:tcPr>
            <w:tcW w:w="1205" w:type="dxa"/>
            <w:tcBorders>
              <w:top w:val="single" w:color="auto" w:sz="4" w:space="0"/>
              <w:left w:val="single" w:color="auto" w:sz="4" w:space="0"/>
              <w:bottom w:val="single" w:color="auto" w:sz="4" w:space="0"/>
              <w:right w:val="single" w:color="auto" w:sz="4" w:space="0"/>
            </w:tcBorders>
            <w:vAlign w:val="center"/>
          </w:tcPr>
          <w:p w14:paraId="6B971D15">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保持</w:t>
            </w:r>
          </w:p>
        </w:tc>
        <w:tc>
          <w:tcPr>
            <w:tcW w:w="1205" w:type="dxa"/>
            <w:tcBorders>
              <w:top w:val="single" w:color="auto" w:sz="4" w:space="0"/>
              <w:left w:val="single" w:color="auto" w:sz="4" w:space="0"/>
              <w:bottom w:val="single" w:color="auto" w:sz="4" w:space="0"/>
              <w:right w:val="single" w:color="auto" w:sz="4" w:space="0"/>
            </w:tcBorders>
            <w:vAlign w:val="center"/>
          </w:tcPr>
          <w:p w14:paraId="7BFD90F2">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保持</w:t>
            </w:r>
          </w:p>
        </w:tc>
        <w:tc>
          <w:tcPr>
            <w:tcW w:w="1123" w:type="dxa"/>
            <w:tcBorders>
              <w:top w:val="single" w:color="auto" w:sz="4" w:space="0"/>
              <w:left w:val="single" w:color="auto" w:sz="4" w:space="0"/>
              <w:bottom w:val="single" w:color="auto" w:sz="4" w:space="0"/>
              <w:right w:val="single" w:color="auto" w:sz="4" w:space="0"/>
            </w:tcBorders>
            <w:vAlign w:val="center"/>
          </w:tcPr>
          <w:p w14:paraId="5D6952D8">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保持</w:t>
            </w:r>
          </w:p>
        </w:tc>
        <w:tc>
          <w:tcPr>
            <w:tcW w:w="992" w:type="dxa"/>
            <w:tcBorders>
              <w:top w:val="single" w:color="auto" w:sz="4" w:space="0"/>
              <w:left w:val="single" w:color="auto" w:sz="4" w:space="0"/>
              <w:bottom w:val="single" w:color="auto" w:sz="4" w:space="0"/>
              <w:right w:val="single" w:color="auto" w:sz="4" w:space="0"/>
            </w:tcBorders>
            <w:vAlign w:val="center"/>
          </w:tcPr>
          <w:p w14:paraId="220D3A56">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获得</w:t>
            </w:r>
          </w:p>
        </w:tc>
        <w:tc>
          <w:tcPr>
            <w:tcW w:w="992" w:type="dxa"/>
            <w:tcBorders>
              <w:top w:val="single" w:color="auto" w:sz="4" w:space="0"/>
              <w:left w:val="single" w:color="auto" w:sz="4" w:space="0"/>
              <w:bottom w:val="single" w:color="auto" w:sz="4" w:space="0"/>
              <w:right w:val="single" w:color="auto" w:sz="4" w:space="0"/>
            </w:tcBorders>
            <w:vAlign w:val="center"/>
          </w:tcPr>
          <w:p w14:paraId="3E0246DD">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区生态环境局</w:t>
            </w:r>
          </w:p>
        </w:tc>
        <w:tc>
          <w:tcPr>
            <w:tcW w:w="1985" w:type="dxa"/>
            <w:tcBorders>
              <w:top w:val="single" w:color="auto" w:sz="4" w:space="0"/>
              <w:left w:val="single" w:color="auto" w:sz="4" w:space="0"/>
              <w:bottom w:val="single" w:color="auto" w:sz="4" w:space="0"/>
              <w:right w:val="single" w:color="auto" w:sz="4" w:space="0"/>
            </w:tcBorders>
            <w:vAlign w:val="center"/>
          </w:tcPr>
          <w:p w14:paraId="4482BC32">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区林业局、</w:t>
            </w: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区规划自然资源局</w:t>
            </w: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、区水利局、区文化旅游委</w:t>
            </w:r>
          </w:p>
        </w:tc>
      </w:tr>
      <w:tr w14:paraId="660A7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458" w:type="dxa"/>
            <w:vMerge w:val="continue"/>
            <w:tcBorders>
              <w:left w:val="single" w:color="auto" w:sz="4" w:space="0"/>
              <w:bottom w:val="single" w:color="auto" w:sz="4" w:space="0"/>
              <w:right w:val="single" w:color="auto" w:sz="4" w:space="0"/>
            </w:tcBorders>
            <w:vAlign w:val="center"/>
          </w:tcPr>
          <w:p w14:paraId="773C54BA">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p>
        </w:tc>
        <w:tc>
          <w:tcPr>
            <w:tcW w:w="503" w:type="dxa"/>
            <w:vMerge w:val="continue"/>
            <w:tcBorders>
              <w:left w:val="single" w:color="auto" w:sz="4" w:space="0"/>
              <w:bottom w:val="single" w:color="auto" w:sz="4" w:space="0"/>
              <w:right w:val="single" w:color="auto" w:sz="4" w:space="0"/>
            </w:tcBorders>
            <w:vAlign w:val="center"/>
          </w:tcPr>
          <w:p w14:paraId="5737C573">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p>
        </w:tc>
        <w:tc>
          <w:tcPr>
            <w:tcW w:w="534" w:type="dxa"/>
            <w:tcBorders>
              <w:top w:val="single" w:color="auto" w:sz="4" w:space="0"/>
              <w:left w:val="single" w:color="auto" w:sz="4" w:space="0"/>
              <w:bottom w:val="single" w:color="auto" w:sz="4" w:space="0"/>
              <w:right w:val="single" w:color="auto" w:sz="4" w:space="0"/>
            </w:tcBorders>
            <w:vAlign w:val="center"/>
          </w:tcPr>
          <w:p w14:paraId="2F806993">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18</w:t>
            </w:r>
          </w:p>
        </w:tc>
        <w:tc>
          <w:tcPr>
            <w:tcW w:w="2314" w:type="dxa"/>
            <w:tcBorders>
              <w:top w:val="single" w:color="auto" w:sz="4" w:space="0"/>
              <w:left w:val="single" w:color="auto" w:sz="4" w:space="0"/>
              <w:bottom w:val="single" w:color="auto" w:sz="4" w:space="0"/>
              <w:right w:val="single" w:color="auto" w:sz="4" w:space="0"/>
            </w:tcBorders>
            <w:vAlign w:val="center"/>
          </w:tcPr>
          <w:p w14:paraId="034CAF1B">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“两山”建设成效公众满意度</w:t>
            </w:r>
          </w:p>
        </w:tc>
        <w:tc>
          <w:tcPr>
            <w:tcW w:w="485" w:type="dxa"/>
            <w:tcBorders>
              <w:top w:val="single" w:color="auto" w:sz="4" w:space="0"/>
              <w:left w:val="single" w:color="auto" w:sz="4" w:space="0"/>
              <w:bottom w:val="single" w:color="auto" w:sz="4" w:space="0"/>
              <w:right w:val="single" w:color="auto" w:sz="4" w:space="0"/>
            </w:tcBorders>
            <w:vAlign w:val="center"/>
          </w:tcPr>
          <w:p w14:paraId="042B9E4B">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w:t>
            </w:r>
          </w:p>
        </w:tc>
        <w:tc>
          <w:tcPr>
            <w:tcW w:w="1240" w:type="dxa"/>
            <w:tcBorders>
              <w:top w:val="single" w:color="auto" w:sz="4" w:space="0"/>
              <w:left w:val="single" w:color="auto" w:sz="4" w:space="0"/>
              <w:bottom w:val="single" w:color="auto" w:sz="4" w:space="0"/>
              <w:right w:val="single" w:color="auto" w:sz="4" w:space="0"/>
            </w:tcBorders>
            <w:vAlign w:val="center"/>
          </w:tcPr>
          <w:p w14:paraId="03D443DD">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93.78</w:t>
            </w:r>
          </w:p>
          <w:p w14:paraId="1833D676">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（公众对生态文明建设的满意度）</w:t>
            </w:r>
          </w:p>
        </w:tc>
        <w:tc>
          <w:tcPr>
            <w:tcW w:w="1205" w:type="dxa"/>
            <w:tcBorders>
              <w:top w:val="single" w:color="auto" w:sz="4" w:space="0"/>
              <w:left w:val="single" w:color="auto" w:sz="4" w:space="0"/>
              <w:bottom w:val="single" w:color="auto" w:sz="4" w:space="0"/>
              <w:right w:val="single" w:color="auto" w:sz="4" w:space="0"/>
            </w:tcBorders>
            <w:vAlign w:val="center"/>
          </w:tcPr>
          <w:p w14:paraId="1AA091EB">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94</w:t>
            </w:r>
          </w:p>
        </w:tc>
        <w:tc>
          <w:tcPr>
            <w:tcW w:w="1205" w:type="dxa"/>
            <w:tcBorders>
              <w:top w:val="single" w:color="auto" w:sz="4" w:space="0"/>
              <w:left w:val="single" w:color="auto" w:sz="4" w:space="0"/>
              <w:bottom w:val="single" w:color="auto" w:sz="4" w:space="0"/>
              <w:right w:val="single" w:color="auto" w:sz="4" w:space="0"/>
            </w:tcBorders>
            <w:vAlign w:val="center"/>
          </w:tcPr>
          <w:p w14:paraId="305747C2">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94.3</w:t>
            </w:r>
          </w:p>
        </w:tc>
        <w:tc>
          <w:tcPr>
            <w:tcW w:w="1205" w:type="dxa"/>
            <w:tcBorders>
              <w:top w:val="single" w:color="auto" w:sz="4" w:space="0"/>
              <w:left w:val="single" w:color="auto" w:sz="4" w:space="0"/>
              <w:bottom w:val="single" w:color="auto" w:sz="4" w:space="0"/>
              <w:right w:val="single" w:color="auto" w:sz="4" w:space="0"/>
            </w:tcBorders>
            <w:vAlign w:val="center"/>
          </w:tcPr>
          <w:p w14:paraId="3ECE0A26">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94.6</w:t>
            </w:r>
          </w:p>
        </w:tc>
        <w:tc>
          <w:tcPr>
            <w:tcW w:w="1205" w:type="dxa"/>
            <w:tcBorders>
              <w:top w:val="single" w:color="auto" w:sz="4" w:space="0"/>
              <w:left w:val="single" w:color="auto" w:sz="4" w:space="0"/>
              <w:bottom w:val="single" w:color="auto" w:sz="4" w:space="0"/>
              <w:right w:val="single" w:color="auto" w:sz="4" w:space="0"/>
            </w:tcBorders>
            <w:vAlign w:val="center"/>
          </w:tcPr>
          <w:p w14:paraId="1EA2636A">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94.9</w:t>
            </w:r>
          </w:p>
        </w:tc>
        <w:tc>
          <w:tcPr>
            <w:tcW w:w="1123" w:type="dxa"/>
            <w:tcBorders>
              <w:top w:val="single" w:color="auto" w:sz="4" w:space="0"/>
              <w:left w:val="single" w:color="auto" w:sz="4" w:space="0"/>
              <w:bottom w:val="single" w:color="auto" w:sz="4" w:space="0"/>
              <w:right w:val="single" w:color="auto" w:sz="4" w:space="0"/>
            </w:tcBorders>
            <w:vAlign w:val="center"/>
          </w:tcPr>
          <w:p w14:paraId="4D145F4B">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&gt;95</w:t>
            </w:r>
          </w:p>
        </w:tc>
        <w:tc>
          <w:tcPr>
            <w:tcW w:w="992" w:type="dxa"/>
            <w:tcBorders>
              <w:top w:val="single" w:color="auto" w:sz="4" w:space="0"/>
              <w:left w:val="single" w:color="auto" w:sz="4" w:space="0"/>
              <w:bottom w:val="single" w:color="auto" w:sz="4" w:space="0"/>
              <w:right w:val="single" w:color="auto" w:sz="4" w:space="0"/>
            </w:tcBorders>
            <w:vAlign w:val="center"/>
          </w:tcPr>
          <w:p w14:paraId="1DE8B928">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&gt;95</w:t>
            </w:r>
          </w:p>
        </w:tc>
        <w:tc>
          <w:tcPr>
            <w:tcW w:w="992" w:type="dxa"/>
            <w:tcBorders>
              <w:top w:val="single" w:color="auto" w:sz="4" w:space="0"/>
              <w:left w:val="single" w:color="auto" w:sz="4" w:space="0"/>
              <w:bottom w:val="single" w:color="auto" w:sz="4" w:space="0"/>
              <w:right w:val="single" w:color="auto" w:sz="4" w:space="0"/>
            </w:tcBorders>
            <w:vAlign w:val="center"/>
          </w:tcPr>
          <w:p w14:paraId="2A2CDF68">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区生态环境局</w:t>
            </w:r>
          </w:p>
        </w:tc>
        <w:tc>
          <w:tcPr>
            <w:tcW w:w="1985" w:type="dxa"/>
            <w:tcBorders>
              <w:top w:val="single" w:color="auto" w:sz="4" w:space="0"/>
              <w:left w:val="single" w:color="auto" w:sz="4" w:space="0"/>
              <w:bottom w:val="single" w:color="auto" w:sz="4" w:space="0"/>
              <w:right w:val="single" w:color="auto" w:sz="4" w:space="0"/>
            </w:tcBorders>
            <w:vAlign w:val="center"/>
          </w:tcPr>
          <w:p w14:paraId="699FFCF3">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全区各相关部门</w:t>
            </w:r>
          </w:p>
        </w:tc>
      </w:tr>
      <w:tr w14:paraId="5A749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458" w:type="dxa"/>
            <w:vMerge w:val="restart"/>
            <w:tcBorders>
              <w:top w:val="single" w:color="auto" w:sz="4" w:space="0"/>
              <w:left w:val="single" w:color="auto" w:sz="4" w:space="0"/>
              <w:right w:val="single" w:color="auto" w:sz="4" w:space="0"/>
            </w:tcBorders>
            <w:vAlign w:val="center"/>
          </w:tcPr>
          <w:p w14:paraId="7EADE0AA">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建立长效机制</w:t>
            </w:r>
          </w:p>
        </w:tc>
        <w:tc>
          <w:tcPr>
            <w:tcW w:w="503" w:type="dxa"/>
            <w:vMerge w:val="restart"/>
            <w:tcBorders>
              <w:top w:val="single" w:color="auto" w:sz="4" w:space="0"/>
              <w:left w:val="single" w:color="auto" w:sz="4" w:space="0"/>
              <w:right w:val="single" w:color="auto" w:sz="4" w:space="0"/>
            </w:tcBorders>
            <w:vAlign w:val="center"/>
          </w:tcPr>
          <w:p w14:paraId="0E001CAB">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制度创新</w:t>
            </w:r>
          </w:p>
        </w:tc>
        <w:tc>
          <w:tcPr>
            <w:tcW w:w="534" w:type="dxa"/>
            <w:tcBorders>
              <w:top w:val="single" w:color="auto" w:sz="4" w:space="0"/>
              <w:left w:val="single" w:color="auto" w:sz="4" w:space="0"/>
              <w:bottom w:val="single" w:color="auto" w:sz="4" w:space="0"/>
              <w:right w:val="single" w:color="auto" w:sz="4" w:space="0"/>
            </w:tcBorders>
            <w:vAlign w:val="center"/>
          </w:tcPr>
          <w:p w14:paraId="2E85D8CD">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19</w:t>
            </w:r>
          </w:p>
        </w:tc>
        <w:tc>
          <w:tcPr>
            <w:tcW w:w="2314" w:type="dxa"/>
            <w:tcBorders>
              <w:top w:val="single" w:color="auto" w:sz="4" w:space="0"/>
              <w:left w:val="single" w:color="auto" w:sz="4" w:space="0"/>
              <w:bottom w:val="single" w:color="auto" w:sz="4" w:space="0"/>
              <w:right w:val="single" w:color="auto" w:sz="4" w:space="0"/>
            </w:tcBorders>
            <w:vAlign w:val="center"/>
          </w:tcPr>
          <w:p w14:paraId="064B190D">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“两山”基地制度建设</w:t>
            </w:r>
          </w:p>
        </w:tc>
        <w:tc>
          <w:tcPr>
            <w:tcW w:w="485" w:type="dxa"/>
            <w:tcBorders>
              <w:top w:val="single" w:color="auto" w:sz="4" w:space="0"/>
              <w:left w:val="single" w:color="auto" w:sz="4" w:space="0"/>
              <w:bottom w:val="single" w:color="auto" w:sz="4" w:space="0"/>
              <w:right w:val="single" w:color="auto" w:sz="4" w:space="0"/>
            </w:tcBorders>
            <w:vAlign w:val="center"/>
          </w:tcPr>
          <w:p w14:paraId="022B51F7">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w:t>
            </w:r>
          </w:p>
        </w:tc>
        <w:tc>
          <w:tcPr>
            <w:tcW w:w="1240" w:type="dxa"/>
            <w:tcBorders>
              <w:top w:val="single" w:color="auto" w:sz="4" w:space="0"/>
              <w:left w:val="single" w:color="auto" w:sz="4" w:space="0"/>
              <w:bottom w:val="single" w:color="auto" w:sz="4" w:space="0"/>
              <w:right w:val="single" w:color="auto" w:sz="4" w:space="0"/>
            </w:tcBorders>
            <w:vAlign w:val="center"/>
          </w:tcPr>
          <w:p w14:paraId="033BF803">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建立实施</w:t>
            </w:r>
          </w:p>
        </w:tc>
        <w:tc>
          <w:tcPr>
            <w:tcW w:w="1205" w:type="dxa"/>
            <w:tcBorders>
              <w:top w:val="single" w:color="auto" w:sz="4" w:space="0"/>
              <w:left w:val="single" w:color="auto" w:sz="4" w:space="0"/>
              <w:bottom w:val="single" w:color="auto" w:sz="4" w:space="0"/>
              <w:right w:val="single" w:color="auto" w:sz="4" w:space="0"/>
            </w:tcBorders>
            <w:vAlign w:val="center"/>
          </w:tcPr>
          <w:p w14:paraId="3759E265">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建立实施</w:t>
            </w:r>
          </w:p>
        </w:tc>
        <w:tc>
          <w:tcPr>
            <w:tcW w:w="1205" w:type="dxa"/>
            <w:tcBorders>
              <w:top w:val="single" w:color="auto" w:sz="4" w:space="0"/>
              <w:left w:val="single" w:color="auto" w:sz="4" w:space="0"/>
              <w:bottom w:val="single" w:color="auto" w:sz="4" w:space="0"/>
              <w:right w:val="single" w:color="auto" w:sz="4" w:space="0"/>
            </w:tcBorders>
            <w:vAlign w:val="center"/>
          </w:tcPr>
          <w:p w14:paraId="440C39E1">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建立实施</w:t>
            </w:r>
          </w:p>
        </w:tc>
        <w:tc>
          <w:tcPr>
            <w:tcW w:w="1205" w:type="dxa"/>
            <w:tcBorders>
              <w:top w:val="single" w:color="auto" w:sz="4" w:space="0"/>
              <w:left w:val="single" w:color="auto" w:sz="4" w:space="0"/>
              <w:bottom w:val="single" w:color="auto" w:sz="4" w:space="0"/>
              <w:right w:val="single" w:color="auto" w:sz="4" w:space="0"/>
            </w:tcBorders>
            <w:vAlign w:val="center"/>
          </w:tcPr>
          <w:p w14:paraId="5BFE8C1B">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建立实施</w:t>
            </w:r>
          </w:p>
        </w:tc>
        <w:tc>
          <w:tcPr>
            <w:tcW w:w="1205" w:type="dxa"/>
            <w:tcBorders>
              <w:top w:val="single" w:color="auto" w:sz="4" w:space="0"/>
              <w:left w:val="single" w:color="auto" w:sz="4" w:space="0"/>
              <w:bottom w:val="single" w:color="auto" w:sz="4" w:space="0"/>
              <w:right w:val="single" w:color="auto" w:sz="4" w:space="0"/>
            </w:tcBorders>
            <w:vAlign w:val="center"/>
          </w:tcPr>
          <w:p w14:paraId="4583D177">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建立实施</w:t>
            </w:r>
          </w:p>
        </w:tc>
        <w:tc>
          <w:tcPr>
            <w:tcW w:w="1123" w:type="dxa"/>
            <w:tcBorders>
              <w:top w:val="single" w:color="auto" w:sz="4" w:space="0"/>
              <w:left w:val="single" w:color="auto" w:sz="4" w:space="0"/>
              <w:bottom w:val="single" w:color="auto" w:sz="4" w:space="0"/>
              <w:right w:val="single" w:color="auto" w:sz="4" w:space="0"/>
            </w:tcBorders>
            <w:vAlign w:val="center"/>
          </w:tcPr>
          <w:p w14:paraId="7582CA08">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建立实施</w:t>
            </w:r>
          </w:p>
        </w:tc>
        <w:tc>
          <w:tcPr>
            <w:tcW w:w="992" w:type="dxa"/>
            <w:tcBorders>
              <w:top w:val="single" w:color="auto" w:sz="4" w:space="0"/>
              <w:left w:val="single" w:color="auto" w:sz="4" w:space="0"/>
              <w:bottom w:val="single" w:color="auto" w:sz="4" w:space="0"/>
              <w:right w:val="single" w:color="auto" w:sz="4" w:space="0"/>
            </w:tcBorders>
            <w:vAlign w:val="center"/>
          </w:tcPr>
          <w:p w14:paraId="421F8DCD">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建立实施</w:t>
            </w:r>
          </w:p>
        </w:tc>
        <w:tc>
          <w:tcPr>
            <w:tcW w:w="992" w:type="dxa"/>
            <w:tcBorders>
              <w:top w:val="single" w:color="auto" w:sz="4" w:space="0"/>
              <w:left w:val="single" w:color="auto" w:sz="4" w:space="0"/>
              <w:bottom w:val="single" w:color="auto" w:sz="4" w:space="0"/>
              <w:right w:val="single" w:color="auto" w:sz="4" w:space="0"/>
            </w:tcBorders>
            <w:vAlign w:val="center"/>
          </w:tcPr>
          <w:p w14:paraId="02920055">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区委办公室、区政府办公室</w:t>
            </w:r>
          </w:p>
        </w:tc>
        <w:tc>
          <w:tcPr>
            <w:tcW w:w="1985" w:type="dxa"/>
            <w:tcBorders>
              <w:top w:val="single" w:color="auto" w:sz="4" w:space="0"/>
              <w:left w:val="single" w:color="auto" w:sz="4" w:space="0"/>
              <w:bottom w:val="single" w:color="auto" w:sz="4" w:space="0"/>
              <w:right w:val="single" w:color="auto" w:sz="4" w:space="0"/>
            </w:tcBorders>
            <w:vAlign w:val="center"/>
          </w:tcPr>
          <w:p w14:paraId="0689FD65">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全区各相关部门</w:t>
            </w:r>
          </w:p>
        </w:tc>
      </w:tr>
      <w:tr w14:paraId="079B8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458" w:type="dxa"/>
            <w:vMerge w:val="continue"/>
            <w:tcBorders>
              <w:left w:val="single" w:color="auto" w:sz="4" w:space="0"/>
              <w:right w:val="single" w:color="auto" w:sz="4" w:space="0"/>
            </w:tcBorders>
            <w:vAlign w:val="center"/>
          </w:tcPr>
          <w:p w14:paraId="1A568117">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p>
        </w:tc>
        <w:tc>
          <w:tcPr>
            <w:tcW w:w="503" w:type="dxa"/>
            <w:vMerge w:val="continue"/>
            <w:tcBorders>
              <w:left w:val="single" w:color="auto" w:sz="4" w:space="0"/>
              <w:bottom w:val="single" w:color="auto" w:sz="4" w:space="0"/>
              <w:right w:val="single" w:color="auto" w:sz="4" w:space="0"/>
            </w:tcBorders>
            <w:vAlign w:val="center"/>
          </w:tcPr>
          <w:p w14:paraId="73710098">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p>
        </w:tc>
        <w:tc>
          <w:tcPr>
            <w:tcW w:w="534" w:type="dxa"/>
            <w:tcBorders>
              <w:top w:val="single" w:color="auto" w:sz="4" w:space="0"/>
              <w:left w:val="single" w:color="auto" w:sz="4" w:space="0"/>
              <w:bottom w:val="single" w:color="auto" w:sz="4" w:space="0"/>
              <w:right w:val="single" w:color="auto" w:sz="4" w:space="0"/>
            </w:tcBorders>
            <w:vAlign w:val="center"/>
          </w:tcPr>
          <w:p w14:paraId="2DCFB331">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20</w:t>
            </w:r>
          </w:p>
        </w:tc>
        <w:tc>
          <w:tcPr>
            <w:tcW w:w="2314" w:type="dxa"/>
            <w:tcBorders>
              <w:top w:val="single" w:color="auto" w:sz="4" w:space="0"/>
              <w:left w:val="single" w:color="auto" w:sz="4" w:space="0"/>
              <w:bottom w:val="single" w:color="auto" w:sz="4" w:space="0"/>
              <w:right w:val="single" w:color="auto" w:sz="4" w:space="0"/>
            </w:tcBorders>
            <w:vAlign w:val="center"/>
          </w:tcPr>
          <w:p w14:paraId="2CC510A2">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生态产品市场化机制</w:t>
            </w:r>
          </w:p>
        </w:tc>
        <w:tc>
          <w:tcPr>
            <w:tcW w:w="485" w:type="dxa"/>
            <w:tcBorders>
              <w:top w:val="single" w:color="auto" w:sz="4" w:space="0"/>
              <w:left w:val="single" w:color="auto" w:sz="4" w:space="0"/>
              <w:bottom w:val="single" w:color="auto" w:sz="4" w:space="0"/>
              <w:right w:val="single" w:color="auto" w:sz="4" w:space="0"/>
            </w:tcBorders>
            <w:vAlign w:val="center"/>
          </w:tcPr>
          <w:p w14:paraId="03A768D0">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w:t>
            </w:r>
          </w:p>
        </w:tc>
        <w:tc>
          <w:tcPr>
            <w:tcW w:w="1240" w:type="dxa"/>
            <w:tcBorders>
              <w:top w:val="single" w:color="auto" w:sz="4" w:space="0"/>
              <w:left w:val="single" w:color="auto" w:sz="4" w:space="0"/>
              <w:bottom w:val="single" w:color="auto" w:sz="4" w:space="0"/>
              <w:right w:val="single" w:color="auto" w:sz="4" w:space="0"/>
            </w:tcBorders>
            <w:vAlign w:val="center"/>
          </w:tcPr>
          <w:p w14:paraId="243BA277">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逐步建立</w:t>
            </w:r>
          </w:p>
        </w:tc>
        <w:tc>
          <w:tcPr>
            <w:tcW w:w="1205" w:type="dxa"/>
            <w:tcBorders>
              <w:top w:val="single" w:color="auto" w:sz="4" w:space="0"/>
              <w:left w:val="single" w:color="auto" w:sz="4" w:space="0"/>
              <w:bottom w:val="single" w:color="auto" w:sz="4" w:space="0"/>
              <w:right w:val="single" w:color="auto" w:sz="4" w:space="0"/>
            </w:tcBorders>
            <w:vAlign w:val="center"/>
          </w:tcPr>
          <w:p w14:paraId="4F3BAA59">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建立实施</w:t>
            </w:r>
          </w:p>
        </w:tc>
        <w:tc>
          <w:tcPr>
            <w:tcW w:w="1205" w:type="dxa"/>
            <w:tcBorders>
              <w:top w:val="single" w:color="auto" w:sz="4" w:space="0"/>
              <w:left w:val="single" w:color="auto" w:sz="4" w:space="0"/>
              <w:bottom w:val="single" w:color="auto" w:sz="4" w:space="0"/>
              <w:right w:val="single" w:color="auto" w:sz="4" w:space="0"/>
            </w:tcBorders>
            <w:vAlign w:val="center"/>
          </w:tcPr>
          <w:p w14:paraId="3FED1198">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建立实施</w:t>
            </w:r>
          </w:p>
        </w:tc>
        <w:tc>
          <w:tcPr>
            <w:tcW w:w="1205" w:type="dxa"/>
            <w:tcBorders>
              <w:top w:val="single" w:color="auto" w:sz="4" w:space="0"/>
              <w:left w:val="single" w:color="auto" w:sz="4" w:space="0"/>
              <w:bottom w:val="single" w:color="auto" w:sz="4" w:space="0"/>
              <w:right w:val="single" w:color="auto" w:sz="4" w:space="0"/>
            </w:tcBorders>
            <w:vAlign w:val="center"/>
          </w:tcPr>
          <w:p w14:paraId="357D945E">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建立实施</w:t>
            </w:r>
          </w:p>
        </w:tc>
        <w:tc>
          <w:tcPr>
            <w:tcW w:w="1205" w:type="dxa"/>
            <w:tcBorders>
              <w:top w:val="single" w:color="auto" w:sz="4" w:space="0"/>
              <w:left w:val="single" w:color="auto" w:sz="4" w:space="0"/>
              <w:bottom w:val="single" w:color="auto" w:sz="4" w:space="0"/>
              <w:right w:val="single" w:color="auto" w:sz="4" w:space="0"/>
            </w:tcBorders>
            <w:vAlign w:val="center"/>
          </w:tcPr>
          <w:p w14:paraId="40156034">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建立实施</w:t>
            </w:r>
          </w:p>
        </w:tc>
        <w:tc>
          <w:tcPr>
            <w:tcW w:w="1123" w:type="dxa"/>
            <w:tcBorders>
              <w:top w:val="single" w:color="auto" w:sz="4" w:space="0"/>
              <w:left w:val="single" w:color="auto" w:sz="4" w:space="0"/>
              <w:bottom w:val="single" w:color="auto" w:sz="4" w:space="0"/>
              <w:right w:val="single" w:color="auto" w:sz="4" w:space="0"/>
            </w:tcBorders>
            <w:vAlign w:val="center"/>
          </w:tcPr>
          <w:p w14:paraId="323C3A81">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建立实施</w:t>
            </w:r>
          </w:p>
        </w:tc>
        <w:tc>
          <w:tcPr>
            <w:tcW w:w="992" w:type="dxa"/>
            <w:tcBorders>
              <w:top w:val="single" w:color="auto" w:sz="4" w:space="0"/>
              <w:left w:val="single" w:color="auto" w:sz="4" w:space="0"/>
              <w:bottom w:val="single" w:color="auto" w:sz="4" w:space="0"/>
              <w:right w:val="single" w:color="auto" w:sz="4" w:space="0"/>
            </w:tcBorders>
            <w:vAlign w:val="center"/>
          </w:tcPr>
          <w:p w14:paraId="21A5B4D0">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建立实施</w:t>
            </w:r>
          </w:p>
        </w:tc>
        <w:tc>
          <w:tcPr>
            <w:tcW w:w="992" w:type="dxa"/>
            <w:tcBorders>
              <w:top w:val="single" w:color="auto" w:sz="4" w:space="0"/>
              <w:left w:val="single" w:color="auto" w:sz="4" w:space="0"/>
              <w:bottom w:val="single" w:color="auto" w:sz="4" w:space="0"/>
              <w:right w:val="single" w:color="auto" w:sz="4" w:space="0"/>
            </w:tcBorders>
            <w:vAlign w:val="center"/>
          </w:tcPr>
          <w:p w14:paraId="72412F8A">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区委办公室、区政府办公室</w:t>
            </w:r>
          </w:p>
        </w:tc>
        <w:tc>
          <w:tcPr>
            <w:tcW w:w="1985" w:type="dxa"/>
            <w:tcBorders>
              <w:top w:val="single" w:color="auto" w:sz="4" w:space="0"/>
              <w:left w:val="single" w:color="auto" w:sz="4" w:space="0"/>
              <w:bottom w:val="single" w:color="auto" w:sz="4" w:space="0"/>
              <w:right w:val="single" w:color="auto" w:sz="4" w:space="0"/>
            </w:tcBorders>
            <w:vAlign w:val="center"/>
          </w:tcPr>
          <w:p w14:paraId="4CCE3F6D">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全区各相关部门</w:t>
            </w:r>
          </w:p>
        </w:tc>
      </w:tr>
      <w:tr w14:paraId="41643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458" w:type="dxa"/>
            <w:vMerge w:val="continue"/>
            <w:tcBorders>
              <w:left w:val="single" w:color="auto" w:sz="4" w:space="0"/>
              <w:bottom w:val="single" w:color="auto" w:sz="4" w:space="0"/>
              <w:right w:val="single" w:color="auto" w:sz="4" w:space="0"/>
            </w:tcBorders>
            <w:vAlign w:val="center"/>
          </w:tcPr>
          <w:p w14:paraId="2A33B712">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p>
        </w:tc>
        <w:tc>
          <w:tcPr>
            <w:tcW w:w="503" w:type="dxa"/>
            <w:tcBorders>
              <w:top w:val="single" w:color="auto" w:sz="4" w:space="0"/>
              <w:left w:val="single" w:color="auto" w:sz="4" w:space="0"/>
              <w:bottom w:val="single" w:color="auto" w:sz="4" w:space="0"/>
              <w:right w:val="single" w:color="auto" w:sz="4" w:space="0"/>
            </w:tcBorders>
            <w:vAlign w:val="center"/>
          </w:tcPr>
          <w:p w14:paraId="51ED7B24">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资金保障</w:t>
            </w:r>
          </w:p>
        </w:tc>
        <w:tc>
          <w:tcPr>
            <w:tcW w:w="534" w:type="dxa"/>
            <w:tcBorders>
              <w:top w:val="single" w:color="auto" w:sz="4" w:space="0"/>
              <w:left w:val="single" w:color="auto" w:sz="4" w:space="0"/>
              <w:bottom w:val="single" w:color="auto" w:sz="4" w:space="0"/>
              <w:right w:val="single" w:color="auto" w:sz="4" w:space="0"/>
            </w:tcBorders>
            <w:vAlign w:val="center"/>
          </w:tcPr>
          <w:p w14:paraId="71B4A43C">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21</w:t>
            </w:r>
          </w:p>
        </w:tc>
        <w:tc>
          <w:tcPr>
            <w:tcW w:w="2314" w:type="dxa"/>
            <w:tcBorders>
              <w:top w:val="single" w:color="auto" w:sz="4" w:space="0"/>
              <w:left w:val="single" w:color="auto" w:sz="4" w:space="0"/>
              <w:bottom w:val="single" w:color="auto" w:sz="4" w:space="0"/>
              <w:right w:val="single" w:color="auto" w:sz="4" w:space="0"/>
            </w:tcBorders>
            <w:vAlign w:val="center"/>
          </w:tcPr>
          <w:p w14:paraId="31956C33">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生态环保投入占</w:t>
            </w: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GDP比重</w:t>
            </w:r>
          </w:p>
        </w:tc>
        <w:tc>
          <w:tcPr>
            <w:tcW w:w="485" w:type="dxa"/>
            <w:tcBorders>
              <w:top w:val="single" w:color="auto" w:sz="4" w:space="0"/>
              <w:left w:val="single" w:color="auto" w:sz="4" w:space="0"/>
              <w:bottom w:val="single" w:color="auto" w:sz="4" w:space="0"/>
              <w:right w:val="single" w:color="auto" w:sz="4" w:space="0"/>
            </w:tcBorders>
            <w:vAlign w:val="center"/>
          </w:tcPr>
          <w:p w14:paraId="47F2C238">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w:t>
            </w:r>
          </w:p>
        </w:tc>
        <w:tc>
          <w:tcPr>
            <w:tcW w:w="1240" w:type="dxa"/>
            <w:tcBorders>
              <w:top w:val="single" w:color="auto" w:sz="4" w:space="0"/>
              <w:left w:val="single" w:color="auto" w:sz="4" w:space="0"/>
              <w:bottom w:val="single" w:color="auto" w:sz="4" w:space="0"/>
              <w:right w:val="single" w:color="auto" w:sz="4" w:space="0"/>
            </w:tcBorders>
            <w:vAlign w:val="center"/>
          </w:tcPr>
          <w:p w14:paraId="79A6BEB9">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2</w:t>
            </w: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.97</w:t>
            </w:r>
          </w:p>
        </w:tc>
        <w:tc>
          <w:tcPr>
            <w:tcW w:w="1205" w:type="dxa"/>
            <w:tcBorders>
              <w:top w:val="single" w:color="auto" w:sz="4" w:space="0"/>
              <w:left w:val="single" w:color="auto" w:sz="4" w:space="0"/>
              <w:bottom w:val="single" w:color="auto" w:sz="4" w:space="0"/>
              <w:right w:val="single" w:color="auto" w:sz="4" w:space="0"/>
            </w:tcBorders>
            <w:vAlign w:val="center"/>
          </w:tcPr>
          <w:p w14:paraId="49219AEE">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3%</w:t>
            </w:r>
          </w:p>
        </w:tc>
        <w:tc>
          <w:tcPr>
            <w:tcW w:w="1205" w:type="dxa"/>
            <w:tcBorders>
              <w:top w:val="single" w:color="auto" w:sz="4" w:space="0"/>
              <w:left w:val="single" w:color="auto" w:sz="4" w:space="0"/>
              <w:bottom w:val="single" w:color="auto" w:sz="4" w:space="0"/>
              <w:right w:val="single" w:color="auto" w:sz="4" w:space="0"/>
            </w:tcBorders>
            <w:vAlign w:val="center"/>
          </w:tcPr>
          <w:p w14:paraId="4FBB456B">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&gt;3%</w:t>
            </w:r>
          </w:p>
        </w:tc>
        <w:tc>
          <w:tcPr>
            <w:tcW w:w="1205" w:type="dxa"/>
            <w:tcBorders>
              <w:top w:val="single" w:color="auto" w:sz="4" w:space="0"/>
              <w:left w:val="single" w:color="auto" w:sz="4" w:space="0"/>
              <w:bottom w:val="single" w:color="auto" w:sz="4" w:space="0"/>
              <w:right w:val="single" w:color="auto" w:sz="4" w:space="0"/>
            </w:tcBorders>
            <w:vAlign w:val="center"/>
          </w:tcPr>
          <w:p w14:paraId="54364EB8">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&gt;3%</w:t>
            </w:r>
          </w:p>
        </w:tc>
        <w:tc>
          <w:tcPr>
            <w:tcW w:w="1205" w:type="dxa"/>
            <w:tcBorders>
              <w:top w:val="single" w:color="auto" w:sz="4" w:space="0"/>
              <w:left w:val="single" w:color="auto" w:sz="4" w:space="0"/>
              <w:bottom w:val="single" w:color="auto" w:sz="4" w:space="0"/>
              <w:right w:val="single" w:color="auto" w:sz="4" w:space="0"/>
            </w:tcBorders>
            <w:vAlign w:val="center"/>
          </w:tcPr>
          <w:p w14:paraId="355B3D67">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&gt;3%</w:t>
            </w:r>
          </w:p>
        </w:tc>
        <w:tc>
          <w:tcPr>
            <w:tcW w:w="1123" w:type="dxa"/>
            <w:tcBorders>
              <w:top w:val="single" w:color="auto" w:sz="4" w:space="0"/>
              <w:left w:val="single" w:color="auto" w:sz="4" w:space="0"/>
              <w:bottom w:val="single" w:color="auto" w:sz="4" w:space="0"/>
              <w:right w:val="single" w:color="auto" w:sz="4" w:space="0"/>
            </w:tcBorders>
            <w:vAlign w:val="center"/>
          </w:tcPr>
          <w:p w14:paraId="34186157">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&gt;3%</w:t>
            </w:r>
          </w:p>
        </w:tc>
        <w:tc>
          <w:tcPr>
            <w:tcW w:w="992" w:type="dxa"/>
            <w:tcBorders>
              <w:top w:val="single" w:color="auto" w:sz="4" w:space="0"/>
              <w:left w:val="single" w:color="auto" w:sz="4" w:space="0"/>
              <w:bottom w:val="single" w:color="auto" w:sz="4" w:space="0"/>
              <w:right w:val="single" w:color="auto" w:sz="4" w:space="0"/>
            </w:tcBorders>
            <w:vAlign w:val="center"/>
          </w:tcPr>
          <w:p w14:paraId="3F99F86F">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&gt;3%</w:t>
            </w:r>
          </w:p>
        </w:tc>
        <w:tc>
          <w:tcPr>
            <w:tcW w:w="992" w:type="dxa"/>
            <w:tcBorders>
              <w:top w:val="single" w:color="auto" w:sz="4" w:space="0"/>
              <w:left w:val="single" w:color="auto" w:sz="4" w:space="0"/>
              <w:bottom w:val="single" w:color="auto" w:sz="4" w:space="0"/>
              <w:right w:val="single" w:color="auto" w:sz="4" w:space="0"/>
            </w:tcBorders>
            <w:vAlign w:val="center"/>
          </w:tcPr>
          <w:p w14:paraId="48EA6AFF">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区财政局</w:t>
            </w:r>
          </w:p>
        </w:tc>
        <w:tc>
          <w:tcPr>
            <w:tcW w:w="1985" w:type="dxa"/>
            <w:tcBorders>
              <w:top w:val="single" w:color="auto" w:sz="4" w:space="0"/>
              <w:left w:val="single" w:color="auto" w:sz="4" w:space="0"/>
              <w:bottom w:val="single" w:color="auto" w:sz="4" w:space="0"/>
              <w:right w:val="single" w:color="auto" w:sz="4" w:space="0"/>
            </w:tcBorders>
            <w:vAlign w:val="center"/>
          </w:tcPr>
          <w:p w14:paraId="7DE34196">
            <w:pPr>
              <w:adjustRightInd w:val="0"/>
              <w:snapToGrid w:val="0"/>
              <w:spacing w:line="24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区发展改革委</w:t>
            </w: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、区生态环境局、区林业局、</w:t>
            </w: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区规划自然资源局</w:t>
            </w: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、区水利局</w:t>
            </w:r>
          </w:p>
        </w:tc>
      </w:tr>
      <w:bookmarkEnd w:id="161"/>
    </w:tbl>
    <w:p w14:paraId="1AA6B63B">
      <w:pPr>
        <w:adjustRightInd w:val="0"/>
        <w:snapToGrid w:val="0"/>
        <w:spacing w:line="240" w:lineRule="exact"/>
        <w:ind w:left="-63" w:leftChars="-30" w:right="-63" w:rightChars="-30"/>
        <w:jc w:val="center"/>
        <w:rPr>
          <w:rFonts w:ascii="Times New Roman" w:hAnsi="Times New Roman" w:eastAsia="方正黑体_GBK" w:cs="Times New Roman"/>
          <w:bCs/>
          <w:color w:val="0D0D0D" w:themeColor="text1" w:themeTint="F2"/>
          <w:sz w:val="32"/>
          <w:szCs w:val="32"/>
          <w14:textFill>
            <w14:solidFill>
              <w14:schemeClr w14:val="tx1">
                <w14:lumMod w14:val="95000"/>
                <w14:lumOff w14:val="5000"/>
              </w14:schemeClr>
            </w14:solidFill>
          </w14:textFill>
        </w:rPr>
      </w:pPr>
    </w:p>
    <w:p w14:paraId="6E660298">
      <w:pPr>
        <w:widowControl/>
        <w:jc w:val="left"/>
        <w:rPr>
          <w:rFonts w:ascii="Times New Roman" w:hAnsi="Times New Roman" w:eastAsia="方正黑体_GBK" w:cs="Times New Roman"/>
          <w:bCs/>
          <w:color w:val="0D0D0D" w:themeColor="text1" w:themeTint="F2"/>
          <w:sz w:val="32"/>
          <w:szCs w:val="32"/>
          <w14:textFill>
            <w14:solidFill>
              <w14:schemeClr w14:val="tx1">
                <w14:lumMod w14:val="95000"/>
                <w14:lumOff w14:val="5000"/>
              </w14:schemeClr>
            </w14:solidFill>
          </w14:textFill>
        </w:rPr>
      </w:pPr>
      <w:r>
        <w:rPr>
          <w:rFonts w:ascii="Times New Roman" w:hAnsi="Times New Roman" w:eastAsia="方正黑体_GBK" w:cs="Times New Roman"/>
          <w:bCs/>
          <w:color w:val="0D0D0D" w:themeColor="text1" w:themeTint="F2"/>
          <w:sz w:val="32"/>
          <w:szCs w:val="32"/>
          <w14:textFill>
            <w14:solidFill>
              <w14:schemeClr w14:val="tx1">
                <w14:lumMod w14:val="95000"/>
                <w14:lumOff w14:val="5000"/>
              </w14:schemeClr>
            </w14:solidFill>
          </w14:textFill>
        </w:rPr>
        <w:br w:type="page"/>
      </w:r>
    </w:p>
    <w:p w14:paraId="19136B1E">
      <w:pPr>
        <w:outlineLvl w:val="0"/>
        <w:rPr>
          <w:rFonts w:ascii="Times New Roman" w:hAnsi="Times New Roman" w:eastAsia="方正黑体_GBK" w:cs="Times New Roman"/>
          <w:bCs/>
          <w:color w:val="0D0D0D" w:themeColor="text1" w:themeTint="F2"/>
          <w:sz w:val="32"/>
          <w:szCs w:val="32"/>
          <w14:textFill>
            <w14:solidFill>
              <w14:schemeClr w14:val="tx1">
                <w14:lumMod w14:val="95000"/>
                <w14:lumOff w14:val="5000"/>
              </w14:schemeClr>
            </w14:solidFill>
          </w14:textFill>
        </w:rPr>
      </w:pPr>
      <w:bookmarkStart w:id="164" w:name="_Toc48157901"/>
      <w:r>
        <w:rPr>
          <w:rFonts w:ascii="Times New Roman" w:hAnsi="Times New Roman" w:eastAsia="方正黑体_GBK" w:cs="Times New Roman"/>
          <w:bCs/>
          <w:color w:val="0D0D0D" w:themeColor="text1" w:themeTint="F2"/>
          <w:sz w:val="32"/>
          <w:szCs w:val="32"/>
          <w14:textFill>
            <w14:solidFill>
              <w14:schemeClr w14:val="tx1">
                <w14:lumMod w14:val="95000"/>
                <w14:lumOff w14:val="5000"/>
              </w14:schemeClr>
            </w14:solidFill>
          </w14:textFill>
        </w:rPr>
        <w:t xml:space="preserve">附件3 </w:t>
      </w:r>
      <w:r>
        <w:rPr>
          <w:rFonts w:hint="eastAsia" w:ascii="Times New Roman" w:hAnsi="Times New Roman" w:eastAsia="方正黑体_GBK" w:cs="Times New Roman"/>
          <w:bCs/>
          <w:color w:val="0D0D0D" w:themeColor="text1" w:themeTint="F2"/>
          <w:sz w:val="32"/>
          <w:szCs w:val="32"/>
          <w14:textFill>
            <w14:solidFill>
              <w14:schemeClr w14:val="tx1">
                <w14:lumMod w14:val="95000"/>
                <w14:lumOff w14:val="5000"/>
              </w14:schemeClr>
            </w14:solidFill>
          </w14:textFill>
        </w:rPr>
        <w:t>北碚区“两山”实践创新基地建设重点项目</w:t>
      </w:r>
      <w:bookmarkEnd w:id="164"/>
    </w:p>
    <w:tbl>
      <w:tblPr>
        <w:tblStyle w:val="5"/>
        <w:tblW w:w="13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364"/>
        <w:gridCol w:w="1330"/>
        <w:gridCol w:w="6664"/>
        <w:gridCol w:w="1133"/>
        <w:gridCol w:w="2128"/>
        <w:gridCol w:w="1551"/>
      </w:tblGrid>
      <w:tr w14:paraId="027FD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5" w:hRule="atLeast"/>
          <w:tblHeader/>
          <w:jc w:val="center"/>
        </w:trPr>
        <w:tc>
          <w:tcPr>
            <w:tcW w:w="364" w:type="dxa"/>
            <w:shd w:val="clear" w:color="auto" w:fill="auto"/>
            <w:vAlign w:val="center"/>
          </w:tcPr>
          <w:p w14:paraId="1F4E88E4">
            <w:pPr>
              <w:adjustRightInd w:val="0"/>
              <w:snapToGrid w:val="0"/>
              <w:spacing w:line="300" w:lineRule="exact"/>
              <w:ind w:left="-63" w:leftChars="-30" w:right="-63" w:rightChars="-30"/>
              <w:jc w:val="center"/>
              <w:rPr>
                <w:rFonts w:ascii="Times New Roman" w:hAnsi="Times New Roman" w:eastAsia="方正黑体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黑体_GBK" w:cs="Times New Roman"/>
                <w:bCs/>
                <w:color w:val="0D0D0D" w:themeColor="text1" w:themeTint="F2"/>
                <w:szCs w:val="21"/>
                <w14:textFill>
                  <w14:solidFill>
                    <w14:schemeClr w14:val="tx1">
                      <w14:lumMod w14:val="95000"/>
                      <w14:lumOff w14:val="5000"/>
                    </w14:schemeClr>
                  </w14:solidFill>
                </w14:textFill>
              </w:rPr>
              <w:t>序号</w:t>
            </w:r>
          </w:p>
        </w:tc>
        <w:tc>
          <w:tcPr>
            <w:tcW w:w="1330" w:type="dxa"/>
            <w:shd w:val="clear" w:color="auto" w:fill="auto"/>
            <w:vAlign w:val="center"/>
          </w:tcPr>
          <w:p w14:paraId="2FE77CA1">
            <w:pPr>
              <w:adjustRightInd w:val="0"/>
              <w:snapToGrid w:val="0"/>
              <w:spacing w:line="300" w:lineRule="exact"/>
              <w:ind w:left="-63" w:leftChars="-30" w:right="-63" w:rightChars="-30"/>
              <w:jc w:val="center"/>
              <w:rPr>
                <w:rFonts w:ascii="Times New Roman" w:hAnsi="Times New Roman" w:eastAsia="方正黑体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黑体_GBK" w:cs="Times New Roman"/>
                <w:bCs/>
                <w:color w:val="0D0D0D" w:themeColor="text1" w:themeTint="F2"/>
                <w:szCs w:val="21"/>
                <w14:textFill>
                  <w14:solidFill>
                    <w14:schemeClr w14:val="tx1">
                      <w14:lumMod w14:val="95000"/>
                      <w14:lumOff w14:val="5000"/>
                    </w14:schemeClr>
                  </w14:solidFill>
                </w14:textFill>
              </w:rPr>
              <w:t>项目名称</w:t>
            </w:r>
          </w:p>
        </w:tc>
        <w:tc>
          <w:tcPr>
            <w:tcW w:w="6664" w:type="dxa"/>
            <w:shd w:val="clear" w:color="auto" w:fill="auto"/>
            <w:vAlign w:val="center"/>
          </w:tcPr>
          <w:p w14:paraId="4EA2A1FF">
            <w:pPr>
              <w:adjustRightInd w:val="0"/>
              <w:snapToGrid w:val="0"/>
              <w:spacing w:line="300" w:lineRule="exact"/>
              <w:ind w:left="-63" w:leftChars="-30" w:right="-63" w:rightChars="-30"/>
              <w:jc w:val="center"/>
              <w:rPr>
                <w:rFonts w:ascii="Times New Roman" w:hAnsi="Times New Roman" w:eastAsia="方正黑体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黑体_GBK" w:cs="Times New Roman"/>
                <w:bCs/>
                <w:color w:val="0D0D0D" w:themeColor="text1" w:themeTint="F2"/>
                <w:szCs w:val="21"/>
                <w14:textFill>
                  <w14:solidFill>
                    <w14:schemeClr w14:val="tx1">
                      <w14:lumMod w14:val="95000"/>
                      <w14:lumOff w14:val="5000"/>
                    </w14:schemeClr>
                  </w14:solidFill>
                </w14:textFill>
              </w:rPr>
              <w:t>项目内容</w:t>
            </w:r>
          </w:p>
        </w:tc>
        <w:tc>
          <w:tcPr>
            <w:tcW w:w="1133" w:type="dxa"/>
            <w:shd w:val="clear" w:color="auto" w:fill="auto"/>
            <w:vAlign w:val="center"/>
          </w:tcPr>
          <w:p w14:paraId="03770146">
            <w:pPr>
              <w:adjustRightInd w:val="0"/>
              <w:snapToGrid w:val="0"/>
              <w:spacing w:line="300" w:lineRule="exact"/>
              <w:ind w:left="-63" w:leftChars="-30" w:right="-63" w:rightChars="-30"/>
              <w:jc w:val="center"/>
              <w:rPr>
                <w:rFonts w:ascii="Times New Roman" w:hAnsi="Times New Roman" w:eastAsia="方正黑体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黑体_GBK" w:cs="Times New Roman"/>
                <w:bCs/>
                <w:color w:val="0D0D0D" w:themeColor="text1" w:themeTint="F2"/>
                <w:szCs w:val="21"/>
                <w14:textFill>
                  <w14:solidFill>
                    <w14:schemeClr w14:val="tx1">
                      <w14:lumMod w14:val="95000"/>
                      <w14:lumOff w14:val="5000"/>
                    </w14:schemeClr>
                  </w14:solidFill>
                </w14:textFill>
              </w:rPr>
              <w:t>实施年度</w:t>
            </w:r>
          </w:p>
        </w:tc>
        <w:tc>
          <w:tcPr>
            <w:tcW w:w="2128" w:type="dxa"/>
            <w:vAlign w:val="center"/>
          </w:tcPr>
          <w:p w14:paraId="25D81A67">
            <w:pPr>
              <w:adjustRightInd w:val="0"/>
              <w:snapToGrid w:val="0"/>
              <w:spacing w:line="300" w:lineRule="exact"/>
              <w:ind w:left="-63" w:leftChars="-30" w:right="-63" w:rightChars="-30"/>
              <w:jc w:val="center"/>
              <w:rPr>
                <w:rFonts w:ascii="Times New Roman" w:hAnsi="Times New Roman" w:eastAsia="方正黑体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黑体_GBK" w:cs="Times New Roman"/>
                <w:bCs/>
                <w:color w:val="0D0D0D" w:themeColor="text1" w:themeTint="F2"/>
                <w:szCs w:val="21"/>
                <w14:textFill>
                  <w14:solidFill>
                    <w14:schemeClr w14:val="tx1">
                      <w14:lumMod w14:val="95000"/>
                      <w14:lumOff w14:val="5000"/>
                    </w14:schemeClr>
                  </w14:solidFill>
                </w14:textFill>
              </w:rPr>
              <w:t>对应指标</w:t>
            </w:r>
          </w:p>
        </w:tc>
        <w:tc>
          <w:tcPr>
            <w:tcW w:w="1551" w:type="dxa"/>
            <w:shd w:val="clear" w:color="auto" w:fill="auto"/>
            <w:vAlign w:val="center"/>
          </w:tcPr>
          <w:p w14:paraId="1A31FF02">
            <w:pPr>
              <w:adjustRightInd w:val="0"/>
              <w:snapToGrid w:val="0"/>
              <w:spacing w:line="300" w:lineRule="exact"/>
              <w:ind w:left="-63" w:leftChars="-30" w:right="-63" w:rightChars="-30"/>
              <w:jc w:val="center"/>
              <w:rPr>
                <w:rFonts w:ascii="Times New Roman" w:hAnsi="Times New Roman" w:eastAsia="方正黑体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黑体_GBK" w:cs="Times New Roman"/>
                <w:bCs/>
                <w:color w:val="0D0D0D" w:themeColor="text1" w:themeTint="F2"/>
                <w:szCs w:val="21"/>
                <w14:textFill>
                  <w14:solidFill>
                    <w14:schemeClr w14:val="tx1">
                      <w14:lumMod w14:val="95000"/>
                      <w14:lumOff w14:val="5000"/>
                    </w14:schemeClr>
                  </w14:solidFill>
                </w14:textFill>
              </w:rPr>
              <w:t>牵头单位</w:t>
            </w:r>
          </w:p>
        </w:tc>
      </w:tr>
      <w:tr w14:paraId="090F3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79" w:hRule="atLeast"/>
          <w:jc w:val="center"/>
        </w:trPr>
        <w:tc>
          <w:tcPr>
            <w:tcW w:w="13170" w:type="dxa"/>
            <w:gridSpan w:val="6"/>
            <w:vAlign w:val="center"/>
          </w:tcPr>
          <w:p w14:paraId="7EE4ECD7">
            <w:pPr>
              <w:adjustRightInd w:val="0"/>
              <w:snapToGrid w:val="0"/>
              <w:spacing w:line="300" w:lineRule="exact"/>
              <w:ind w:left="-63" w:leftChars="-30" w:right="-63" w:rightChars="-30"/>
              <w:jc w:val="left"/>
              <w:rPr>
                <w:rFonts w:ascii="方正楷体_GBK" w:hAnsi="等线" w:eastAsia="方正楷体_GBK" w:cs="宋体"/>
                <w:b/>
                <w:color w:val="0D0D0D" w:themeColor="text1" w:themeTint="F2"/>
                <w:kern w:val="0"/>
                <w:szCs w:val="21"/>
                <w14:textFill>
                  <w14:solidFill>
                    <w14:schemeClr w14:val="tx1">
                      <w14:lumMod w14:val="95000"/>
                      <w14:lumOff w14:val="5000"/>
                    </w14:schemeClr>
                  </w14:solidFill>
                </w14:textFill>
              </w:rPr>
            </w:pPr>
            <w:r>
              <w:rPr>
                <w:rFonts w:hint="eastAsia" w:ascii="方正楷体_GBK" w:hAnsi="Times New Roman" w:eastAsia="方正楷体_GBK" w:cs="Times New Roman"/>
                <w:b/>
                <w:color w:val="0D0D0D" w:themeColor="text1" w:themeTint="F2"/>
                <w:szCs w:val="21"/>
                <w14:textFill>
                  <w14:solidFill>
                    <w14:schemeClr w14:val="tx1">
                      <w14:lumMod w14:val="95000"/>
                      <w14:lumOff w14:val="5000"/>
                    </w14:schemeClr>
                  </w14:solidFill>
                </w14:textFill>
              </w:rPr>
              <w:t>一、严格生态空间管控</w:t>
            </w:r>
          </w:p>
        </w:tc>
      </w:tr>
      <w:tr w14:paraId="59A5A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65" w:hRule="atLeast"/>
          <w:jc w:val="center"/>
        </w:trPr>
        <w:tc>
          <w:tcPr>
            <w:tcW w:w="364" w:type="dxa"/>
            <w:shd w:val="clear" w:color="auto" w:fill="auto"/>
            <w:vAlign w:val="center"/>
          </w:tcPr>
          <w:p w14:paraId="721D1C97">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1</w:t>
            </w:r>
          </w:p>
        </w:tc>
        <w:tc>
          <w:tcPr>
            <w:tcW w:w="1330" w:type="dxa"/>
            <w:shd w:val="clear" w:color="auto" w:fill="auto"/>
            <w:vAlign w:val="center"/>
          </w:tcPr>
          <w:p w14:paraId="73059893">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国土空间规划编制</w:t>
            </w:r>
          </w:p>
        </w:tc>
        <w:tc>
          <w:tcPr>
            <w:tcW w:w="6664" w:type="dxa"/>
            <w:shd w:val="clear" w:color="auto" w:fill="auto"/>
            <w:vAlign w:val="center"/>
          </w:tcPr>
          <w:p w14:paraId="633FFA7B">
            <w:pPr>
              <w:adjustRightInd w:val="0"/>
              <w:snapToGrid w:val="0"/>
              <w:spacing w:line="300" w:lineRule="exact"/>
              <w:ind w:left="-63" w:leftChars="-30" w:right="-63" w:rightChars="-30"/>
              <w:jc w:val="left"/>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推进北碚区国土空间总体规划编制，开展分区规划编制，完善缙云山国土空间规划等专项规划，推动区域详细规划编制工作。按照“2020年村规划编制全覆盖”的总要求，推进剩余村规划的编制工作。</w:t>
            </w:r>
          </w:p>
        </w:tc>
        <w:tc>
          <w:tcPr>
            <w:tcW w:w="1133" w:type="dxa"/>
            <w:shd w:val="clear" w:color="auto" w:fill="auto"/>
            <w:vAlign w:val="center"/>
          </w:tcPr>
          <w:p w14:paraId="031AD094">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2020-2021</w:t>
            </w:r>
          </w:p>
        </w:tc>
        <w:tc>
          <w:tcPr>
            <w:tcW w:w="2128" w:type="dxa"/>
            <w:vAlign w:val="center"/>
          </w:tcPr>
          <w:p w14:paraId="1AD24521">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生态保护红线面积</w:t>
            </w:r>
          </w:p>
        </w:tc>
        <w:tc>
          <w:tcPr>
            <w:tcW w:w="1551" w:type="dxa"/>
            <w:shd w:val="clear" w:color="auto" w:fill="auto"/>
            <w:vAlign w:val="center"/>
          </w:tcPr>
          <w:p w14:paraId="1843BF6D">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区规划自然资源局</w:t>
            </w:r>
          </w:p>
        </w:tc>
      </w:tr>
      <w:tr w14:paraId="6785B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65" w:hRule="atLeast"/>
          <w:jc w:val="center"/>
        </w:trPr>
        <w:tc>
          <w:tcPr>
            <w:tcW w:w="364" w:type="dxa"/>
            <w:shd w:val="clear" w:color="auto" w:fill="auto"/>
            <w:vAlign w:val="center"/>
          </w:tcPr>
          <w:p w14:paraId="4A0B5E9C">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2</w:t>
            </w:r>
          </w:p>
        </w:tc>
        <w:tc>
          <w:tcPr>
            <w:tcW w:w="1330" w:type="dxa"/>
            <w:shd w:val="clear" w:color="auto" w:fill="auto"/>
            <w:vAlign w:val="center"/>
          </w:tcPr>
          <w:p w14:paraId="408FA11D">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缙云山、中梁山保护提升</w:t>
            </w:r>
          </w:p>
        </w:tc>
        <w:tc>
          <w:tcPr>
            <w:tcW w:w="6664" w:type="dxa"/>
            <w:shd w:val="clear" w:color="auto" w:fill="auto"/>
            <w:vAlign w:val="center"/>
          </w:tcPr>
          <w:p w14:paraId="6AF8618D">
            <w:pPr>
              <w:adjustRightInd w:val="0"/>
              <w:snapToGrid w:val="0"/>
              <w:spacing w:line="300" w:lineRule="exact"/>
              <w:ind w:left="-63" w:leftChars="-30" w:right="-63" w:rightChars="-30"/>
              <w:jc w:val="left"/>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落实实施《重庆市主城区“四山”保护提升实施方案》，落实源头管控。</w:t>
            </w:r>
          </w:p>
        </w:tc>
        <w:tc>
          <w:tcPr>
            <w:tcW w:w="1133" w:type="dxa"/>
            <w:shd w:val="clear" w:color="auto" w:fill="auto"/>
            <w:vAlign w:val="center"/>
          </w:tcPr>
          <w:p w14:paraId="1D7A3DC6">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2020-2021</w:t>
            </w:r>
          </w:p>
        </w:tc>
        <w:tc>
          <w:tcPr>
            <w:tcW w:w="2128" w:type="dxa"/>
            <w:vAlign w:val="center"/>
          </w:tcPr>
          <w:p w14:paraId="2ECECF15">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生态保护红线面积</w:t>
            </w:r>
          </w:p>
        </w:tc>
        <w:tc>
          <w:tcPr>
            <w:tcW w:w="1551" w:type="dxa"/>
            <w:shd w:val="clear" w:color="auto" w:fill="auto"/>
            <w:vAlign w:val="center"/>
          </w:tcPr>
          <w:p w14:paraId="67D167E7">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区规划自然资源局</w:t>
            </w:r>
          </w:p>
        </w:tc>
      </w:tr>
      <w:tr w14:paraId="7B3C8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65" w:hRule="atLeast"/>
          <w:jc w:val="center"/>
        </w:trPr>
        <w:tc>
          <w:tcPr>
            <w:tcW w:w="364" w:type="dxa"/>
            <w:shd w:val="clear" w:color="auto" w:fill="auto"/>
            <w:vAlign w:val="center"/>
          </w:tcPr>
          <w:p w14:paraId="5D3963B5">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3</w:t>
            </w:r>
          </w:p>
        </w:tc>
        <w:tc>
          <w:tcPr>
            <w:tcW w:w="1330" w:type="dxa"/>
            <w:shd w:val="clear" w:color="auto" w:fill="auto"/>
            <w:vAlign w:val="center"/>
          </w:tcPr>
          <w:p w14:paraId="7155B5D8">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生态保护红线勘界定标</w:t>
            </w:r>
          </w:p>
        </w:tc>
        <w:tc>
          <w:tcPr>
            <w:tcW w:w="6664" w:type="dxa"/>
            <w:shd w:val="clear" w:color="auto" w:fill="auto"/>
            <w:vAlign w:val="center"/>
          </w:tcPr>
          <w:p w14:paraId="55136E9D">
            <w:pPr>
              <w:adjustRightInd w:val="0"/>
              <w:snapToGrid w:val="0"/>
              <w:spacing w:line="300" w:lineRule="exact"/>
              <w:ind w:left="-63" w:leftChars="-30" w:right="-63" w:rightChars="-30"/>
              <w:jc w:val="left"/>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全面推进生态保护红线勘界定标工作，制定技术方案，设立统一规范的标示标牌。</w:t>
            </w:r>
          </w:p>
        </w:tc>
        <w:tc>
          <w:tcPr>
            <w:tcW w:w="1133" w:type="dxa"/>
            <w:shd w:val="clear" w:color="auto" w:fill="auto"/>
            <w:vAlign w:val="center"/>
          </w:tcPr>
          <w:p w14:paraId="0AF5DBBC">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2020-2021</w:t>
            </w:r>
          </w:p>
        </w:tc>
        <w:tc>
          <w:tcPr>
            <w:tcW w:w="2128" w:type="dxa"/>
            <w:vAlign w:val="center"/>
          </w:tcPr>
          <w:p w14:paraId="72E07555">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生态保护红线面积</w:t>
            </w:r>
          </w:p>
        </w:tc>
        <w:tc>
          <w:tcPr>
            <w:tcW w:w="1551" w:type="dxa"/>
            <w:shd w:val="clear" w:color="auto" w:fill="auto"/>
            <w:vAlign w:val="center"/>
          </w:tcPr>
          <w:p w14:paraId="0E5B622E">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区规划自然资源局</w:t>
            </w:r>
          </w:p>
        </w:tc>
      </w:tr>
      <w:tr w14:paraId="4FAB7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46" w:hRule="atLeast"/>
          <w:jc w:val="center"/>
        </w:trPr>
        <w:tc>
          <w:tcPr>
            <w:tcW w:w="13170" w:type="dxa"/>
            <w:gridSpan w:val="6"/>
            <w:shd w:val="clear" w:color="auto" w:fill="auto"/>
            <w:vAlign w:val="center"/>
          </w:tcPr>
          <w:p w14:paraId="2F83619F">
            <w:pPr>
              <w:adjustRightInd w:val="0"/>
              <w:snapToGrid w:val="0"/>
              <w:spacing w:line="300" w:lineRule="exact"/>
              <w:ind w:left="-63" w:leftChars="-30" w:right="-63" w:rightChars="-30"/>
              <w:jc w:val="left"/>
              <w:rPr>
                <w:rFonts w:ascii="Times New Roman" w:hAnsi="Times New Roman" w:eastAsia="方正仿宋_GBK" w:cs="Times New Roman"/>
                <w:b/>
                <w:color w:val="0D0D0D" w:themeColor="text1" w:themeTint="F2"/>
                <w:szCs w:val="21"/>
                <w14:textFill>
                  <w14:solidFill>
                    <w14:schemeClr w14:val="tx1">
                      <w14:lumMod w14:val="95000"/>
                      <w14:lumOff w14:val="5000"/>
                    </w14:schemeClr>
                  </w14:solidFill>
                </w14:textFill>
              </w:rPr>
            </w:pPr>
            <w:r>
              <w:rPr>
                <w:rFonts w:hint="eastAsia" w:ascii="方正楷体_GBK" w:hAnsi="Times New Roman" w:eastAsia="方正楷体_GBK" w:cs="Times New Roman"/>
                <w:b/>
                <w:color w:val="0D0D0D" w:themeColor="text1" w:themeTint="F2"/>
                <w:szCs w:val="21"/>
                <w14:textFill>
                  <w14:solidFill>
                    <w14:schemeClr w14:val="tx1">
                      <w14:lumMod w14:val="95000"/>
                      <w14:lumOff w14:val="5000"/>
                    </w14:schemeClr>
                  </w14:solidFill>
                </w14:textFill>
              </w:rPr>
              <w:t>二、生态环境质量改善</w:t>
            </w:r>
          </w:p>
        </w:tc>
      </w:tr>
      <w:tr w14:paraId="39E55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364" w:type="dxa"/>
            <w:shd w:val="clear" w:color="auto" w:fill="auto"/>
            <w:vAlign w:val="center"/>
          </w:tcPr>
          <w:p w14:paraId="02A1E400">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4</w:t>
            </w:r>
          </w:p>
        </w:tc>
        <w:tc>
          <w:tcPr>
            <w:tcW w:w="1330" w:type="dxa"/>
            <w:shd w:val="clear" w:color="auto" w:fill="auto"/>
            <w:vAlign w:val="center"/>
          </w:tcPr>
          <w:p w14:paraId="65860085">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工业污染防治</w:t>
            </w:r>
          </w:p>
        </w:tc>
        <w:tc>
          <w:tcPr>
            <w:tcW w:w="6664" w:type="dxa"/>
            <w:shd w:val="clear" w:color="auto" w:fill="auto"/>
            <w:vAlign w:val="center"/>
          </w:tcPr>
          <w:p w14:paraId="4DABA7F1">
            <w:pPr>
              <w:adjustRightInd w:val="0"/>
              <w:snapToGrid w:val="0"/>
              <w:spacing w:line="300" w:lineRule="exact"/>
              <w:ind w:left="-63" w:leftChars="-30" w:right="-63" w:rightChars="-30"/>
              <w:jc w:val="left"/>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推进重点行业企业挥发性有机物污染综合治理，推进涉挥发性有机物排放的汽车维修、机械加工等规下企业规范和整治。</w:t>
            </w:r>
          </w:p>
        </w:tc>
        <w:tc>
          <w:tcPr>
            <w:tcW w:w="1133" w:type="dxa"/>
            <w:shd w:val="clear" w:color="auto" w:fill="auto"/>
            <w:vAlign w:val="center"/>
          </w:tcPr>
          <w:p w14:paraId="43BEBFED">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2020-2025</w:t>
            </w:r>
          </w:p>
        </w:tc>
        <w:tc>
          <w:tcPr>
            <w:tcW w:w="2128" w:type="dxa"/>
            <w:vAlign w:val="center"/>
          </w:tcPr>
          <w:p w14:paraId="5AD9808B">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环境空气质量优良天数比例</w:t>
            </w:r>
          </w:p>
        </w:tc>
        <w:tc>
          <w:tcPr>
            <w:tcW w:w="1551" w:type="dxa"/>
            <w:shd w:val="clear" w:color="auto" w:fill="auto"/>
            <w:vAlign w:val="center"/>
          </w:tcPr>
          <w:p w14:paraId="616FDBC5">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区生态环境局</w:t>
            </w:r>
          </w:p>
        </w:tc>
      </w:tr>
      <w:tr w14:paraId="4C413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36" w:hRule="atLeast"/>
          <w:jc w:val="center"/>
        </w:trPr>
        <w:tc>
          <w:tcPr>
            <w:tcW w:w="364" w:type="dxa"/>
            <w:shd w:val="clear" w:color="auto" w:fill="auto"/>
            <w:vAlign w:val="center"/>
          </w:tcPr>
          <w:p w14:paraId="26458ABE">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t>5</w:t>
            </w:r>
          </w:p>
        </w:tc>
        <w:tc>
          <w:tcPr>
            <w:tcW w:w="1330" w:type="dxa"/>
            <w:shd w:val="clear" w:color="auto" w:fill="auto"/>
            <w:vAlign w:val="center"/>
          </w:tcPr>
          <w:p w14:paraId="0A51CB85">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城镇排水管网建设</w:t>
            </w:r>
          </w:p>
        </w:tc>
        <w:tc>
          <w:tcPr>
            <w:tcW w:w="6664" w:type="dxa"/>
            <w:shd w:val="clear" w:color="auto" w:fill="auto"/>
            <w:vAlign w:val="center"/>
          </w:tcPr>
          <w:p w14:paraId="2FB0D398">
            <w:pPr>
              <w:adjustRightInd w:val="0"/>
              <w:snapToGrid w:val="0"/>
              <w:spacing w:line="300" w:lineRule="exact"/>
              <w:ind w:left="-63" w:leftChars="-30" w:right="-63" w:rightChars="-30"/>
              <w:jc w:val="left"/>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按照城市开发建设进程和道路建设工程，有序推进配套排水管网建设，</w:t>
            </w: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2021年建设约3公里，2022年建设约3公里，2023年建设约3公里，2024年建设约3公里</w:t>
            </w: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w:t>
            </w: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2025</w:t>
            </w: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年建设约</w:t>
            </w: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3</w:t>
            </w: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公里。</w:t>
            </w:r>
          </w:p>
        </w:tc>
        <w:tc>
          <w:tcPr>
            <w:tcW w:w="1133" w:type="dxa"/>
            <w:shd w:val="clear" w:color="auto" w:fill="auto"/>
            <w:vAlign w:val="center"/>
          </w:tcPr>
          <w:p w14:paraId="123DADEA">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2</w:t>
            </w: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020-2025</w:t>
            </w:r>
          </w:p>
        </w:tc>
        <w:tc>
          <w:tcPr>
            <w:tcW w:w="2128" w:type="dxa"/>
            <w:vAlign w:val="center"/>
          </w:tcPr>
          <w:p w14:paraId="4128D0AA">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地表水水质达到或优于III类水的比例</w:t>
            </w:r>
          </w:p>
        </w:tc>
        <w:tc>
          <w:tcPr>
            <w:tcW w:w="1551" w:type="dxa"/>
            <w:shd w:val="clear" w:color="auto" w:fill="auto"/>
            <w:vAlign w:val="center"/>
          </w:tcPr>
          <w:p w14:paraId="3D42FEC2">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highlight w:val="yellow"/>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区住房城乡建委</w:t>
            </w:r>
          </w:p>
        </w:tc>
      </w:tr>
      <w:tr w14:paraId="60762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364" w:type="dxa"/>
            <w:shd w:val="clear" w:color="auto" w:fill="auto"/>
            <w:vAlign w:val="center"/>
          </w:tcPr>
          <w:p w14:paraId="618A285F">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t>6</w:t>
            </w:r>
          </w:p>
        </w:tc>
        <w:tc>
          <w:tcPr>
            <w:tcW w:w="1330" w:type="dxa"/>
            <w:vMerge w:val="restart"/>
            <w:shd w:val="clear" w:color="auto" w:fill="auto"/>
            <w:vAlign w:val="center"/>
          </w:tcPr>
          <w:p w14:paraId="58B7858D">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城镇污水处理厂建设</w:t>
            </w:r>
          </w:p>
        </w:tc>
        <w:tc>
          <w:tcPr>
            <w:tcW w:w="6664" w:type="dxa"/>
            <w:shd w:val="clear" w:color="auto" w:fill="auto"/>
            <w:vAlign w:val="center"/>
          </w:tcPr>
          <w:p w14:paraId="4391D36A">
            <w:pPr>
              <w:adjustRightInd w:val="0"/>
              <w:snapToGrid w:val="0"/>
              <w:spacing w:line="300" w:lineRule="exact"/>
              <w:ind w:left="-63" w:leftChars="-30" w:right="-63" w:rightChars="-30"/>
              <w:jc w:val="left"/>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00000"/>
                <w:kern w:val="0"/>
                <w:szCs w:val="21"/>
              </w:rPr>
              <w:t>续建蔡家污水处理厂二期扩建工程，二期处理规模4万吨/天。</w:t>
            </w:r>
          </w:p>
        </w:tc>
        <w:tc>
          <w:tcPr>
            <w:tcW w:w="1133" w:type="dxa"/>
            <w:shd w:val="clear" w:color="auto" w:fill="auto"/>
            <w:vAlign w:val="center"/>
          </w:tcPr>
          <w:p w14:paraId="232BCBF4">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等线" w:cs="Times New Roman"/>
                <w:bCs/>
                <w:color w:val="000000"/>
                <w:kern w:val="0"/>
                <w:szCs w:val="21"/>
              </w:rPr>
              <w:t>2</w:t>
            </w:r>
            <w:r>
              <w:rPr>
                <w:rFonts w:ascii="Times New Roman" w:hAnsi="Times New Roman" w:eastAsia="等线" w:cs="Times New Roman"/>
                <w:bCs/>
                <w:color w:val="000000"/>
                <w:kern w:val="0"/>
                <w:szCs w:val="21"/>
              </w:rPr>
              <w:t>021</w:t>
            </w:r>
          </w:p>
        </w:tc>
        <w:tc>
          <w:tcPr>
            <w:tcW w:w="2128" w:type="dxa"/>
            <w:vAlign w:val="center"/>
          </w:tcPr>
          <w:p w14:paraId="6674CDDD">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地表水水质达到或优于III类水的比例</w:t>
            </w:r>
          </w:p>
        </w:tc>
        <w:tc>
          <w:tcPr>
            <w:tcW w:w="1551" w:type="dxa"/>
            <w:shd w:val="clear" w:color="auto" w:fill="auto"/>
            <w:vAlign w:val="center"/>
          </w:tcPr>
          <w:p w14:paraId="28C237A1">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市碧水源公司</w:t>
            </w:r>
          </w:p>
        </w:tc>
      </w:tr>
      <w:tr w14:paraId="3B502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01" w:hRule="atLeast"/>
          <w:jc w:val="center"/>
        </w:trPr>
        <w:tc>
          <w:tcPr>
            <w:tcW w:w="364" w:type="dxa"/>
            <w:shd w:val="clear" w:color="auto" w:fill="auto"/>
            <w:vAlign w:val="center"/>
          </w:tcPr>
          <w:p w14:paraId="2192A766">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t>7</w:t>
            </w:r>
          </w:p>
        </w:tc>
        <w:tc>
          <w:tcPr>
            <w:tcW w:w="1330" w:type="dxa"/>
            <w:vMerge w:val="continue"/>
            <w:shd w:val="clear" w:color="auto" w:fill="auto"/>
            <w:vAlign w:val="center"/>
          </w:tcPr>
          <w:p w14:paraId="678D1D40">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p>
        </w:tc>
        <w:tc>
          <w:tcPr>
            <w:tcW w:w="6664" w:type="dxa"/>
            <w:shd w:val="clear" w:color="auto" w:fill="auto"/>
            <w:vAlign w:val="center"/>
          </w:tcPr>
          <w:p w14:paraId="5BC4F1A6">
            <w:pPr>
              <w:adjustRightInd w:val="0"/>
              <w:snapToGrid w:val="0"/>
              <w:spacing w:line="300" w:lineRule="exact"/>
              <w:ind w:left="-63" w:leftChars="-30" w:right="-63" w:rightChars="-30"/>
              <w:jc w:val="left"/>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00000"/>
                <w:kern w:val="0"/>
                <w:szCs w:val="21"/>
              </w:rPr>
              <w:t>新建北泉污水处理厂及配套管网，近期处理规模2万吨/天。</w:t>
            </w:r>
          </w:p>
        </w:tc>
        <w:tc>
          <w:tcPr>
            <w:tcW w:w="1133" w:type="dxa"/>
            <w:shd w:val="clear" w:color="auto" w:fill="auto"/>
            <w:vAlign w:val="center"/>
          </w:tcPr>
          <w:p w14:paraId="584A33F7">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等线" w:cs="Times New Roman"/>
                <w:bCs/>
                <w:color w:val="000000"/>
                <w:kern w:val="0"/>
                <w:szCs w:val="21"/>
              </w:rPr>
              <w:t>2</w:t>
            </w:r>
            <w:r>
              <w:rPr>
                <w:rFonts w:ascii="Times New Roman" w:hAnsi="Times New Roman" w:eastAsia="等线" w:cs="Times New Roman"/>
                <w:bCs/>
                <w:color w:val="000000"/>
                <w:kern w:val="0"/>
                <w:szCs w:val="21"/>
              </w:rPr>
              <w:t>021-2022</w:t>
            </w:r>
          </w:p>
        </w:tc>
        <w:tc>
          <w:tcPr>
            <w:tcW w:w="2128" w:type="dxa"/>
            <w:vAlign w:val="center"/>
          </w:tcPr>
          <w:p w14:paraId="00A82575">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地表水水质达到或优于III类水的比例</w:t>
            </w:r>
          </w:p>
        </w:tc>
        <w:tc>
          <w:tcPr>
            <w:tcW w:w="1551" w:type="dxa"/>
            <w:shd w:val="clear" w:color="auto" w:fill="auto"/>
            <w:vAlign w:val="center"/>
          </w:tcPr>
          <w:p w14:paraId="29110BE1">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市水务资产公司</w:t>
            </w:r>
          </w:p>
        </w:tc>
      </w:tr>
      <w:tr w14:paraId="4ACD7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79" w:hRule="atLeast"/>
          <w:jc w:val="center"/>
        </w:trPr>
        <w:tc>
          <w:tcPr>
            <w:tcW w:w="364" w:type="dxa"/>
            <w:shd w:val="clear" w:color="auto" w:fill="auto"/>
            <w:vAlign w:val="center"/>
          </w:tcPr>
          <w:p w14:paraId="5B3EF581">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t>8</w:t>
            </w:r>
          </w:p>
        </w:tc>
        <w:tc>
          <w:tcPr>
            <w:tcW w:w="1330" w:type="dxa"/>
            <w:vMerge w:val="continue"/>
            <w:shd w:val="clear" w:color="auto" w:fill="auto"/>
            <w:vAlign w:val="center"/>
          </w:tcPr>
          <w:p w14:paraId="079AC2FD">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p>
        </w:tc>
        <w:tc>
          <w:tcPr>
            <w:tcW w:w="6664" w:type="dxa"/>
            <w:shd w:val="clear" w:color="auto" w:fill="auto"/>
            <w:vAlign w:val="center"/>
          </w:tcPr>
          <w:p w14:paraId="04C5AD79">
            <w:pPr>
              <w:adjustRightInd w:val="0"/>
              <w:snapToGrid w:val="0"/>
              <w:spacing w:line="300" w:lineRule="exact"/>
              <w:ind w:left="-63" w:leftChars="-30" w:right="-63" w:rightChars="-30"/>
              <w:jc w:val="left"/>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00000"/>
                <w:kern w:val="0"/>
                <w:szCs w:val="21"/>
              </w:rPr>
              <w:t>长滩污水处理厂提标工程，主要污染物排放浓度达到地表水环境质量准Ⅳ类标准。</w:t>
            </w:r>
          </w:p>
        </w:tc>
        <w:tc>
          <w:tcPr>
            <w:tcW w:w="1133" w:type="dxa"/>
            <w:shd w:val="clear" w:color="auto" w:fill="auto"/>
            <w:vAlign w:val="center"/>
          </w:tcPr>
          <w:p w14:paraId="4BFDECC9">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等线" w:cs="Times New Roman"/>
                <w:bCs/>
                <w:color w:val="000000"/>
                <w:kern w:val="0"/>
                <w:szCs w:val="21"/>
              </w:rPr>
              <w:t>2</w:t>
            </w:r>
            <w:r>
              <w:rPr>
                <w:rFonts w:ascii="Times New Roman" w:hAnsi="Times New Roman" w:eastAsia="等线" w:cs="Times New Roman"/>
                <w:bCs/>
                <w:color w:val="000000"/>
                <w:kern w:val="0"/>
                <w:szCs w:val="21"/>
              </w:rPr>
              <w:t>021-2022</w:t>
            </w:r>
          </w:p>
        </w:tc>
        <w:tc>
          <w:tcPr>
            <w:tcW w:w="2128" w:type="dxa"/>
            <w:vAlign w:val="center"/>
          </w:tcPr>
          <w:p w14:paraId="39F1356D">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地表水水质达到或优于III类水的比例</w:t>
            </w:r>
          </w:p>
        </w:tc>
        <w:tc>
          <w:tcPr>
            <w:tcW w:w="1551" w:type="dxa"/>
            <w:shd w:val="clear" w:color="auto" w:fill="auto"/>
            <w:vAlign w:val="center"/>
          </w:tcPr>
          <w:p w14:paraId="55D7B681">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市水务资产公司</w:t>
            </w:r>
          </w:p>
        </w:tc>
      </w:tr>
      <w:tr w14:paraId="2181F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364" w:type="dxa"/>
            <w:shd w:val="clear" w:color="auto" w:fill="auto"/>
            <w:vAlign w:val="center"/>
          </w:tcPr>
          <w:p w14:paraId="0076044E">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t>9</w:t>
            </w:r>
          </w:p>
        </w:tc>
        <w:tc>
          <w:tcPr>
            <w:tcW w:w="1330" w:type="dxa"/>
            <w:shd w:val="clear" w:color="auto" w:fill="auto"/>
            <w:vAlign w:val="center"/>
          </w:tcPr>
          <w:p w14:paraId="16AD97DE">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园区污水处理设施建设</w:t>
            </w:r>
          </w:p>
        </w:tc>
        <w:tc>
          <w:tcPr>
            <w:tcW w:w="6664" w:type="dxa"/>
            <w:shd w:val="clear" w:color="auto" w:fill="auto"/>
            <w:vAlign w:val="center"/>
          </w:tcPr>
          <w:p w14:paraId="35C6319F">
            <w:pPr>
              <w:adjustRightInd w:val="0"/>
              <w:snapToGrid w:val="0"/>
              <w:spacing w:line="300" w:lineRule="exact"/>
              <w:ind w:left="-63" w:leftChars="-30" w:right="-63" w:rightChars="-30"/>
              <w:jc w:val="left"/>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加快实施水土污水处理厂三期扩建、重点企业污水管网提升、污水处理厂尾水管道、初期雨水收集池等环保基础设施建设。</w:t>
            </w:r>
          </w:p>
        </w:tc>
        <w:tc>
          <w:tcPr>
            <w:tcW w:w="1133" w:type="dxa"/>
            <w:shd w:val="clear" w:color="auto" w:fill="auto"/>
            <w:vAlign w:val="center"/>
          </w:tcPr>
          <w:p w14:paraId="7C8ECA08">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2020-2025</w:t>
            </w:r>
          </w:p>
        </w:tc>
        <w:tc>
          <w:tcPr>
            <w:tcW w:w="2128" w:type="dxa"/>
            <w:vAlign w:val="center"/>
          </w:tcPr>
          <w:p w14:paraId="2603FBF7">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地表水水质达到或优于III类水的比例</w:t>
            </w:r>
          </w:p>
        </w:tc>
        <w:tc>
          <w:tcPr>
            <w:tcW w:w="1551" w:type="dxa"/>
            <w:shd w:val="clear" w:color="auto" w:fill="auto"/>
            <w:vAlign w:val="center"/>
          </w:tcPr>
          <w:p w14:paraId="72E275A3">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highlight w:val="yellow"/>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两江新区水土高新技术产业园管委会</w:t>
            </w:r>
          </w:p>
        </w:tc>
      </w:tr>
      <w:tr w14:paraId="3818E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5" w:hRule="atLeast"/>
          <w:jc w:val="center"/>
        </w:trPr>
        <w:tc>
          <w:tcPr>
            <w:tcW w:w="364" w:type="dxa"/>
            <w:shd w:val="clear" w:color="auto" w:fill="auto"/>
            <w:vAlign w:val="center"/>
          </w:tcPr>
          <w:p w14:paraId="4708781E">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t>10</w:t>
            </w:r>
          </w:p>
        </w:tc>
        <w:tc>
          <w:tcPr>
            <w:tcW w:w="1330" w:type="dxa"/>
            <w:vMerge w:val="restart"/>
            <w:shd w:val="clear" w:color="auto" w:fill="auto"/>
            <w:vAlign w:val="center"/>
          </w:tcPr>
          <w:p w14:paraId="0C1445E4">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次级河流综合保护</w:t>
            </w:r>
          </w:p>
        </w:tc>
        <w:tc>
          <w:tcPr>
            <w:tcW w:w="6664" w:type="dxa"/>
            <w:shd w:val="clear" w:color="auto" w:fill="auto"/>
            <w:vAlign w:val="center"/>
          </w:tcPr>
          <w:p w14:paraId="1F6FDA90">
            <w:pPr>
              <w:adjustRightInd w:val="0"/>
              <w:snapToGrid w:val="0"/>
              <w:spacing w:line="300" w:lineRule="exact"/>
              <w:ind w:left="-63" w:leftChars="-30" w:right="-63" w:rightChars="-30"/>
              <w:jc w:val="left"/>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完成嘉陵江入河排污口整治工作，消除嘉陵江支流劣Ⅴ类断面。</w:t>
            </w:r>
          </w:p>
        </w:tc>
        <w:tc>
          <w:tcPr>
            <w:tcW w:w="1133" w:type="dxa"/>
            <w:shd w:val="clear" w:color="auto" w:fill="auto"/>
            <w:vAlign w:val="center"/>
          </w:tcPr>
          <w:p w14:paraId="38DD1912">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2020-2022</w:t>
            </w:r>
          </w:p>
        </w:tc>
        <w:tc>
          <w:tcPr>
            <w:tcW w:w="2128" w:type="dxa"/>
            <w:vAlign w:val="center"/>
          </w:tcPr>
          <w:p w14:paraId="46ACB13E">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地表水水质达到或优于III类水的比例</w:t>
            </w:r>
          </w:p>
        </w:tc>
        <w:tc>
          <w:tcPr>
            <w:tcW w:w="1551" w:type="dxa"/>
            <w:shd w:val="clear" w:color="auto" w:fill="auto"/>
            <w:vAlign w:val="center"/>
          </w:tcPr>
          <w:p w14:paraId="14B21892">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区生态环境局</w:t>
            </w:r>
          </w:p>
        </w:tc>
      </w:tr>
      <w:tr w14:paraId="64CC1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3" w:hRule="atLeast"/>
          <w:jc w:val="center"/>
        </w:trPr>
        <w:tc>
          <w:tcPr>
            <w:tcW w:w="364" w:type="dxa"/>
            <w:shd w:val="clear" w:color="auto" w:fill="auto"/>
            <w:vAlign w:val="center"/>
          </w:tcPr>
          <w:p w14:paraId="77EA8D35">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t>1</w:t>
            </w:r>
            <w: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t>1</w:t>
            </w:r>
          </w:p>
        </w:tc>
        <w:tc>
          <w:tcPr>
            <w:tcW w:w="1330" w:type="dxa"/>
            <w:vMerge w:val="continue"/>
            <w:vAlign w:val="center"/>
          </w:tcPr>
          <w:p w14:paraId="53FA154F">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p>
        </w:tc>
        <w:tc>
          <w:tcPr>
            <w:tcW w:w="6664" w:type="dxa"/>
            <w:shd w:val="clear" w:color="auto" w:fill="auto"/>
            <w:vAlign w:val="center"/>
          </w:tcPr>
          <w:p w14:paraId="384BFACF">
            <w:pPr>
              <w:adjustRightInd w:val="0"/>
              <w:snapToGrid w:val="0"/>
              <w:spacing w:line="300" w:lineRule="exact"/>
              <w:ind w:left="-63" w:leftChars="-30" w:right="-63" w:rightChars="-30"/>
              <w:jc w:val="left"/>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完成清溪河北岸综合整治及生态修复工程。</w:t>
            </w:r>
          </w:p>
        </w:tc>
        <w:tc>
          <w:tcPr>
            <w:tcW w:w="1133" w:type="dxa"/>
            <w:shd w:val="clear" w:color="auto" w:fill="auto"/>
            <w:vAlign w:val="center"/>
          </w:tcPr>
          <w:p w14:paraId="6128CD4F">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2020-2022</w:t>
            </w:r>
          </w:p>
        </w:tc>
        <w:tc>
          <w:tcPr>
            <w:tcW w:w="2128" w:type="dxa"/>
            <w:vAlign w:val="center"/>
          </w:tcPr>
          <w:p w14:paraId="2793C8D7">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地表水水质达到或优于III类水的比例</w:t>
            </w:r>
          </w:p>
        </w:tc>
        <w:tc>
          <w:tcPr>
            <w:tcW w:w="1551" w:type="dxa"/>
            <w:shd w:val="clear" w:color="auto" w:fill="auto"/>
            <w:vAlign w:val="center"/>
          </w:tcPr>
          <w:p w14:paraId="0C6C7FD2">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两江新区水土高新技术产业园管委会</w:t>
            </w:r>
          </w:p>
        </w:tc>
      </w:tr>
      <w:tr w14:paraId="2D71D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309" w:hRule="atLeast"/>
          <w:jc w:val="center"/>
        </w:trPr>
        <w:tc>
          <w:tcPr>
            <w:tcW w:w="364" w:type="dxa"/>
            <w:shd w:val="clear" w:color="auto" w:fill="auto"/>
            <w:vAlign w:val="center"/>
          </w:tcPr>
          <w:p w14:paraId="4FFC4A10">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1</w:t>
            </w: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2</w:t>
            </w:r>
          </w:p>
        </w:tc>
        <w:tc>
          <w:tcPr>
            <w:tcW w:w="1330" w:type="dxa"/>
            <w:shd w:val="clear" w:color="auto" w:fill="auto"/>
            <w:vAlign w:val="center"/>
          </w:tcPr>
          <w:p w14:paraId="677E7D28">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“黑臭水体治理提升暨清水绿岸”整治</w:t>
            </w:r>
          </w:p>
        </w:tc>
        <w:tc>
          <w:tcPr>
            <w:tcW w:w="6664" w:type="dxa"/>
            <w:shd w:val="clear" w:color="auto" w:fill="auto"/>
            <w:vAlign w:val="center"/>
          </w:tcPr>
          <w:p w14:paraId="5117B199">
            <w:pPr>
              <w:adjustRightInd w:val="0"/>
              <w:snapToGrid w:val="0"/>
              <w:spacing w:line="300" w:lineRule="exact"/>
              <w:ind w:left="-63" w:leftChars="-30" w:right="-63" w:rightChars="-30"/>
              <w:jc w:val="left"/>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推进马鞍溪、马河溪、山王溪、双</w:t>
            </w:r>
            <w:r>
              <w:rPr>
                <w:rFonts w:hint="eastAsia" w:ascii="Times New Roman" w:hAnsi="Times New Roman" w:eastAsia="方正仿宋_GBK" w:cs="Times New Roman"/>
                <w:bCs/>
                <w:color w:val="0D0D0D" w:themeColor="text1" w:themeTint="F2"/>
                <w:szCs w:val="21"/>
                <w:lang w:eastAsia="zh-CN"/>
                <w14:textFill>
                  <w14:solidFill>
                    <w14:schemeClr w14:val="tx1">
                      <w14:lumMod w14:val="95000"/>
                      <w14:lumOff w14:val="5000"/>
                    </w14:schemeClr>
                  </w14:solidFill>
                </w14:textFill>
              </w:rPr>
              <w:t>凤</w:t>
            </w: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溪“黑臭水体治理提升暨清水绿岸”整治工作，实施流域城乡雨污管网建设和改造、河道及两岸综合整治、地下管线及市政设施整治、海绵城市建设及水质提升、河道环境综合整治、场镇环境综合整治、居民聚集点污染设施建设、城区湖库综合整治等重点工程。</w:t>
            </w:r>
          </w:p>
        </w:tc>
        <w:tc>
          <w:tcPr>
            <w:tcW w:w="1133" w:type="dxa"/>
            <w:shd w:val="clear" w:color="auto" w:fill="auto"/>
            <w:vAlign w:val="center"/>
          </w:tcPr>
          <w:p w14:paraId="0EA0CDEC">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2020-2023</w:t>
            </w:r>
          </w:p>
        </w:tc>
        <w:tc>
          <w:tcPr>
            <w:tcW w:w="2128" w:type="dxa"/>
            <w:vAlign w:val="center"/>
          </w:tcPr>
          <w:p w14:paraId="0C8E2F1A">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地表水水质达到或优于III类水的比例</w:t>
            </w:r>
          </w:p>
        </w:tc>
        <w:tc>
          <w:tcPr>
            <w:tcW w:w="1551" w:type="dxa"/>
            <w:shd w:val="clear" w:color="auto" w:fill="auto"/>
            <w:vAlign w:val="center"/>
          </w:tcPr>
          <w:p w14:paraId="3BE4B789">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区住房城乡建委</w:t>
            </w:r>
          </w:p>
        </w:tc>
      </w:tr>
      <w:tr w14:paraId="1DC52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364" w:type="dxa"/>
            <w:shd w:val="clear" w:color="auto" w:fill="auto"/>
            <w:vAlign w:val="center"/>
          </w:tcPr>
          <w:p w14:paraId="1597063E">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1</w:t>
            </w: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3</w:t>
            </w:r>
          </w:p>
        </w:tc>
        <w:tc>
          <w:tcPr>
            <w:tcW w:w="1330" w:type="dxa"/>
            <w:vMerge w:val="restart"/>
            <w:shd w:val="clear" w:color="auto" w:fill="auto"/>
            <w:vAlign w:val="center"/>
          </w:tcPr>
          <w:p w14:paraId="3745FBF8">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饮用水水源安全保障项目</w:t>
            </w:r>
          </w:p>
        </w:tc>
        <w:tc>
          <w:tcPr>
            <w:tcW w:w="6664" w:type="dxa"/>
            <w:shd w:val="clear" w:color="auto" w:fill="auto"/>
            <w:vAlign w:val="center"/>
          </w:tcPr>
          <w:p w14:paraId="0E04E933">
            <w:pPr>
              <w:widowControl/>
              <w:adjustRightInd w:val="0"/>
              <w:snapToGrid w:val="0"/>
              <w:spacing w:line="300" w:lineRule="exact"/>
              <w:ind w:left="-63" w:leftChars="-30" w:right="-63" w:rightChars="-30"/>
              <w:rPr>
                <w:rFonts w:ascii="Times New Roman" w:hAnsi="Times New Roman" w:eastAsia="方正仿宋_GBK" w:cs="Times New Roman"/>
                <w:bCs/>
                <w:color w:val="000000"/>
                <w:kern w:val="0"/>
                <w:szCs w:val="21"/>
              </w:rPr>
            </w:pPr>
            <w:r>
              <w:rPr>
                <w:rFonts w:hint="eastAsia" w:ascii="Times New Roman" w:hAnsi="Times New Roman" w:eastAsia="方正仿宋_GBK" w:cs="Times New Roman"/>
                <w:bCs/>
                <w:color w:val="000000"/>
                <w:kern w:val="0"/>
                <w:szCs w:val="21"/>
              </w:rPr>
              <w:t>（1）按照市级部署开展集中式饮用水水源地环境状况评估，评价水源地水质和管理状况。</w:t>
            </w:r>
          </w:p>
          <w:p w14:paraId="1FFC34B1">
            <w:pPr>
              <w:adjustRightInd w:val="0"/>
              <w:snapToGrid w:val="0"/>
              <w:spacing w:line="300" w:lineRule="exact"/>
              <w:ind w:left="-63" w:leftChars="-30" w:right="-63" w:rightChars="-30"/>
              <w:jc w:val="left"/>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00000"/>
                <w:kern w:val="0"/>
                <w:szCs w:val="21"/>
              </w:rPr>
              <w:t>（2）集中式饮用水水源地水质安全保障项目，完善一级保护区隔离措施，实施保护区整治与生态修复，完善保护区风险应急防护措施，推进湖库型水源地富营养化与水华防治，提升重点水源地监管能力。</w:t>
            </w:r>
          </w:p>
        </w:tc>
        <w:tc>
          <w:tcPr>
            <w:tcW w:w="1133" w:type="dxa"/>
            <w:shd w:val="clear" w:color="auto" w:fill="auto"/>
            <w:vAlign w:val="center"/>
          </w:tcPr>
          <w:p w14:paraId="7E5CDD3C">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等线" w:cs="Times New Roman"/>
                <w:bCs/>
                <w:color w:val="000000"/>
                <w:kern w:val="0"/>
                <w:szCs w:val="21"/>
              </w:rPr>
              <w:t>2</w:t>
            </w:r>
            <w:r>
              <w:rPr>
                <w:rFonts w:ascii="Times New Roman" w:hAnsi="Times New Roman" w:eastAsia="等线" w:cs="Times New Roman"/>
                <w:bCs/>
                <w:color w:val="000000"/>
                <w:kern w:val="0"/>
                <w:szCs w:val="21"/>
              </w:rPr>
              <w:t>021-2025</w:t>
            </w:r>
          </w:p>
        </w:tc>
        <w:tc>
          <w:tcPr>
            <w:tcW w:w="2128" w:type="dxa"/>
            <w:vAlign w:val="center"/>
          </w:tcPr>
          <w:p w14:paraId="087AE969">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集中式饮用水水源地水质达标率</w:t>
            </w:r>
          </w:p>
        </w:tc>
        <w:tc>
          <w:tcPr>
            <w:tcW w:w="1551" w:type="dxa"/>
            <w:shd w:val="clear" w:color="auto" w:fill="auto"/>
            <w:vAlign w:val="center"/>
          </w:tcPr>
          <w:p w14:paraId="3BD4AFAC">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区生态环境局</w:t>
            </w:r>
          </w:p>
        </w:tc>
      </w:tr>
      <w:tr w14:paraId="52D9B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364" w:type="dxa"/>
            <w:shd w:val="clear" w:color="auto" w:fill="auto"/>
            <w:vAlign w:val="center"/>
          </w:tcPr>
          <w:p w14:paraId="6E05E399">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14</w:t>
            </w:r>
          </w:p>
        </w:tc>
        <w:tc>
          <w:tcPr>
            <w:tcW w:w="1330" w:type="dxa"/>
            <w:vMerge w:val="continue"/>
            <w:shd w:val="clear" w:color="auto" w:fill="auto"/>
            <w:vAlign w:val="center"/>
          </w:tcPr>
          <w:p w14:paraId="540C6830">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p>
        </w:tc>
        <w:tc>
          <w:tcPr>
            <w:tcW w:w="6664" w:type="dxa"/>
            <w:shd w:val="clear" w:color="auto" w:fill="auto"/>
            <w:vAlign w:val="center"/>
          </w:tcPr>
          <w:p w14:paraId="4FE82DA5">
            <w:pPr>
              <w:adjustRightInd w:val="0"/>
              <w:snapToGrid w:val="0"/>
              <w:spacing w:line="300" w:lineRule="exact"/>
              <w:ind w:left="-63" w:leftChars="-30" w:right="-63" w:rightChars="-30"/>
              <w:jc w:val="left"/>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按照市级部署推进农村分散式饮用水水源地保护区范围划定及备案工作，推进农村分散式饮用水水源地保护区规范化建设及污染源整治工作。</w:t>
            </w:r>
          </w:p>
        </w:tc>
        <w:tc>
          <w:tcPr>
            <w:tcW w:w="1133" w:type="dxa"/>
            <w:shd w:val="clear" w:color="auto" w:fill="auto"/>
            <w:vAlign w:val="center"/>
          </w:tcPr>
          <w:p w14:paraId="54E38791">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等线" w:cs="Times New Roman"/>
                <w:bCs/>
                <w:color w:val="000000"/>
                <w:kern w:val="0"/>
                <w:szCs w:val="21"/>
              </w:rPr>
              <w:t>2</w:t>
            </w:r>
            <w:r>
              <w:rPr>
                <w:rFonts w:ascii="Times New Roman" w:hAnsi="Times New Roman" w:eastAsia="等线" w:cs="Times New Roman"/>
                <w:bCs/>
                <w:color w:val="000000"/>
                <w:kern w:val="0"/>
                <w:szCs w:val="21"/>
              </w:rPr>
              <w:t>021-2025</w:t>
            </w:r>
          </w:p>
        </w:tc>
        <w:tc>
          <w:tcPr>
            <w:tcW w:w="2128" w:type="dxa"/>
            <w:vAlign w:val="center"/>
          </w:tcPr>
          <w:p w14:paraId="197D38F9">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集中式饮用水水源地水质达标率</w:t>
            </w:r>
          </w:p>
        </w:tc>
        <w:tc>
          <w:tcPr>
            <w:tcW w:w="1551" w:type="dxa"/>
            <w:shd w:val="clear" w:color="auto" w:fill="auto"/>
            <w:vAlign w:val="center"/>
          </w:tcPr>
          <w:p w14:paraId="76E53F5D">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区生态环境局</w:t>
            </w:r>
          </w:p>
        </w:tc>
      </w:tr>
      <w:tr w14:paraId="22A85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65" w:hRule="atLeast"/>
          <w:jc w:val="center"/>
        </w:trPr>
        <w:tc>
          <w:tcPr>
            <w:tcW w:w="364" w:type="dxa"/>
            <w:shd w:val="clear" w:color="auto" w:fill="auto"/>
            <w:vAlign w:val="center"/>
          </w:tcPr>
          <w:p w14:paraId="02CDA28F">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15</w:t>
            </w:r>
          </w:p>
        </w:tc>
        <w:tc>
          <w:tcPr>
            <w:tcW w:w="1330" w:type="dxa"/>
            <w:shd w:val="clear" w:color="auto" w:fill="auto"/>
            <w:vAlign w:val="center"/>
          </w:tcPr>
          <w:p w14:paraId="4B420281">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污染地块风险管控与治理修复</w:t>
            </w:r>
          </w:p>
        </w:tc>
        <w:tc>
          <w:tcPr>
            <w:tcW w:w="6664" w:type="dxa"/>
            <w:shd w:val="clear" w:color="auto" w:fill="auto"/>
            <w:vAlign w:val="center"/>
          </w:tcPr>
          <w:p w14:paraId="166AAF26">
            <w:pPr>
              <w:adjustRightInd w:val="0"/>
              <w:snapToGrid w:val="0"/>
              <w:spacing w:line="300" w:lineRule="exact"/>
              <w:ind w:left="-63" w:leftChars="-30" w:right="-63" w:rightChars="-30"/>
              <w:jc w:val="left"/>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分年度有计划开展疑似污染地块环境风险排查和场地环境调查和风险评估。实施污染地块风险管控，开展污染地块治理修复。</w:t>
            </w:r>
          </w:p>
        </w:tc>
        <w:tc>
          <w:tcPr>
            <w:tcW w:w="1133" w:type="dxa"/>
            <w:shd w:val="clear" w:color="auto" w:fill="auto"/>
            <w:vAlign w:val="center"/>
          </w:tcPr>
          <w:p w14:paraId="266C2A09">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2020-2025</w:t>
            </w:r>
          </w:p>
        </w:tc>
        <w:tc>
          <w:tcPr>
            <w:tcW w:w="2128" w:type="dxa"/>
            <w:vAlign w:val="center"/>
          </w:tcPr>
          <w:p w14:paraId="66C6ED5A">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污染地块安全利用率</w:t>
            </w:r>
          </w:p>
        </w:tc>
        <w:tc>
          <w:tcPr>
            <w:tcW w:w="1551" w:type="dxa"/>
            <w:shd w:val="clear" w:color="auto" w:fill="auto"/>
            <w:vAlign w:val="center"/>
          </w:tcPr>
          <w:p w14:paraId="1CBE6467">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区生态环境局</w:t>
            </w:r>
          </w:p>
        </w:tc>
      </w:tr>
      <w:tr w14:paraId="23ED5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364" w:type="dxa"/>
            <w:shd w:val="clear" w:color="auto" w:fill="auto"/>
            <w:vAlign w:val="center"/>
          </w:tcPr>
          <w:p w14:paraId="341BF536">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16</w:t>
            </w:r>
          </w:p>
        </w:tc>
        <w:tc>
          <w:tcPr>
            <w:tcW w:w="1330" w:type="dxa"/>
            <w:shd w:val="clear" w:color="auto" w:fill="auto"/>
            <w:vAlign w:val="center"/>
          </w:tcPr>
          <w:p w14:paraId="619CA4D6">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农用地污染防治</w:t>
            </w:r>
          </w:p>
        </w:tc>
        <w:tc>
          <w:tcPr>
            <w:tcW w:w="6664" w:type="dxa"/>
            <w:shd w:val="clear" w:color="auto" w:fill="auto"/>
            <w:vAlign w:val="center"/>
          </w:tcPr>
          <w:p w14:paraId="640DC532">
            <w:pPr>
              <w:adjustRightInd w:val="0"/>
              <w:snapToGrid w:val="0"/>
              <w:spacing w:line="300" w:lineRule="exact"/>
              <w:ind w:left="-63" w:leftChars="-30" w:right="-63" w:rightChars="-30"/>
              <w:jc w:val="left"/>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推进轻中度污染耕地安全利用，强化重度污染耕地严格用途管理。</w:t>
            </w:r>
          </w:p>
        </w:tc>
        <w:tc>
          <w:tcPr>
            <w:tcW w:w="1133" w:type="dxa"/>
            <w:shd w:val="clear" w:color="auto" w:fill="auto"/>
            <w:vAlign w:val="center"/>
          </w:tcPr>
          <w:p w14:paraId="6BFC1A4B">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2020-2025</w:t>
            </w:r>
          </w:p>
        </w:tc>
        <w:tc>
          <w:tcPr>
            <w:tcW w:w="2128" w:type="dxa"/>
            <w:vAlign w:val="center"/>
          </w:tcPr>
          <w:p w14:paraId="1B681199">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受污染耕地安全利用率</w:t>
            </w:r>
          </w:p>
        </w:tc>
        <w:tc>
          <w:tcPr>
            <w:tcW w:w="1551" w:type="dxa"/>
            <w:shd w:val="clear" w:color="auto" w:fill="auto"/>
            <w:vAlign w:val="center"/>
          </w:tcPr>
          <w:p w14:paraId="3CF19BD8">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区农业农村委</w:t>
            </w:r>
          </w:p>
        </w:tc>
      </w:tr>
      <w:tr w14:paraId="61563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364" w:type="dxa"/>
            <w:shd w:val="clear" w:color="auto" w:fill="auto"/>
            <w:vAlign w:val="center"/>
          </w:tcPr>
          <w:p w14:paraId="465C7D88">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17</w:t>
            </w:r>
          </w:p>
        </w:tc>
        <w:tc>
          <w:tcPr>
            <w:tcW w:w="1330" w:type="dxa"/>
            <w:shd w:val="clear" w:color="auto" w:fill="auto"/>
            <w:vAlign w:val="center"/>
          </w:tcPr>
          <w:p w14:paraId="12EDD8E6">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无废城市建设</w:t>
            </w:r>
          </w:p>
        </w:tc>
        <w:tc>
          <w:tcPr>
            <w:tcW w:w="6664" w:type="dxa"/>
            <w:shd w:val="clear" w:color="auto" w:fill="auto"/>
            <w:vAlign w:val="center"/>
          </w:tcPr>
          <w:p w14:paraId="7CE980F8">
            <w:pPr>
              <w:adjustRightInd w:val="0"/>
              <w:snapToGrid w:val="0"/>
              <w:spacing w:line="300" w:lineRule="exact"/>
              <w:ind w:left="-63" w:leftChars="-30" w:right="-63" w:rightChars="-30"/>
              <w:jc w:val="left"/>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根据《重庆市主城区建筑垃圾治理专项规划》，制定北碚区实施方案并执行，建设3座空置容量原则上不低于200万立方米工程渣土填埋场。</w:t>
            </w:r>
          </w:p>
        </w:tc>
        <w:tc>
          <w:tcPr>
            <w:tcW w:w="1133" w:type="dxa"/>
            <w:shd w:val="clear" w:color="auto" w:fill="auto"/>
            <w:vAlign w:val="center"/>
          </w:tcPr>
          <w:p w14:paraId="49EAB4FC">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2020-2025</w:t>
            </w:r>
          </w:p>
        </w:tc>
        <w:tc>
          <w:tcPr>
            <w:tcW w:w="2128" w:type="dxa"/>
            <w:vAlign w:val="center"/>
          </w:tcPr>
          <w:p w14:paraId="214E4B8B">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生态环保投入占GDP比重</w:t>
            </w:r>
          </w:p>
        </w:tc>
        <w:tc>
          <w:tcPr>
            <w:tcW w:w="1551" w:type="dxa"/>
            <w:shd w:val="clear" w:color="auto" w:fill="auto"/>
            <w:vAlign w:val="center"/>
          </w:tcPr>
          <w:p w14:paraId="4C13B071">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区城管局</w:t>
            </w:r>
          </w:p>
        </w:tc>
      </w:tr>
      <w:tr w14:paraId="34731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364" w:type="dxa"/>
            <w:shd w:val="clear" w:color="auto" w:fill="auto"/>
            <w:vAlign w:val="center"/>
          </w:tcPr>
          <w:p w14:paraId="1F556F61">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1</w:t>
            </w: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8</w:t>
            </w:r>
          </w:p>
        </w:tc>
        <w:tc>
          <w:tcPr>
            <w:tcW w:w="1330" w:type="dxa"/>
            <w:shd w:val="clear" w:color="auto" w:fill="auto"/>
            <w:vAlign w:val="center"/>
          </w:tcPr>
          <w:p w14:paraId="5E6D3722">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农村水污染防治</w:t>
            </w:r>
          </w:p>
        </w:tc>
        <w:tc>
          <w:tcPr>
            <w:tcW w:w="6664" w:type="dxa"/>
            <w:shd w:val="clear" w:color="auto" w:fill="auto"/>
            <w:vAlign w:val="center"/>
          </w:tcPr>
          <w:p w14:paraId="515C67B4">
            <w:pPr>
              <w:adjustRightInd w:val="0"/>
              <w:snapToGrid w:val="0"/>
              <w:spacing w:line="300" w:lineRule="exact"/>
              <w:ind w:left="-63" w:leftChars="-30" w:right="-63" w:rightChars="-30"/>
              <w:jc w:val="left"/>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编制《北碚区农村生活污水治理专项规划》，推进现有农村生活污水设施维护整治，新建一批管网、提升泵站及污水处理设施，推进</w:t>
            </w: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居民卫生改厕。</w:t>
            </w:r>
          </w:p>
        </w:tc>
        <w:tc>
          <w:tcPr>
            <w:tcW w:w="1133" w:type="dxa"/>
            <w:shd w:val="clear" w:color="auto" w:fill="auto"/>
            <w:vAlign w:val="center"/>
          </w:tcPr>
          <w:p w14:paraId="290E5AD0">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00000"/>
                <w:kern w:val="0"/>
                <w:szCs w:val="21"/>
              </w:rPr>
              <w:t>2</w:t>
            </w:r>
            <w:r>
              <w:rPr>
                <w:rFonts w:ascii="Times New Roman" w:hAnsi="Times New Roman" w:eastAsia="方正仿宋_GBK" w:cs="Times New Roman"/>
                <w:bCs/>
                <w:color w:val="000000"/>
                <w:kern w:val="0"/>
                <w:szCs w:val="21"/>
              </w:rPr>
              <w:t>021-2025</w:t>
            </w:r>
          </w:p>
        </w:tc>
        <w:tc>
          <w:tcPr>
            <w:tcW w:w="2128" w:type="dxa"/>
            <w:vAlign w:val="center"/>
          </w:tcPr>
          <w:p w14:paraId="45E6E921">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生态环保投入占GDP比重</w:t>
            </w:r>
          </w:p>
        </w:tc>
        <w:tc>
          <w:tcPr>
            <w:tcW w:w="1551" w:type="dxa"/>
            <w:shd w:val="clear" w:color="auto" w:fill="auto"/>
            <w:vAlign w:val="center"/>
          </w:tcPr>
          <w:p w14:paraId="0E75CDAD">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区生态环境局</w:t>
            </w:r>
          </w:p>
        </w:tc>
      </w:tr>
      <w:tr w14:paraId="15066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9" w:hRule="atLeast"/>
          <w:jc w:val="center"/>
        </w:trPr>
        <w:tc>
          <w:tcPr>
            <w:tcW w:w="364" w:type="dxa"/>
            <w:shd w:val="clear" w:color="auto" w:fill="auto"/>
            <w:vAlign w:val="center"/>
          </w:tcPr>
          <w:p w14:paraId="3305C8E6">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19</w:t>
            </w:r>
          </w:p>
        </w:tc>
        <w:tc>
          <w:tcPr>
            <w:tcW w:w="1330" w:type="dxa"/>
            <w:shd w:val="clear" w:color="auto" w:fill="auto"/>
            <w:vAlign w:val="center"/>
          </w:tcPr>
          <w:p w14:paraId="104C3237">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农村生活垃圾治理</w:t>
            </w:r>
          </w:p>
        </w:tc>
        <w:tc>
          <w:tcPr>
            <w:tcW w:w="6664" w:type="dxa"/>
            <w:shd w:val="clear" w:color="auto" w:fill="auto"/>
            <w:vAlign w:val="center"/>
          </w:tcPr>
          <w:p w14:paraId="1474151A">
            <w:pPr>
              <w:adjustRightInd w:val="0"/>
              <w:snapToGrid w:val="0"/>
              <w:spacing w:line="300" w:lineRule="exact"/>
              <w:ind w:left="-63" w:leftChars="-30" w:right="-63" w:rightChars="-30"/>
              <w:jc w:val="left"/>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合理布设完善垃圾桶、垃圾箱等农村垃圾收运设施设备，推进农村生活垃圾分类工作。</w:t>
            </w:r>
          </w:p>
        </w:tc>
        <w:tc>
          <w:tcPr>
            <w:tcW w:w="1133" w:type="dxa"/>
            <w:shd w:val="clear" w:color="auto" w:fill="auto"/>
            <w:vAlign w:val="center"/>
          </w:tcPr>
          <w:p w14:paraId="67C75937">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等线" w:cs="Times New Roman"/>
                <w:bCs/>
                <w:color w:val="000000"/>
                <w:kern w:val="0"/>
                <w:szCs w:val="21"/>
              </w:rPr>
              <w:t>2</w:t>
            </w:r>
            <w:r>
              <w:rPr>
                <w:rFonts w:ascii="Times New Roman" w:hAnsi="Times New Roman" w:eastAsia="等线" w:cs="Times New Roman"/>
                <w:bCs/>
                <w:color w:val="000000"/>
                <w:kern w:val="0"/>
                <w:szCs w:val="21"/>
              </w:rPr>
              <w:t>021-2025</w:t>
            </w:r>
          </w:p>
        </w:tc>
        <w:tc>
          <w:tcPr>
            <w:tcW w:w="2128" w:type="dxa"/>
            <w:vAlign w:val="center"/>
          </w:tcPr>
          <w:p w14:paraId="2A4785C5">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生态环保投入占GDP比重</w:t>
            </w:r>
          </w:p>
        </w:tc>
        <w:tc>
          <w:tcPr>
            <w:tcW w:w="1551" w:type="dxa"/>
            <w:shd w:val="clear" w:color="auto" w:fill="auto"/>
            <w:vAlign w:val="center"/>
          </w:tcPr>
          <w:p w14:paraId="798F0BCB">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区城管局</w:t>
            </w:r>
          </w:p>
        </w:tc>
      </w:tr>
      <w:tr w14:paraId="3F331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10" w:hRule="atLeast"/>
          <w:jc w:val="center"/>
        </w:trPr>
        <w:tc>
          <w:tcPr>
            <w:tcW w:w="13170" w:type="dxa"/>
            <w:gridSpan w:val="6"/>
            <w:vAlign w:val="center"/>
          </w:tcPr>
          <w:p w14:paraId="6C3C030A">
            <w:pPr>
              <w:adjustRightInd w:val="0"/>
              <w:snapToGrid w:val="0"/>
              <w:spacing w:line="300" w:lineRule="exact"/>
              <w:ind w:left="-63" w:leftChars="-30" w:right="-63" w:rightChars="-30"/>
              <w:jc w:val="left"/>
              <w:rPr>
                <w:rFonts w:ascii="方正楷体_GBK" w:hAnsi="Times New Roman" w:eastAsia="方正楷体_GBK" w:cs="Times New Roman"/>
                <w:bCs/>
                <w:color w:val="0D0D0D" w:themeColor="text1" w:themeTint="F2"/>
                <w:szCs w:val="21"/>
                <w14:textFill>
                  <w14:solidFill>
                    <w14:schemeClr w14:val="tx1">
                      <w14:lumMod w14:val="95000"/>
                      <w14:lumOff w14:val="5000"/>
                    </w14:schemeClr>
                  </w14:solidFill>
                </w14:textFill>
              </w:rPr>
            </w:pPr>
            <w:r>
              <w:rPr>
                <w:rFonts w:hint="eastAsia" w:ascii="方正楷体_GBK" w:hAnsi="Times New Roman" w:eastAsia="方正楷体_GBK" w:cs="Times New Roman"/>
                <w:b/>
                <w:color w:val="0D0D0D" w:themeColor="text1" w:themeTint="F2"/>
                <w:szCs w:val="21"/>
                <w14:textFill>
                  <w14:solidFill>
                    <w14:schemeClr w14:val="tx1">
                      <w14:lumMod w14:val="95000"/>
                      <w14:lumOff w14:val="5000"/>
                    </w14:schemeClr>
                  </w14:solidFill>
                </w14:textFill>
              </w:rPr>
              <w:t>三、生态系统保护修复</w:t>
            </w:r>
          </w:p>
        </w:tc>
      </w:tr>
      <w:tr w14:paraId="334D6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65" w:hRule="atLeast"/>
          <w:jc w:val="center"/>
        </w:trPr>
        <w:tc>
          <w:tcPr>
            <w:tcW w:w="364" w:type="dxa"/>
            <w:shd w:val="clear" w:color="auto" w:fill="auto"/>
            <w:vAlign w:val="center"/>
          </w:tcPr>
          <w:p w14:paraId="2EDD4F28">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t>20</w:t>
            </w:r>
          </w:p>
        </w:tc>
        <w:tc>
          <w:tcPr>
            <w:tcW w:w="1330" w:type="dxa"/>
            <w:vMerge w:val="restart"/>
            <w:shd w:val="clear" w:color="auto" w:fill="auto"/>
            <w:vAlign w:val="center"/>
          </w:tcPr>
          <w:p w14:paraId="372B21CE">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自然生态资源保护</w:t>
            </w:r>
          </w:p>
        </w:tc>
        <w:tc>
          <w:tcPr>
            <w:tcW w:w="6664" w:type="dxa"/>
            <w:shd w:val="clear" w:color="auto" w:fill="auto"/>
            <w:vAlign w:val="center"/>
          </w:tcPr>
          <w:p w14:paraId="71B32F88">
            <w:pPr>
              <w:adjustRightInd w:val="0"/>
              <w:snapToGrid w:val="0"/>
              <w:spacing w:line="300" w:lineRule="exact"/>
              <w:ind w:left="-63" w:leftChars="-30" w:right="-63" w:rightChars="-30"/>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持续实施国土绿化提升行动，2020年营造林总任务10.3万亩，其中造林类：退耕还林1万亩，农村“四旁”植树0.3万亩（村庄公共场所绿化面积9.33公顷以上）；营林类：森林抚育3万亩，农田林网和特色经济林改造6万亩。</w:t>
            </w:r>
          </w:p>
        </w:tc>
        <w:tc>
          <w:tcPr>
            <w:tcW w:w="1133" w:type="dxa"/>
            <w:shd w:val="clear" w:color="auto" w:fill="auto"/>
            <w:vAlign w:val="center"/>
          </w:tcPr>
          <w:p w14:paraId="26AAF58B">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2020</w:t>
            </w:r>
          </w:p>
        </w:tc>
        <w:tc>
          <w:tcPr>
            <w:tcW w:w="2128" w:type="dxa"/>
            <w:vAlign w:val="center"/>
          </w:tcPr>
          <w:p w14:paraId="54E08BBB">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林草覆盖率</w:t>
            </w:r>
          </w:p>
        </w:tc>
        <w:tc>
          <w:tcPr>
            <w:tcW w:w="1551" w:type="dxa"/>
            <w:shd w:val="clear" w:color="auto" w:fill="auto"/>
            <w:vAlign w:val="center"/>
          </w:tcPr>
          <w:p w14:paraId="216B04A3">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区林业局</w:t>
            </w:r>
          </w:p>
        </w:tc>
      </w:tr>
      <w:tr w14:paraId="79A78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5" w:hRule="atLeast"/>
          <w:jc w:val="center"/>
        </w:trPr>
        <w:tc>
          <w:tcPr>
            <w:tcW w:w="364" w:type="dxa"/>
            <w:shd w:val="clear" w:color="auto" w:fill="auto"/>
            <w:vAlign w:val="center"/>
          </w:tcPr>
          <w:p w14:paraId="77516938">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t>21</w:t>
            </w:r>
          </w:p>
        </w:tc>
        <w:tc>
          <w:tcPr>
            <w:tcW w:w="1330" w:type="dxa"/>
            <w:vMerge w:val="continue"/>
            <w:vAlign w:val="center"/>
          </w:tcPr>
          <w:p w14:paraId="724FF31E">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p>
        </w:tc>
        <w:tc>
          <w:tcPr>
            <w:tcW w:w="6664" w:type="dxa"/>
            <w:shd w:val="clear" w:color="auto" w:fill="auto"/>
            <w:vAlign w:val="center"/>
          </w:tcPr>
          <w:p w14:paraId="21A12528">
            <w:pPr>
              <w:adjustRightInd w:val="0"/>
              <w:snapToGrid w:val="0"/>
              <w:spacing w:line="300" w:lineRule="exact"/>
              <w:ind w:left="-63" w:leftChars="-30" w:right="-63" w:rightChars="-30"/>
              <w:jc w:val="left"/>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划定北海底沟、北温泉—大地坝等地下战略后备水源地保护区，建立水质监测网络。</w:t>
            </w:r>
          </w:p>
        </w:tc>
        <w:tc>
          <w:tcPr>
            <w:tcW w:w="1133" w:type="dxa"/>
            <w:shd w:val="clear" w:color="auto" w:fill="auto"/>
            <w:vAlign w:val="center"/>
          </w:tcPr>
          <w:p w14:paraId="523C8C6E">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2020-2025</w:t>
            </w:r>
          </w:p>
        </w:tc>
        <w:tc>
          <w:tcPr>
            <w:tcW w:w="2128" w:type="dxa"/>
            <w:vAlign w:val="center"/>
          </w:tcPr>
          <w:p w14:paraId="750CEBCF">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集中式饮用水水源地水质达标率</w:t>
            </w:r>
          </w:p>
        </w:tc>
        <w:tc>
          <w:tcPr>
            <w:tcW w:w="1551" w:type="dxa"/>
            <w:shd w:val="clear" w:color="auto" w:fill="auto"/>
            <w:vAlign w:val="center"/>
          </w:tcPr>
          <w:p w14:paraId="4E1F40C3">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区生态环境局</w:t>
            </w:r>
          </w:p>
        </w:tc>
      </w:tr>
      <w:tr w14:paraId="1FE2E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364" w:type="dxa"/>
            <w:shd w:val="clear" w:color="auto" w:fill="auto"/>
            <w:vAlign w:val="center"/>
          </w:tcPr>
          <w:p w14:paraId="3CF01EB0">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t>22</w:t>
            </w:r>
          </w:p>
        </w:tc>
        <w:tc>
          <w:tcPr>
            <w:tcW w:w="1330" w:type="dxa"/>
            <w:shd w:val="clear" w:color="auto" w:fill="auto"/>
            <w:vAlign w:val="center"/>
          </w:tcPr>
          <w:p w14:paraId="2830A5B3">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生态多样性保护</w:t>
            </w:r>
          </w:p>
        </w:tc>
        <w:tc>
          <w:tcPr>
            <w:tcW w:w="6664" w:type="dxa"/>
            <w:shd w:val="clear" w:color="auto" w:fill="auto"/>
            <w:vAlign w:val="center"/>
          </w:tcPr>
          <w:p w14:paraId="17C36305">
            <w:pPr>
              <w:adjustRightInd w:val="0"/>
              <w:snapToGrid w:val="0"/>
              <w:spacing w:line="300" w:lineRule="exact"/>
              <w:ind w:left="-63" w:leftChars="-30" w:right="-63" w:rightChars="-30"/>
              <w:jc w:val="left"/>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开展全区生物物种资源调查，完善全区物种资源数据库。</w:t>
            </w:r>
          </w:p>
        </w:tc>
        <w:tc>
          <w:tcPr>
            <w:tcW w:w="1133" w:type="dxa"/>
            <w:shd w:val="clear" w:color="auto" w:fill="auto"/>
            <w:vAlign w:val="center"/>
          </w:tcPr>
          <w:p w14:paraId="4CA80855">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2020-2025</w:t>
            </w:r>
          </w:p>
        </w:tc>
        <w:tc>
          <w:tcPr>
            <w:tcW w:w="2128" w:type="dxa"/>
            <w:vAlign w:val="center"/>
          </w:tcPr>
          <w:p w14:paraId="72573498">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物种丰富度</w:t>
            </w:r>
          </w:p>
        </w:tc>
        <w:tc>
          <w:tcPr>
            <w:tcW w:w="1551" w:type="dxa"/>
            <w:shd w:val="clear" w:color="auto" w:fill="auto"/>
            <w:vAlign w:val="center"/>
          </w:tcPr>
          <w:p w14:paraId="23BE018E">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区林业局</w:t>
            </w:r>
          </w:p>
        </w:tc>
      </w:tr>
      <w:tr w14:paraId="35F17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364" w:type="dxa"/>
            <w:shd w:val="clear" w:color="auto" w:fill="auto"/>
            <w:vAlign w:val="center"/>
          </w:tcPr>
          <w:p w14:paraId="1B6B1B68">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t>23</w:t>
            </w:r>
          </w:p>
        </w:tc>
        <w:tc>
          <w:tcPr>
            <w:tcW w:w="1330" w:type="dxa"/>
            <w:shd w:val="clear" w:color="auto" w:fill="auto"/>
            <w:vAlign w:val="center"/>
          </w:tcPr>
          <w:p w14:paraId="07D145B3">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缙云山生态修复</w:t>
            </w:r>
          </w:p>
        </w:tc>
        <w:tc>
          <w:tcPr>
            <w:tcW w:w="6664" w:type="dxa"/>
            <w:shd w:val="clear" w:color="auto" w:fill="auto"/>
            <w:vAlign w:val="center"/>
          </w:tcPr>
          <w:p w14:paraId="6F8EAA57">
            <w:pPr>
              <w:adjustRightInd w:val="0"/>
              <w:snapToGrid w:val="0"/>
              <w:spacing w:line="300" w:lineRule="exact"/>
              <w:ind w:left="-63" w:leftChars="-30" w:right="-63" w:rightChars="-30"/>
              <w:jc w:val="left"/>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推进实施缙云山综合提升项目。</w:t>
            </w:r>
          </w:p>
        </w:tc>
        <w:tc>
          <w:tcPr>
            <w:tcW w:w="1133" w:type="dxa"/>
            <w:shd w:val="clear" w:color="auto" w:fill="auto"/>
            <w:vAlign w:val="center"/>
          </w:tcPr>
          <w:p w14:paraId="422D765A">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2020-2025</w:t>
            </w:r>
          </w:p>
        </w:tc>
        <w:tc>
          <w:tcPr>
            <w:tcW w:w="2128" w:type="dxa"/>
            <w:vAlign w:val="center"/>
          </w:tcPr>
          <w:p w14:paraId="7D8905DD">
            <w:pPr>
              <w:adjustRightInd w:val="0"/>
              <w:snapToGrid w:val="0"/>
              <w:spacing w:line="300" w:lineRule="exact"/>
              <w:ind w:left="-63" w:leftChars="-30" w:right="-63" w:rightChars="-30"/>
              <w:jc w:val="center"/>
              <w:rPr>
                <w:rFonts w:ascii="Times New Roman" w:hAnsi="Times New Roman" w:eastAsia="方正仿宋_GBK" w:cs="Times New Roman"/>
                <w:bCs/>
                <w:szCs w:val="21"/>
              </w:rPr>
            </w:pPr>
            <w:r>
              <w:rPr>
                <w:rFonts w:hint="eastAsia" w:ascii="Times New Roman" w:hAnsi="Times New Roman" w:eastAsia="方正仿宋_GBK" w:cs="Times New Roman"/>
                <w:bCs/>
                <w:szCs w:val="21"/>
              </w:rPr>
              <w:t>单位国土面积生态系统生产总值</w:t>
            </w:r>
          </w:p>
        </w:tc>
        <w:tc>
          <w:tcPr>
            <w:tcW w:w="1551" w:type="dxa"/>
            <w:shd w:val="clear" w:color="auto" w:fill="auto"/>
            <w:vAlign w:val="center"/>
          </w:tcPr>
          <w:p w14:paraId="511B91B9">
            <w:pPr>
              <w:adjustRightInd w:val="0"/>
              <w:snapToGrid w:val="0"/>
              <w:spacing w:line="300" w:lineRule="exact"/>
              <w:ind w:left="-63" w:leftChars="-30" w:right="-63" w:rightChars="-30"/>
              <w:jc w:val="center"/>
              <w:rPr>
                <w:rFonts w:ascii="Times New Roman" w:hAnsi="Times New Roman" w:eastAsia="方正仿宋_GBK" w:cs="Times New Roman"/>
                <w:bCs/>
                <w:szCs w:val="21"/>
              </w:rPr>
            </w:pPr>
            <w:r>
              <w:rPr>
                <w:rFonts w:hint="eastAsia" w:ascii="Times New Roman" w:hAnsi="Times New Roman" w:eastAsia="方正仿宋_GBK" w:cs="Times New Roman"/>
                <w:bCs/>
                <w:szCs w:val="21"/>
              </w:rPr>
              <w:t>温泉谷两山生态文旅产业园管委会</w:t>
            </w:r>
          </w:p>
        </w:tc>
      </w:tr>
      <w:tr w14:paraId="127F2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364" w:type="dxa"/>
            <w:shd w:val="clear" w:color="auto" w:fill="auto"/>
            <w:vAlign w:val="center"/>
          </w:tcPr>
          <w:p w14:paraId="42A09C63">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t>24</w:t>
            </w:r>
          </w:p>
        </w:tc>
        <w:tc>
          <w:tcPr>
            <w:tcW w:w="1330" w:type="dxa"/>
            <w:shd w:val="clear" w:color="auto" w:fill="auto"/>
            <w:vAlign w:val="center"/>
          </w:tcPr>
          <w:p w14:paraId="59D09AE9">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水土流失治理</w:t>
            </w:r>
          </w:p>
        </w:tc>
        <w:tc>
          <w:tcPr>
            <w:tcW w:w="6664" w:type="dxa"/>
            <w:shd w:val="clear" w:color="auto" w:fill="auto"/>
            <w:vAlign w:val="center"/>
          </w:tcPr>
          <w:p w14:paraId="41DD63A0">
            <w:pPr>
              <w:adjustRightInd w:val="0"/>
              <w:snapToGrid w:val="0"/>
              <w:spacing w:line="300" w:lineRule="exact"/>
              <w:ind w:left="-63" w:leftChars="-30" w:right="-63" w:rightChars="-30"/>
              <w:jc w:val="left"/>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按年度推进水土保持实施方案编制和重点项目建设，2020年治理面积10平方公里。</w:t>
            </w:r>
          </w:p>
        </w:tc>
        <w:tc>
          <w:tcPr>
            <w:tcW w:w="1133" w:type="dxa"/>
            <w:shd w:val="clear" w:color="auto" w:fill="auto"/>
            <w:vAlign w:val="center"/>
          </w:tcPr>
          <w:p w14:paraId="3DF5E81E">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2020-2025</w:t>
            </w:r>
          </w:p>
        </w:tc>
        <w:tc>
          <w:tcPr>
            <w:tcW w:w="2128" w:type="dxa"/>
            <w:vAlign w:val="center"/>
          </w:tcPr>
          <w:p w14:paraId="18B03184">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生态环保投入占GDP比重</w:t>
            </w:r>
          </w:p>
        </w:tc>
        <w:tc>
          <w:tcPr>
            <w:tcW w:w="1551" w:type="dxa"/>
            <w:shd w:val="clear" w:color="auto" w:fill="auto"/>
            <w:vAlign w:val="center"/>
          </w:tcPr>
          <w:p w14:paraId="271851F3">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区水利局</w:t>
            </w:r>
          </w:p>
        </w:tc>
      </w:tr>
      <w:tr w14:paraId="27CF3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5" w:hRule="atLeast"/>
          <w:jc w:val="center"/>
        </w:trPr>
        <w:tc>
          <w:tcPr>
            <w:tcW w:w="364" w:type="dxa"/>
            <w:shd w:val="clear" w:color="auto" w:fill="auto"/>
            <w:vAlign w:val="center"/>
          </w:tcPr>
          <w:p w14:paraId="04E19512">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t>25</w:t>
            </w:r>
          </w:p>
        </w:tc>
        <w:tc>
          <w:tcPr>
            <w:tcW w:w="1330" w:type="dxa"/>
            <w:shd w:val="clear" w:color="auto" w:fill="auto"/>
            <w:vAlign w:val="center"/>
          </w:tcPr>
          <w:p w14:paraId="63E16292">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自然灾害治理</w:t>
            </w:r>
          </w:p>
        </w:tc>
        <w:tc>
          <w:tcPr>
            <w:tcW w:w="6664" w:type="dxa"/>
            <w:shd w:val="clear" w:color="auto" w:fill="auto"/>
            <w:vAlign w:val="center"/>
          </w:tcPr>
          <w:p w14:paraId="237E00FE">
            <w:pPr>
              <w:adjustRightInd w:val="0"/>
              <w:snapToGrid w:val="0"/>
              <w:spacing w:line="300" w:lineRule="exact"/>
              <w:ind w:left="-63" w:leftChars="-30" w:right="-63" w:rightChars="-30"/>
              <w:jc w:val="left"/>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bookmarkStart w:id="165" w:name="RANGE!C26"/>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按年度推进地质灾害防治工作方案编制和重点项目建设。</w:t>
            </w:r>
            <w:bookmarkEnd w:id="165"/>
          </w:p>
        </w:tc>
        <w:tc>
          <w:tcPr>
            <w:tcW w:w="1133" w:type="dxa"/>
            <w:shd w:val="clear" w:color="auto" w:fill="auto"/>
            <w:vAlign w:val="center"/>
          </w:tcPr>
          <w:p w14:paraId="65E9B5B0">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2020-2025</w:t>
            </w:r>
          </w:p>
        </w:tc>
        <w:tc>
          <w:tcPr>
            <w:tcW w:w="2128" w:type="dxa"/>
            <w:vAlign w:val="center"/>
          </w:tcPr>
          <w:p w14:paraId="0F6A2E08">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生态环保投入占GDP比重</w:t>
            </w:r>
          </w:p>
        </w:tc>
        <w:tc>
          <w:tcPr>
            <w:tcW w:w="1551" w:type="dxa"/>
            <w:shd w:val="clear" w:color="auto" w:fill="auto"/>
            <w:vAlign w:val="center"/>
          </w:tcPr>
          <w:p w14:paraId="294A9074">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区规划自然资源局</w:t>
            </w:r>
          </w:p>
        </w:tc>
      </w:tr>
      <w:tr w14:paraId="70B9D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54" w:hRule="atLeast"/>
          <w:jc w:val="center"/>
        </w:trPr>
        <w:tc>
          <w:tcPr>
            <w:tcW w:w="364" w:type="dxa"/>
            <w:shd w:val="clear" w:color="auto" w:fill="auto"/>
            <w:vAlign w:val="center"/>
          </w:tcPr>
          <w:p w14:paraId="228AA995">
            <w:pPr>
              <w:adjustRightInd w:val="0"/>
              <w:snapToGrid w:val="0"/>
              <w:spacing w:line="290" w:lineRule="exact"/>
              <w:ind w:left="-63" w:leftChars="-30" w:right="-63" w:rightChars="-30"/>
              <w:jc w:val="cente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t>26</w:t>
            </w:r>
          </w:p>
        </w:tc>
        <w:tc>
          <w:tcPr>
            <w:tcW w:w="1330" w:type="dxa"/>
            <w:shd w:val="clear" w:color="auto" w:fill="auto"/>
            <w:vAlign w:val="center"/>
          </w:tcPr>
          <w:p w14:paraId="71672010">
            <w:pPr>
              <w:adjustRightInd w:val="0"/>
              <w:snapToGrid w:val="0"/>
              <w:spacing w:line="29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矿山生态修复</w:t>
            </w:r>
          </w:p>
        </w:tc>
        <w:tc>
          <w:tcPr>
            <w:tcW w:w="6664" w:type="dxa"/>
            <w:shd w:val="clear" w:color="auto" w:fill="auto"/>
            <w:vAlign w:val="center"/>
          </w:tcPr>
          <w:p w14:paraId="46FDBBC8">
            <w:pPr>
              <w:adjustRightInd w:val="0"/>
              <w:snapToGrid w:val="0"/>
              <w:spacing w:line="290" w:lineRule="exact"/>
              <w:ind w:left="-63" w:leftChars="-30" w:right="-63" w:rightChars="-30"/>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开展重点采煤沉陷区综合治理；完成非煤固体矿山矿权退出工作；推进历史遗留和关闭矿山地质环境治理恢复与土地复垦。2</w:t>
            </w: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020</w:t>
            </w: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年完成嘉陵江两岸各</w:t>
            </w: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10公里范围内废弃露天矿山治理任务。</w:t>
            </w:r>
          </w:p>
        </w:tc>
        <w:tc>
          <w:tcPr>
            <w:tcW w:w="1133" w:type="dxa"/>
            <w:shd w:val="clear" w:color="auto" w:fill="auto"/>
            <w:vAlign w:val="center"/>
          </w:tcPr>
          <w:p w14:paraId="412165AD">
            <w:pPr>
              <w:adjustRightInd w:val="0"/>
              <w:snapToGrid w:val="0"/>
              <w:spacing w:line="29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2020-2025</w:t>
            </w:r>
          </w:p>
        </w:tc>
        <w:tc>
          <w:tcPr>
            <w:tcW w:w="2128" w:type="dxa"/>
            <w:vAlign w:val="center"/>
          </w:tcPr>
          <w:p w14:paraId="3B3D2BC1">
            <w:pPr>
              <w:adjustRightInd w:val="0"/>
              <w:snapToGrid w:val="0"/>
              <w:spacing w:line="29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单位国土面积生态系统生产总值</w:t>
            </w:r>
          </w:p>
        </w:tc>
        <w:tc>
          <w:tcPr>
            <w:tcW w:w="1551" w:type="dxa"/>
            <w:shd w:val="clear" w:color="auto" w:fill="auto"/>
            <w:vAlign w:val="center"/>
          </w:tcPr>
          <w:p w14:paraId="0C260A06">
            <w:pPr>
              <w:adjustRightInd w:val="0"/>
              <w:snapToGrid w:val="0"/>
              <w:spacing w:line="29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区规划自然资源局</w:t>
            </w:r>
          </w:p>
        </w:tc>
      </w:tr>
      <w:tr w14:paraId="476BF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83" w:hRule="atLeast"/>
          <w:jc w:val="center"/>
        </w:trPr>
        <w:tc>
          <w:tcPr>
            <w:tcW w:w="364" w:type="dxa"/>
            <w:shd w:val="clear" w:color="auto" w:fill="auto"/>
            <w:vAlign w:val="center"/>
          </w:tcPr>
          <w:p w14:paraId="790FCF4E">
            <w:pPr>
              <w:adjustRightInd w:val="0"/>
              <w:snapToGrid w:val="0"/>
              <w:spacing w:line="290" w:lineRule="exact"/>
              <w:ind w:left="-63" w:leftChars="-30" w:right="-63" w:rightChars="-30"/>
              <w:jc w:val="cente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t>27</w:t>
            </w:r>
          </w:p>
        </w:tc>
        <w:tc>
          <w:tcPr>
            <w:tcW w:w="1330" w:type="dxa"/>
            <w:vMerge w:val="restart"/>
            <w:shd w:val="clear" w:color="auto" w:fill="auto"/>
            <w:vAlign w:val="center"/>
          </w:tcPr>
          <w:p w14:paraId="72D72B5E">
            <w:pPr>
              <w:adjustRightInd w:val="0"/>
              <w:snapToGrid w:val="0"/>
              <w:spacing w:line="29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城市生态保护建设</w:t>
            </w:r>
          </w:p>
        </w:tc>
        <w:tc>
          <w:tcPr>
            <w:tcW w:w="6664" w:type="dxa"/>
            <w:shd w:val="clear" w:color="auto" w:fill="auto"/>
            <w:vAlign w:val="center"/>
          </w:tcPr>
          <w:p w14:paraId="3A141FD0">
            <w:pPr>
              <w:adjustRightInd w:val="0"/>
              <w:snapToGrid w:val="0"/>
              <w:spacing w:line="290" w:lineRule="exact"/>
              <w:ind w:left="-63" w:leftChars="-30" w:right="-63" w:rightChars="-30"/>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以城市建成区及拓展区的道路干道、城市公园、社区公园、城市景观节点绿化为重点，积极开展城市绿化工程，加强城市垂直绿化工作。</w:t>
            </w:r>
          </w:p>
        </w:tc>
        <w:tc>
          <w:tcPr>
            <w:tcW w:w="1133" w:type="dxa"/>
            <w:shd w:val="clear" w:color="auto" w:fill="auto"/>
            <w:vAlign w:val="center"/>
          </w:tcPr>
          <w:p w14:paraId="0183EA4D">
            <w:pPr>
              <w:adjustRightInd w:val="0"/>
              <w:snapToGrid w:val="0"/>
              <w:spacing w:line="29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2020-2025</w:t>
            </w:r>
          </w:p>
        </w:tc>
        <w:tc>
          <w:tcPr>
            <w:tcW w:w="2128" w:type="dxa"/>
            <w:vAlign w:val="center"/>
          </w:tcPr>
          <w:p w14:paraId="25ACA10C">
            <w:pPr>
              <w:adjustRightInd w:val="0"/>
              <w:snapToGrid w:val="0"/>
              <w:spacing w:line="29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生态环保投入占GDP比重、“两山”建设成效公众满意度</w:t>
            </w:r>
          </w:p>
        </w:tc>
        <w:tc>
          <w:tcPr>
            <w:tcW w:w="1551" w:type="dxa"/>
            <w:shd w:val="clear" w:color="auto" w:fill="auto"/>
            <w:vAlign w:val="center"/>
          </w:tcPr>
          <w:p w14:paraId="2BBACF2C">
            <w:pPr>
              <w:adjustRightInd w:val="0"/>
              <w:snapToGrid w:val="0"/>
              <w:spacing w:line="29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区城管局</w:t>
            </w:r>
          </w:p>
        </w:tc>
      </w:tr>
      <w:tr w14:paraId="3462D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0" w:hRule="atLeast"/>
          <w:jc w:val="center"/>
        </w:trPr>
        <w:tc>
          <w:tcPr>
            <w:tcW w:w="364" w:type="dxa"/>
            <w:shd w:val="clear" w:color="auto" w:fill="auto"/>
            <w:vAlign w:val="center"/>
          </w:tcPr>
          <w:p w14:paraId="67FC37C1">
            <w:pPr>
              <w:adjustRightInd w:val="0"/>
              <w:snapToGrid w:val="0"/>
              <w:spacing w:line="290" w:lineRule="exact"/>
              <w:ind w:left="-63" w:leftChars="-30" w:right="-63" w:rightChars="-30"/>
              <w:jc w:val="cente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t>28</w:t>
            </w:r>
          </w:p>
        </w:tc>
        <w:tc>
          <w:tcPr>
            <w:tcW w:w="1330" w:type="dxa"/>
            <w:vMerge w:val="continue"/>
            <w:vAlign w:val="center"/>
          </w:tcPr>
          <w:p w14:paraId="73A0D514">
            <w:pPr>
              <w:adjustRightInd w:val="0"/>
              <w:snapToGrid w:val="0"/>
              <w:spacing w:line="29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p>
        </w:tc>
        <w:tc>
          <w:tcPr>
            <w:tcW w:w="6664" w:type="dxa"/>
            <w:shd w:val="clear" w:color="auto" w:fill="auto"/>
            <w:vAlign w:val="center"/>
          </w:tcPr>
          <w:p w14:paraId="1C1B4C99">
            <w:pPr>
              <w:adjustRightInd w:val="0"/>
              <w:snapToGrid w:val="0"/>
              <w:spacing w:line="290" w:lineRule="exact"/>
              <w:ind w:left="-63" w:leftChars="-30" w:right="-63" w:rightChars="-30"/>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竹溪河景观工程二期、三期、四期项目建设。</w:t>
            </w:r>
          </w:p>
        </w:tc>
        <w:tc>
          <w:tcPr>
            <w:tcW w:w="1133" w:type="dxa"/>
            <w:shd w:val="clear" w:color="auto" w:fill="auto"/>
            <w:vAlign w:val="center"/>
          </w:tcPr>
          <w:p w14:paraId="0AF90F25">
            <w:pPr>
              <w:adjustRightInd w:val="0"/>
              <w:snapToGrid w:val="0"/>
              <w:spacing w:line="29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2020-2022</w:t>
            </w:r>
          </w:p>
        </w:tc>
        <w:tc>
          <w:tcPr>
            <w:tcW w:w="2128" w:type="dxa"/>
            <w:vAlign w:val="center"/>
          </w:tcPr>
          <w:p w14:paraId="704745AE">
            <w:pPr>
              <w:adjustRightInd w:val="0"/>
              <w:snapToGrid w:val="0"/>
              <w:spacing w:line="29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生态环保投入占GDP比重、“两山”建设成效公众满意度</w:t>
            </w:r>
          </w:p>
        </w:tc>
        <w:tc>
          <w:tcPr>
            <w:tcW w:w="1551" w:type="dxa"/>
            <w:shd w:val="clear" w:color="auto" w:fill="auto"/>
            <w:vAlign w:val="center"/>
          </w:tcPr>
          <w:p w14:paraId="47163203">
            <w:pPr>
              <w:adjustRightInd w:val="0"/>
              <w:snapToGrid w:val="0"/>
              <w:spacing w:line="29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两江新区水土高新技术产业园管委会</w:t>
            </w:r>
          </w:p>
        </w:tc>
      </w:tr>
      <w:tr w14:paraId="124D3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07" w:hRule="atLeast"/>
          <w:jc w:val="center"/>
        </w:trPr>
        <w:tc>
          <w:tcPr>
            <w:tcW w:w="364" w:type="dxa"/>
            <w:shd w:val="clear" w:color="auto" w:fill="auto"/>
            <w:vAlign w:val="center"/>
          </w:tcPr>
          <w:p w14:paraId="4BA66E8C">
            <w:pPr>
              <w:adjustRightInd w:val="0"/>
              <w:snapToGrid w:val="0"/>
              <w:spacing w:line="290" w:lineRule="exact"/>
              <w:ind w:left="-63" w:leftChars="-30" w:right="-63" w:rightChars="-30"/>
              <w:jc w:val="cente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t>29</w:t>
            </w:r>
          </w:p>
        </w:tc>
        <w:tc>
          <w:tcPr>
            <w:tcW w:w="1330" w:type="dxa"/>
            <w:vMerge w:val="continue"/>
            <w:vAlign w:val="center"/>
          </w:tcPr>
          <w:p w14:paraId="151DFDF4">
            <w:pPr>
              <w:adjustRightInd w:val="0"/>
              <w:snapToGrid w:val="0"/>
              <w:spacing w:line="29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p>
        </w:tc>
        <w:tc>
          <w:tcPr>
            <w:tcW w:w="6664" w:type="dxa"/>
            <w:shd w:val="clear" w:color="auto" w:fill="auto"/>
            <w:vAlign w:val="center"/>
          </w:tcPr>
          <w:p w14:paraId="68B7702C">
            <w:pPr>
              <w:adjustRightInd w:val="0"/>
              <w:snapToGrid w:val="0"/>
              <w:spacing w:line="290" w:lineRule="exact"/>
              <w:ind w:left="-63" w:leftChars="-30" w:right="-63" w:rightChars="-30"/>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实施马元溪综合整治一期工程。</w:t>
            </w:r>
          </w:p>
        </w:tc>
        <w:tc>
          <w:tcPr>
            <w:tcW w:w="1133" w:type="dxa"/>
            <w:shd w:val="clear" w:color="auto" w:fill="auto"/>
            <w:vAlign w:val="center"/>
          </w:tcPr>
          <w:p w14:paraId="2C20A696">
            <w:pPr>
              <w:adjustRightInd w:val="0"/>
              <w:snapToGrid w:val="0"/>
              <w:spacing w:line="29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2020-2021</w:t>
            </w:r>
          </w:p>
        </w:tc>
        <w:tc>
          <w:tcPr>
            <w:tcW w:w="2128" w:type="dxa"/>
            <w:vAlign w:val="center"/>
          </w:tcPr>
          <w:p w14:paraId="04A6391A">
            <w:pPr>
              <w:adjustRightInd w:val="0"/>
              <w:snapToGrid w:val="0"/>
              <w:spacing w:line="29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生态环保投入占GDP比重</w:t>
            </w:r>
          </w:p>
        </w:tc>
        <w:tc>
          <w:tcPr>
            <w:tcW w:w="1551" w:type="dxa"/>
            <w:shd w:val="clear" w:color="auto" w:fill="auto"/>
            <w:vAlign w:val="center"/>
          </w:tcPr>
          <w:p w14:paraId="18A05311">
            <w:pPr>
              <w:adjustRightInd w:val="0"/>
              <w:snapToGrid w:val="0"/>
              <w:spacing w:line="29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两江新区水土高新技术产业园管委会</w:t>
            </w:r>
          </w:p>
        </w:tc>
      </w:tr>
      <w:tr w14:paraId="64C3F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24" w:hRule="atLeast"/>
          <w:jc w:val="center"/>
        </w:trPr>
        <w:tc>
          <w:tcPr>
            <w:tcW w:w="364" w:type="dxa"/>
            <w:shd w:val="clear" w:color="auto" w:fill="auto"/>
            <w:vAlign w:val="center"/>
          </w:tcPr>
          <w:p w14:paraId="23C85A22">
            <w:pPr>
              <w:adjustRightInd w:val="0"/>
              <w:snapToGrid w:val="0"/>
              <w:spacing w:line="290" w:lineRule="exact"/>
              <w:ind w:left="-63" w:leftChars="-30" w:right="-63" w:rightChars="-30"/>
              <w:jc w:val="cente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t>30</w:t>
            </w:r>
          </w:p>
        </w:tc>
        <w:tc>
          <w:tcPr>
            <w:tcW w:w="1330" w:type="dxa"/>
            <w:vMerge w:val="continue"/>
            <w:vAlign w:val="center"/>
          </w:tcPr>
          <w:p w14:paraId="70BFC80A">
            <w:pPr>
              <w:adjustRightInd w:val="0"/>
              <w:snapToGrid w:val="0"/>
              <w:spacing w:line="29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p>
        </w:tc>
        <w:tc>
          <w:tcPr>
            <w:tcW w:w="6664" w:type="dxa"/>
            <w:shd w:val="clear" w:color="auto" w:fill="auto"/>
            <w:vAlign w:val="center"/>
          </w:tcPr>
          <w:p w14:paraId="6090E89E">
            <w:pPr>
              <w:adjustRightInd w:val="0"/>
              <w:snapToGrid w:val="0"/>
              <w:spacing w:line="290" w:lineRule="exact"/>
              <w:ind w:left="-63" w:leftChars="-30" w:right="-63" w:rightChars="-30"/>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建设红旗水库水体公园、水滴桥水系公园、水土水体公园等一批城市公园，同时利用城市公共绿地和小区边角地块，打造一批口袋公园、邮票公园。</w:t>
            </w:r>
          </w:p>
        </w:tc>
        <w:tc>
          <w:tcPr>
            <w:tcW w:w="1133" w:type="dxa"/>
            <w:shd w:val="clear" w:color="auto" w:fill="auto"/>
            <w:vAlign w:val="center"/>
          </w:tcPr>
          <w:p w14:paraId="3C8D4AB5">
            <w:pPr>
              <w:adjustRightInd w:val="0"/>
              <w:snapToGrid w:val="0"/>
              <w:spacing w:line="29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2020-2025</w:t>
            </w:r>
          </w:p>
        </w:tc>
        <w:tc>
          <w:tcPr>
            <w:tcW w:w="2128" w:type="dxa"/>
            <w:vAlign w:val="center"/>
          </w:tcPr>
          <w:p w14:paraId="48531B7F">
            <w:pPr>
              <w:adjustRightInd w:val="0"/>
              <w:snapToGrid w:val="0"/>
              <w:spacing w:line="29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生态环保投入占GDP比重、“两山”建设成效公众满意度</w:t>
            </w:r>
          </w:p>
        </w:tc>
        <w:tc>
          <w:tcPr>
            <w:tcW w:w="1551" w:type="dxa"/>
            <w:shd w:val="clear" w:color="auto" w:fill="auto"/>
            <w:vAlign w:val="center"/>
          </w:tcPr>
          <w:p w14:paraId="3C9D000A">
            <w:pPr>
              <w:adjustRightInd w:val="0"/>
              <w:snapToGrid w:val="0"/>
              <w:spacing w:line="29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两江新区水土高新技术产业园管委会</w:t>
            </w:r>
          </w:p>
        </w:tc>
      </w:tr>
      <w:tr w14:paraId="1F531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89" w:hRule="atLeast"/>
          <w:jc w:val="center"/>
        </w:trPr>
        <w:tc>
          <w:tcPr>
            <w:tcW w:w="364" w:type="dxa"/>
            <w:shd w:val="clear" w:color="auto" w:fill="auto"/>
            <w:vAlign w:val="center"/>
          </w:tcPr>
          <w:p w14:paraId="71CD1EB4">
            <w:pPr>
              <w:adjustRightInd w:val="0"/>
              <w:snapToGrid w:val="0"/>
              <w:spacing w:line="290" w:lineRule="exact"/>
              <w:ind w:left="-63" w:leftChars="-30" w:right="-63" w:rightChars="-30"/>
              <w:jc w:val="cente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t>3</w:t>
            </w:r>
            <w: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t>1</w:t>
            </w:r>
          </w:p>
        </w:tc>
        <w:tc>
          <w:tcPr>
            <w:tcW w:w="1330" w:type="dxa"/>
            <w:shd w:val="clear" w:color="auto" w:fill="auto"/>
            <w:vAlign w:val="center"/>
          </w:tcPr>
          <w:p w14:paraId="0A946CC8">
            <w:pPr>
              <w:adjustRightInd w:val="0"/>
              <w:snapToGrid w:val="0"/>
              <w:spacing w:line="29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人居环境改善示范</w:t>
            </w:r>
          </w:p>
        </w:tc>
        <w:tc>
          <w:tcPr>
            <w:tcW w:w="6664" w:type="dxa"/>
            <w:shd w:val="clear" w:color="auto" w:fill="auto"/>
            <w:vAlign w:val="center"/>
          </w:tcPr>
          <w:p w14:paraId="7A22869E">
            <w:pPr>
              <w:adjustRightInd w:val="0"/>
              <w:snapToGrid w:val="0"/>
              <w:spacing w:line="290" w:lineRule="exact"/>
              <w:ind w:left="-63" w:leftChars="-30" w:right="-63" w:rightChars="-30"/>
              <w:jc w:val="left"/>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打造澄江镇柏林村等5个人居环境改善示范试点村。</w:t>
            </w:r>
          </w:p>
        </w:tc>
        <w:tc>
          <w:tcPr>
            <w:tcW w:w="1133" w:type="dxa"/>
            <w:shd w:val="clear" w:color="auto" w:fill="auto"/>
            <w:vAlign w:val="center"/>
          </w:tcPr>
          <w:p w14:paraId="3A856AF0">
            <w:pPr>
              <w:adjustRightInd w:val="0"/>
              <w:snapToGrid w:val="0"/>
              <w:spacing w:line="29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2020-2025</w:t>
            </w:r>
          </w:p>
        </w:tc>
        <w:tc>
          <w:tcPr>
            <w:tcW w:w="2128" w:type="dxa"/>
            <w:vAlign w:val="center"/>
          </w:tcPr>
          <w:p w14:paraId="71E5C111">
            <w:pPr>
              <w:adjustRightInd w:val="0"/>
              <w:snapToGrid w:val="0"/>
              <w:spacing w:line="29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生态旅游收入占服务业总产值比重、“两山”建设成效公众满意度</w:t>
            </w:r>
          </w:p>
        </w:tc>
        <w:tc>
          <w:tcPr>
            <w:tcW w:w="1551" w:type="dxa"/>
            <w:shd w:val="clear" w:color="auto" w:fill="auto"/>
            <w:vAlign w:val="center"/>
          </w:tcPr>
          <w:p w14:paraId="5FEEADAD">
            <w:pPr>
              <w:adjustRightInd w:val="0"/>
              <w:snapToGrid w:val="0"/>
              <w:spacing w:line="29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区农业农村委</w:t>
            </w:r>
          </w:p>
        </w:tc>
      </w:tr>
      <w:tr w14:paraId="2F950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92" w:hRule="atLeast"/>
          <w:jc w:val="center"/>
        </w:trPr>
        <w:tc>
          <w:tcPr>
            <w:tcW w:w="13170" w:type="dxa"/>
            <w:gridSpan w:val="6"/>
            <w:vAlign w:val="center"/>
          </w:tcPr>
          <w:p w14:paraId="0D1C5B2E">
            <w:pPr>
              <w:adjustRightInd w:val="0"/>
              <w:snapToGrid w:val="0"/>
              <w:spacing w:line="290" w:lineRule="exact"/>
              <w:ind w:left="-63" w:leftChars="-30" w:right="-63" w:rightChars="-30"/>
              <w:jc w:val="left"/>
              <w:rPr>
                <w:rFonts w:ascii="方正楷体_GBK" w:hAnsi="Times New Roman" w:eastAsia="方正楷体_GBK" w:cs="Times New Roman"/>
                <w:bCs/>
                <w:color w:val="0D0D0D" w:themeColor="text1" w:themeTint="F2"/>
                <w:szCs w:val="21"/>
                <w14:textFill>
                  <w14:solidFill>
                    <w14:schemeClr w14:val="tx1">
                      <w14:lumMod w14:val="95000"/>
                      <w14:lumOff w14:val="5000"/>
                    </w14:schemeClr>
                  </w14:solidFill>
                </w14:textFill>
              </w:rPr>
            </w:pPr>
            <w:r>
              <w:rPr>
                <w:rFonts w:hint="eastAsia" w:ascii="方正楷体_GBK" w:hAnsi="Times New Roman" w:eastAsia="方正楷体_GBK" w:cs="Times New Roman"/>
                <w:b/>
                <w:color w:val="0D0D0D" w:themeColor="text1" w:themeTint="F2"/>
                <w:szCs w:val="21"/>
                <w14:textFill>
                  <w14:solidFill>
                    <w14:schemeClr w14:val="tx1">
                      <w14:lumMod w14:val="95000"/>
                      <w14:lumOff w14:val="5000"/>
                    </w14:schemeClr>
                  </w14:solidFill>
                </w14:textFill>
              </w:rPr>
              <w:t>四、“两山”路径转化实践</w:t>
            </w:r>
          </w:p>
        </w:tc>
      </w:tr>
      <w:tr w14:paraId="31DCC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jc w:val="center"/>
        </w:trPr>
        <w:tc>
          <w:tcPr>
            <w:tcW w:w="364" w:type="dxa"/>
            <w:shd w:val="clear" w:color="auto" w:fill="auto"/>
            <w:vAlign w:val="center"/>
          </w:tcPr>
          <w:p w14:paraId="72B792A3">
            <w:pPr>
              <w:adjustRightInd w:val="0"/>
              <w:snapToGrid w:val="0"/>
              <w:spacing w:line="290" w:lineRule="exact"/>
              <w:ind w:left="-63" w:leftChars="-30" w:right="-63" w:rightChars="-30"/>
              <w:jc w:val="cente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t>3</w:t>
            </w:r>
            <w: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t>2</w:t>
            </w:r>
          </w:p>
        </w:tc>
        <w:tc>
          <w:tcPr>
            <w:tcW w:w="1330" w:type="dxa"/>
            <w:vMerge w:val="restart"/>
            <w:shd w:val="clear" w:color="auto" w:fill="auto"/>
            <w:vAlign w:val="center"/>
          </w:tcPr>
          <w:p w14:paraId="0318F781">
            <w:pPr>
              <w:adjustRightInd w:val="0"/>
              <w:snapToGrid w:val="0"/>
              <w:spacing w:line="29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特色农产品建设</w:t>
            </w:r>
          </w:p>
        </w:tc>
        <w:tc>
          <w:tcPr>
            <w:tcW w:w="6664" w:type="dxa"/>
            <w:shd w:val="clear" w:color="auto" w:fill="auto"/>
            <w:vAlign w:val="center"/>
          </w:tcPr>
          <w:p w14:paraId="02C48E07">
            <w:pPr>
              <w:adjustRightInd w:val="0"/>
              <w:snapToGrid w:val="0"/>
              <w:spacing w:line="290" w:lineRule="exact"/>
              <w:ind w:left="-63" w:leftChars="-30" w:right="-63" w:rightChars="-30"/>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t>新增“二品一标”25个、重庆名牌农产品5个，健全“二品一标”农产品的质量档案和监管档案，推进产品认证信息网上公示、查询、追溯。</w:t>
            </w:r>
          </w:p>
        </w:tc>
        <w:tc>
          <w:tcPr>
            <w:tcW w:w="1133" w:type="dxa"/>
            <w:shd w:val="clear" w:color="auto" w:fill="auto"/>
            <w:vAlign w:val="center"/>
          </w:tcPr>
          <w:p w14:paraId="5B0BE720">
            <w:pPr>
              <w:adjustRightInd w:val="0"/>
              <w:snapToGrid w:val="0"/>
              <w:spacing w:line="29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2020-2025</w:t>
            </w:r>
          </w:p>
        </w:tc>
        <w:tc>
          <w:tcPr>
            <w:tcW w:w="2128" w:type="dxa"/>
            <w:vAlign w:val="center"/>
          </w:tcPr>
          <w:p w14:paraId="77E99D1E">
            <w:pPr>
              <w:adjustRightInd w:val="0"/>
              <w:snapToGrid w:val="0"/>
              <w:spacing w:line="29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绿色、有机农产品产值占农业总产值比重</w:t>
            </w:r>
          </w:p>
        </w:tc>
        <w:tc>
          <w:tcPr>
            <w:tcW w:w="1551" w:type="dxa"/>
            <w:shd w:val="clear" w:color="auto" w:fill="auto"/>
            <w:vAlign w:val="center"/>
          </w:tcPr>
          <w:p w14:paraId="5B7D0100">
            <w:pPr>
              <w:adjustRightInd w:val="0"/>
              <w:snapToGrid w:val="0"/>
              <w:spacing w:line="29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区农业农村委</w:t>
            </w:r>
          </w:p>
        </w:tc>
      </w:tr>
      <w:tr w14:paraId="6B82D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0" w:hRule="atLeast"/>
          <w:jc w:val="center"/>
        </w:trPr>
        <w:tc>
          <w:tcPr>
            <w:tcW w:w="364" w:type="dxa"/>
            <w:shd w:val="clear" w:color="auto" w:fill="auto"/>
            <w:vAlign w:val="center"/>
          </w:tcPr>
          <w:p w14:paraId="16A8094F">
            <w:pPr>
              <w:adjustRightInd w:val="0"/>
              <w:snapToGrid w:val="0"/>
              <w:spacing w:line="290" w:lineRule="exact"/>
              <w:ind w:left="-63" w:leftChars="-30" w:right="-63" w:rightChars="-30"/>
              <w:jc w:val="cente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t>3</w:t>
            </w:r>
            <w: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t>3</w:t>
            </w:r>
          </w:p>
        </w:tc>
        <w:tc>
          <w:tcPr>
            <w:tcW w:w="1330" w:type="dxa"/>
            <w:vMerge w:val="continue"/>
            <w:shd w:val="clear" w:color="auto" w:fill="auto"/>
            <w:vAlign w:val="center"/>
          </w:tcPr>
          <w:p w14:paraId="1CE47E93">
            <w:pPr>
              <w:adjustRightInd w:val="0"/>
              <w:snapToGrid w:val="0"/>
              <w:spacing w:line="29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p>
        </w:tc>
        <w:tc>
          <w:tcPr>
            <w:tcW w:w="6664" w:type="dxa"/>
            <w:shd w:val="clear" w:color="auto" w:fill="auto"/>
            <w:vAlign w:val="center"/>
          </w:tcPr>
          <w:p w14:paraId="3C81DE90">
            <w:pPr>
              <w:adjustRightInd w:val="0"/>
              <w:snapToGrid w:val="0"/>
              <w:spacing w:line="290" w:lineRule="exact"/>
              <w:ind w:left="-63" w:leftChars="-30" w:right="-63" w:rightChars="-30"/>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t>2020年，新发展特色高效农业2600亩，新（改、扩）建优质柑橘育苗基地825亩，新（扩）建农业产业标准化基地10个、高标准农田2.6</w:t>
            </w:r>
            <w: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t>2</w:t>
            </w:r>
            <w:r>
              <w:rPr>
                <w:rFonts w:hint="eastAsia"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t xml:space="preserve">万亩。 </w:t>
            </w:r>
          </w:p>
        </w:tc>
        <w:tc>
          <w:tcPr>
            <w:tcW w:w="1133" w:type="dxa"/>
            <w:shd w:val="clear" w:color="auto" w:fill="auto"/>
            <w:vAlign w:val="center"/>
          </w:tcPr>
          <w:p w14:paraId="560785DD">
            <w:pPr>
              <w:adjustRightInd w:val="0"/>
              <w:snapToGrid w:val="0"/>
              <w:spacing w:line="29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2020</w:t>
            </w:r>
          </w:p>
        </w:tc>
        <w:tc>
          <w:tcPr>
            <w:tcW w:w="2128" w:type="dxa"/>
            <w:vAlign w:val="center"/>
          </w:tcPr>
          <w:p w14:paraId="56B16EC7">
            <w:pPr>
              <w:adjustRightInd w:val="0"/>
              <w:snapToGrid w:val="0"/>
              <w:spacing w:line="29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“绿色、有机农产品产值占农业总产值比重、单位国土面积生态系统生产总值、生态加工业产值占工业总产值比重</w:t>
            </w:r>
          </w:p>
        </w:tc>
        <w:tc>
          <w:tcPr>
            <w:tcW w:w="1551" w:type="dxa"/>
            <w:shd w:val="clear" w:color="auto" w:fill="auto"/>
            <w:vAlign w:val="center"/>
          </w:tcPr>
          <w:p w14:paraId="38F756CA">
            <w:pPr>
              <w:adjustRightInd w:val="0"/>
              <w:snapToGrid w:val="0"/>
              <w:spacing w:line="29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区农业农村委</w:t>
            </w:r>
          </w:p>
        </w:tc>
      </w:tr>
      <w:tr w14:paraId="75240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83" w:hRule="atLeast"/>
          <w:jc w:val="center"/>
        </w:trPr>
        <w:tc>
          <w:tcPr>
            <w:tcW w:w="364" w:type="dxa"/>
            <w:shd w:val="clear" w:color="auto" w:fill="auto"/>
            <w:vAlign w:val="center"/>
          </w:tcPr>
          <w:p w14:paraId="44D48183">
            <w:pPr>
              <w:adjustRightInd w:val="0"/>
              <w:snapToGrid w:val="0"/>
              <w:spacing w:line="280" w:lineRule="exact"/>
              <w:ind w:left="-63" w:leftChars="-30" w:right="-63" w:rightChars="-30"/>
              <w:jc w:val="cente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t>34</w:t>
            </w:r>
          </w:p>
        </w:tc>
        <w:tc>
          <w:tcPr>
            <w:tcW w:w="1330" w:type="dxa"/>
            <w:vMerge w:val="restart"/>
            <w:shd w:val="clear" w:color="auto" w:fill="auto"/>
            <w:vAlign w:val="center"/>
          </w:tcPr>
          <w:p w14:paraId="1490EDBD">
            <w:pPr>
              <w:adjustRightInd w:val="0"/>
              <w:snapToGrid w:val="0"/>
              <w:spacing w:line="28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中心园区都市现代综合农业圈建设</w:t>
            </w:r>
          </w:p>
        </w:tc>
        <w:tc>
          <w:tcPr>
            <w:tcW w:w="6664" w:type="dxa"/>
            <w:shd w:val="clear" w:color="auto" w:fill="auto"/>
            <w:vAlign w:val="center"/>
          </w:tcPr>
          <w:p w14:paraId="11D18323">
            <w:pPr>
              <w:adjustRightInd w:val="0"/>
              <w:snapToGrid w:val="0"/>
              <w:spacing w:line="280" w:lineRule="exact"/>
              <w:ind w:left="-63" w:leftChars="-30" w:right="-63" w:rightChars="-30"/>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t>建设都市休闲文创园：重点发展康养休闲、运动休闲、文创美食产业，打响“台农园文创区”品牌，打造形成串联湖岸线的休闲康养经济。</w:t>
            </w:r>
          </w:p>
        </w:tc>
        <w:tc>
          <w:tcPr>
            <w:tcW w:w="1133" w:type="dxa"/>
            <w:shd w:val="clear" w:color="auto" w:fill="auto"/>
            <w:vAlign w:val="center"/>
          </w:tcPr>
          <w:p w14:paraId="33B62B79">
            <w:pPr>
              <w:adjustRightInd w:val="0"/>
              <w:snapToGrid w:val="0"/>
              <w:spacing w:line="28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2020-2025</w:t>
            </w:r>
          </w:p>
        </w:tc>
        <w:tc>
          <w:tcPr>
            <w:tcW w:w="2128" w:type="dxa"/>
            <w:vAlign w:val="center"/>
          </w:tcPr>
          <w:p w14:paraId="1E62C961">
            <w:pPr>
              <w:adjustRightInd w:val="0"/>
              <w:snapToGrid w:val="0"/>
              <w:spacing w:line="28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生态旅游收入占服务业总产值比重</w:t>
            </w:r>
          </w:p>
        </w:tc>
        <w:tc>
          <w:tcPr>
            <w:tcW w:w="1551" w:type="dxa"/>
            <w:shd w:val="clear" w:color="auto" w:fill="auto"/>
            <w:vAlign w:val="center"/>
          </w:tcPr>
          <w:p w14:paraId="6A4411A9">
            <w:pPr>
              <w:adjustRightInd w:val="0"/>
              <w:snapToGrid w:val="0"/>
              <w:spacing w:line="28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区农业农村委、江东生态农业产业园管委会</w:t>
            </w:r>
          </w:p>
        </w:tc>
      </w:tr>
      <w:tr w14:paraId="5D8B9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364" w:type="dxa"/>
            <w:shd w:val="clear" w:color="auto" w:fill="auto"/>
            <w:vAlign w:val="center"/>
          </w:tcPr>
          <w:p w14:paraId="4034F0B4">
            <w:pPr>
              <w:adjustRightInd w:val="0"/>
              <w:snapToGrid w:val="0"/>
              <w:spacing w:line="280" w:lineRule="exact"/>
              <w:ind w:left="-63" w:leftChars="-30" w:right="-63" w:rightChars="-30"/>
              <w:jc w:val="cente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t>35</w:t>
            </w:r>
          </w:p>
        </w:tc>
        <w:tc>
          <w:tcPr>
            <w:tcW w:w="1330" w:type="dxa"/>
            <w:vMerge w:val="continue"/>
            <w:vAlign w:val="center"/>
          </w:tcPr>
          <w:p w14:paraId="52AAA76B">
            <w:pPr>
              <w:adjustRightInd w:val="0"/>
              <w:snapToGrid w:val="0"/>
              <w:spacing w:line="28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p>
        </w:tc>
        <w:tc>
          <w:tcPr>
            <w:tcW w:w="6664" w:type="dxa"/>
            <w:shd w:val="clear" w:color="auto" w:fill="auto"/>
            <w:vAlign w:val="center"/>
          </w:tcPr>
          <w:p w14:paraId="037175F5">
            <w:pPr>
              <w:adjustRightInd w:val="0"/>
              <w:snapToGrid w:val="0"/>
              <w:spacing w:line="280" w:lineRule="exact"/>
              <w:ind w:left="-63" w:leftChars="-30" w:right="-63" w:rightChars="-30"/>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t>建设花卉养生谷：重点发展康养度假、民宿度假、农业科普等业态，打造城市居民周末优选打卡地、中小学素拓联合基地、重庆乡村农旅示范基地。</w:t>
            </w:r>
          </w:p>
        </w:tc>
        <w:tc>
          <w:tcPr>
            <w:tcW w:w="1133" w:type="dxa"/>
            <w:shd w:val="clear" w:color="auto" w:fill="auto"/>
            <w:vAlign w:val="center"/>
          </w:tcPr>
          <w:p w14:paraId="4F5242DA">
            <w:pPr>
              <w:adjustRightInd w:val="0"/>
              <w:snapToGrid w:val="0"/>
              <w:spacing w:line="28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2020-2025</w:t>
            </w:r>
          </w:p>
        </w:tc>
        <w:tc>
          <w:tcPr>
            <w:tcW w:w="2128" w:type="dxa"/>
            <w:vAlign w:val="center"/>
          </w:tcPr>
          <w:p w14:paraId="5AC1699C">
            <w:pPr>
              <w:adjustRightInd w:val="0"/>
              <w:snapToGrid w:val="0"/>
              <w:spacing w:line="28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生态旅游收入占服务业总产值比重</w:t>
            </w:r>
          </w:p>
        </w:tc>
        <w:tc>
          <w:tcPr>
            <w:tcW w:w="1551" w:type="dxa"/>
            <w:shd w:val="clear" w:color="auto" w:fill="auto"/>
            <w:vAlign w:val="center"/>
          </w:tcPr>
          <w:p w14:paraId="704D0A85">
            <w:pPr>
              <w:adjustRightInd w:val="0"/>
              <w:snapToGrid w:val="0"/>
              <w:spacing w:line="28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区农业农村委、江东生态农业产业园管委会</w:t>
            </w:r>
          </w:p>
        </w:tc>
      </w:tr>
      <w:tr w14:paraId="0A839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65" w:hRule="atLeast"/>
          <w:jc w:val="center"/>
        </w:trPr>
        <w:tc>
          <w:tcPr>
            <w:tcW w:w="364" w:type="dxa"/>
            <w:shd w:val="clear" w:color="auto" w:fill="auto"/>
            <w:vAlign w:val="center"/>
          </w:tcPr>
          <w:p w14:paraId="088080E2">
            <w:pPr>
              <w:adjustRightInd w:val="0"/>
              <w:snapToGrid w:val="0"/>
              <w:spacing w:line="280" w:lineRule="exact"/>
              <w:ind w:left="-63" w:leftChars="-30" w:right="-63" w:rightChars="-30"/>
              <w:jc w:val="cente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t>36</w:t>
            </w:r>
          </w:p>
        </w:tc>
        <w:tc>
          <w:tcPr>
            <w:tcW w:w="1330" w:type="dxa"/>
            <w:vMerge w:val="continue"/>
            <w:vAlign w:val="center"/>
          </w:tcPr>
          <w:p w14:paraId="3D86508B">
            <w:pPr>
              <w:adjustRightInd w:val="0"/>
              <w:snapToGrid w:val="0"/>
              <w:spacing w:line="28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p>
        </w:tc>
        <w:tc>
          <w:tcPr>
            <w:tcW w:w="6664" w:type="dxa"/>
            <w:shd w:val="clear" w:color="auto" w:fill="auto"/>
            <w:vAlign w:val="center"/>
          </w:tcPr>
          <w:p w14:paraId="5A5D1635">
            <w:pPr>
              <w:adjustRightInd w:val="0"/>
              <w:snapToGrid w:val="0"/>
              <w:spacing w:line="280" w:lineRule="exact"/>
              <w:ind w:left="-63" w:leftChars="-30" w:right="-63" w:rightChars="-30"/>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t>建设农产品及食品加工产业园：引进农产品及食品加工龙头企业，打造农产品及食品加工产业园。重点发展特色农产品加工、食品加工以及其他生态休闲食品加工产业，打造农产品及食品加工产业集群。</w:t>
            </w:r>
          </w:p>
        </w:tc>
        <w:tc>
          <w:tcPr>
            <w:tcW w:w="1133" w:type="dxa"/>
            <w:shd w:val="clear" w:color="auto" w:fill="auto"/>
            <w:vAlign w:val="center"/>
          </w:tcPr>
          <w:p w14:paraId="735452C2">
            <w:pPr>
              <w:adjustRightInd w:val="0"/>
              <w:snapToGrid w:val="0"/>
              <w:spacing w:line="28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2020-2025</w:t>
            </w:r>
          </w:p>
        </w:tc>
        <w:tc>
          <w:tcPr>
            <w:tcW w:w="2128" w:type="dxa"/>
            <w:vAlign w:val="center"/>
          </w:tcPr>
          <w:p w14:paraId="03921647">
            <w:pPr>
              <w:adjustRightInd w:val="0"/>
              <w:snapToGrid w:val="0"/>
              <w:spacing w:line="28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单位国土面积生态系统生产总值、生态加工业产值占工业总产值比重</w:t>
            </w:r>
          </w:p>
        </w:tc>
        <w:tc>
          <w:tcPr>
            <w:tcW w:w="1551" w:type="dxa"/>
            <w:shd w:val="clear" w:color="auto" w:fill="auto"/>
            <w:vAlign w:val="center"/>
          </w:tcPr>
          <w:p w14:paraId="3671A1C6">
            <w:pPr>
              <w:adjustRightInd w:val="0"/>
              <w:snapToGrid w:val="0"/>
              <w:spacing w:line="28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区农业农村委、江东生态农业产业园管委会</w:t>
            </w:r>
          </w:p>
        </w:tc>
      </w:tr>
      <w:tr w14:paraId="2A036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89" w:hRule="atLeast"/>
          <w:jc w:val="center"/>
        </w:trPr>
        <w:tc>
          <w:tcPr>
            <w:tcW w:w="364" w:type="dxa"/>
            <w:shd w:val="clear" w:color="auto" w:fill="auto"/>
            <w:vAlign w:val="center"/>
          </w:tcPr>
          <w:p w14:paraId="4F6A1FB8">
            <w:pPr>
              <w:adjustRightInd w:val="0"/>
              <w:snapToGrid w:val="0"/>
              <w:spacing w:line="280" w:lineRule="exact"/>
              <w:ind w:left="-63" w:leftChars="-30" w:right="-63" w:rightChars="-30"/>
              <w:jc w:val="cente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t>3</w:t>
            </w:r>
            <w: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t>7</w:t>
            </w:r>
          </w:p>
        </w:tc>
        <w:tc>
          <w:tcPr>
            <w:tcW w:w="1330" w:type="dxa"/>
            <w:vMerge w:val="continue"/>
            <w:vAlign w:val="center"/>
          </w:tcPr>
          <w:p w14:paraId="5418D718">
            <w:pPr>
              <w:adjustRightInd w:val="0"/>
              <w:snapToGrid w:val="0"/>
              <w:spacing w:line="28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p>
        </w:tc>
        <w:tc>
          <w:tcPr>
            <w:tcW w:w="6664" w:type="dxa"/>
            <w:shd w:val="clear" w:color="auto" w:fill="auto"/>
            <w:vAlign w:val="center"/>
          </w:tcPr>
          <w:p w14:paraId="5FE0A6EC">
            <w:pPr>
              <w:adjustRightInd w:val="0"/>
              <w:snapToGrid w:val="0"/>
              <w:spacing w:line="280" w:lineRule="exact"/>
              <w:ind w:left="-63" w:leftChars="-30" w:right="-63" w:rightChars="-30"/>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t>建设静观健康田园小镇：发展现代农业和养生度假旅游产品，建成集现代农业、田园休闲、度假旅居、健康养生、田园康养社区于一体的健康田园小镇。</w:t>
            </w:r>
          </w:p>
        </w:tc>
        <w:tc>
          <w:tcPr>
            <w:tcW w:w="1133" w:type="dxa"/>
            <w:shd w:val="clear" w:color="auto" w:fill="auto"/>
            <w:vAlign w:val="center"/>
          </w:tcPr>
          <w:p w14:paraId="1D941837">
            <w:pPr>
              <w:adjustRightInd w:val="0"/>
              <w:snapToGrid w:val="0"/>
              <w:spacing w:line="28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2020-2025</w:t>
            </w:r>
          </w:p>
        </w:tc>
        <w:tc>
          <w:tcPr>
            <w:tcW w:w="2128" w:type="dxa"/>
            <w:vAlign w:val="center"/>
          </w:tcPr>
          <w:p w14:paraId="2F8E511F">
            <w:pPr>
              <w:adjustRightInd w:val="0"/>
              <w:snapToGrid w:val="0"/>
              <w:spacing w:line="28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生态旅游收入占服务业总产值比重</w:t>
            </w:r>
          </w:p>
        </w:tc>
        <w:tc>
          <w:tcPr>
            <w:tcW w:w="1551" w:type="dxa"/>
            <w:shd w:val="clear" w:color="auto" w:fill="auto"/>
            <w:vAlign w:val="center"/>
          </w:tcPr>
          <w:p w14:paraId="63F40D02">
            <w:pPr>
              <w:adjustRightInd w:val="0"/>
              <w:snapToGrid w:val="0"/>
              <w:spacing w:line="28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区农业农村委、江东生态农业产业园管委会</w:t>
            </w:r>
          </w:p>
        </w:tc>
      </w:tr>
      <w:tr w14:paraId="3552F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65" w:hRule="atLeast"/>
          <w:jc w:val="center"/>
        </w:trPr>
        <w:tc>
          <w:tcPr>
            <w:tcW w:w="364" w:type="dxa"/>
            <w:shd w:val="clear" w:color="auto" w:fill="auto"/>
            <w:vAlign w:val="center"/>
          </w:tcPr>
          <w:p w14:paraId="12ACFC7C">
            <w:pPr>
              <w:adjustRightInd w:val="0"/>
              <w:snapToGrid w:val="0"/>
              <w:spacing w:line="280" w:lineRule="exact"/>
              <w:ind w:left="-63" w:leftChars="-30" w:right="-63" w:rightChars="-30"/>
              <w:jc w:val="cente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t>38</w:t>
            </w:r>
          </w:p>
        </w:tc>
        <w:tc>
          <w:tcPr>
            <w:tcW w:w="1330" w:type="dxa"/>
            <w:vMerge w:val="restart"/>
            <w:shd w:val="clear" w:color="auto" w:fill="auto"/>
            <w:vAlign w:val="center"/>
          </w:tcPr>
          <w:p w14:paraId="21EEE86D">
            <w:pPr>
              <w:adjustRightInd w:val="0"/>
              <w:snapToGrid w:val="0"/>
              <w:spacing w:line="28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乡村生态旅游综合示范区建设</w:t>
            </w:r>
          </w:p>
        </w:tc>
        <w:tc>
          <w:tcPr>
            <w:tcW w:w="6664" w:type="dxa"/>
            <w:shd w:val="clear" w:color="auto" w:fill="auto"/>
            <w:vAlign w:val="center"/>
          </w:tcPr>
          <w:p w14:paraId="6837AA7D">
            <w:pPr>
              <w:adjustRightInd w:val="0"/>
              <w:snapToGrid w:val="0"/>
              <w:spacing w:line="280" w:lineRule="exact"/>
              <w:ind w:left="-63" w:leftChars="-30" w:right="-63" w:rightChars="-30"/>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t>建设“渝台耍村”生态主题公园、静观田园综合体：建设集生态环保、旅游观光、休闲体验、农业生产为一体的多功能现代化农业生态主题公园；打造集山地观光、研学体验、度假康养、田园乡居于ー体的都市服务型田园综合体。</w:t>
            </w:r>
          </w:p>
        </w:tc>
        <w:tc>
          <w:tcPr>
            <w:tcW w:w="1133" w:type="dxa"/>
            <w:shd w:val="clear" w:color="auto" w:fill="auto"/>
            <w:vAlign w:val="center"/>
          </w:tcPr>
          <w:p w14:paraId="361BDC4B">
            <w:pPr>
              <w:adjustRightInd w:val="0"/>
              <w:snapToGrid w:val="0"/>
              <w:spacing w:line="28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2020-2025</w:t>
            </w:r>
          </w:p>
        </w:tc>
        <w:tc>
          <w:tcPr>
            <w:tcW w:w="2128" w:type="dxa"/>
            <w:vAlign w:val="center"/>
          </w:tcPr>
          <w:p w14:paraId="11F437A9">
            <w:pPr>
              <w:adjustRightInd w:val="0"/>
              <w:snapToGrid w:val="0"/>
              <w:spacing w:line="28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生态旅游收入占服务业总产值比重</w:t>
            </w:r>
          </w:p>
        </w:tc>
        <w:tc>
          <w:tcPr>
            <w:tcW w:w="1551" w:type="dxa"/>
            <w:shd w:val="clear" w:color="auto" w:fill="auto"/>
            <w:vAlign w:val="center"/>
          </w:tcPr>
          <w:p w14:paraId="6F849D03">
            <w:pPr>
              <w:adjustRightInd w:val="0"/>
              <w:snapToGrid w:val="0"/>
              <w:spacing w:line="28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区农业农村委、江东生态农业产业园管委会</w:t>
            </w:r>
          </w:p>
        </w:tc>
      </w:tr>
      <w:tr w14:paraId="6E57B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1" w:hRule="atLeast"/>
          <w:jc w:val="center"/>
        </w:trPr>
        <w:tc>
          <w:tcPr>
            <w:tcW w:w="364" w:type="dxa"/>
            <w:shd w:val="clear" w:color="auto" w:fill="auto"/>
            <w:vAlign w:val="center"/>
          </w:tcPr>
          <w:p w14:paraId="3B904D6B">
            <w:pPr>
              <w:adjustRightInd w:val="0"/>
              <w:snapToGrid w:val="0"/>
              <w:spacing w:line="280" w:lineRule="exact"/>
              <w:ind w:left="-63" w:leftChars="-30" w:right="-63" w:rightChars="-30"/>
              <w:jc w:val="cente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t>39</w:t>
            </w:r>
          </w:p>
        </w:tc>
        <w:tc>
          <w:tcPr>
            <w:tcW w:w="1330" w:type="dxa"/>
            <w:vMerge w:val="continue"/>
            <w:shd w:val="clear" w:color="auto" w:fill="auto"/>
            <w:vAlign w:val="center"/>
          </w:tcPr>
          <w:p w14:paraId="731ECFEC">
            <w:pPr>
              <w:adjustRightInd w:val="0"/>
              <w:snapToGrid w:val="0"/>
              <w:spacing w:line="28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p>
        </w:tc>
        <w:tc>
          <w:tcPr>
            <w:tcW w:w="6664" w:type="dxa"/>
            <w:shd w:val="clear" w:color="auto" w:fill="auto"/>
            <w:vAlign w:val="center"/>
          </w:tcPr>
          <w:p w14:paraId="07B7F288">
            <w:pPr>
              <w:adjustRightInd w:val="0"/>
              <w:snapToGrid w:val="0"/>
              <w:spacing w:line="280" w:lineRule="exact"/>
              <w:ind w:left="-63" w:leftChars="-30" w:right="-63" w:rightChars="-30"/>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t>建设温泉文旅小镇、康养文旅小镇：发展温泉康养、花卉康养、体育康养、田园康养等养生养老业态，打造集温泉康养、花卉观光、文旅体验等于一体的温泉文旅小镇；建设主题公园、康养社区、文创街区，打造集健康服务、文创体验、社区养老、休闲旅游于一体的康养文旅小镇。</w:t>
            </w:r>
          </w:p>
        </w:tc>
        <w:tc>
          <w:tcPr>
            <w:tcW w:w="1133" w:type="dxa"/>
            <w:shd w:val="clear" w:color="auto" w:fill="auto"/>
            <w:vAlign w:val="center"/>
          </w:tcPr>
          <w:p w14:paraId="1E4AF4B8">
            <w:pPr>
              <w:adjustRightInd w:val="0"/>
              <w:snapToGrid w:val="0"/>
              <w:spacing w:line="28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2020-2025</w:t>
            </w:r>
          </w:p>
        </w:tc>
        <w:tc>
          <w:tcPr>
            <w:tcW w:w="2128" w:type="dxa"/>
            <w:vAlign w:val="center"/>
          </w:tcPr>
          <w:p w14:paraId="6AC614CC">
            <w:pPr>
              <w:adjustRightInd w:val="0"/>
              <w:snapToGrid w:val="0"/>
              <w:spacing w:line="28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生态旅游收入占服务业总产值比重</w:t>
            </w:r>
          </w:p>
        </w:tc>
        <w:tc>
          <w:tcPr>
            <w:tcW w:w="1551" w:type="dxa"/>
            <w:shd w:val="clear" w:color="auto" w:fill="auto"/>
            <w:vAlign w:val="center"/>
          </w:tcPr>
          <w:p w14:paraId="2FC6E446">
            <w:pPr>
              <w:adjustRightInd w:val="0"/>
              <w:snapToGrid w:val="0"/>
              <w:spacing w:line="28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区农业农村委、江东生态农业产业园管委会</w:t>
            </w:r>
          </w:p>
        </w:tc>
      </w:tr>
      <w:tr w14:paraId="2CF3C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1" w:hRule="atLeast"/>
          <w:jc w:val="center"/>
        </w:trPr>
        <w:tc>
          <w:tcPr>
            <w:tcW w:w="364" w:type="dxa"/>
            <w:shd w:val="clear" w:color="auto" w:fill="auto"/>
            <w:vAlign w:val="center"/>
          </w:tcPr>
          <w:p w14:paraId="0DEF3633">
            <w:pPr>
              <w:adjustRightInd w:val="0"/>
              <w:snapToGrid w:val="0"/>
              <w:spacing w:line="280" w:lineRule="exact"/>
              <w:ind w:left="-63" w:leftChars="-30" w:right="-63" w:rightChars="-30"/>
              <w:jc w:val="cente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t>40</w:t>
            </w:r>
          </w:p>
        </w:tc>
        <w:tc>
          <w:tcPr>
            <w:tcW w:w="1330" w:type="dxa"/>
            <w:shd w:val="clear" w:color="auto" w:fill="auto"/>
            <w:vAlign w:val="center"/>
          </w:tcPr>
          <w:p w14:paraId="0105E2EA">
            <w:pPr>
              <w:adjustRightInd w:val="0"/>
              <w:snapToGrid w:val="0"/>
              <w:spacing w:line="28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乡村生态旅游综合示范区建设</w:t>
            </w:r>
          </w:p>
        </w:tc>
        <w:tc>
          <w:tcPr>
            <w:tcW w:w="6664" w:type="dxa"/>
            <w:shd w:val="clear" w:color="auto" w:fill="auto"/>
            <w:vAlign w:val="center"/>
          </w:tcPr>
          <w:p w14:paraId="438B8E67">
            <w:pPr>
              <w:adjustRightInd w:val="0"/>
              <w:snapToGrid w:val="0"/>
              <w:spacing w:line="280" w:lineRule="exact"/>
              <w:ind w:left="-63" w:leftChars="-30" w:right="-63" w:rightChars="-30"/>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t>建设“四季飘香”花果园、有机果蔬采摘体验园、奇瓜异果观赏园：建设生态花果园、建设观赏蔬菜园、玲珑珠玉园、珍奇瓜果园、精致盆栽蔬果园。</w:t>
            </w:r>
          </w:p>
        </w:tc>
        <w:tc>
          <w:tcPr>
            <w:tcW w:w="1133" w:type="dxa"/>
            <w:shd w:val="clear" w:color="auto" w:fill="auto"/>
            <w:vAlign w:val="center"/>
          </w:tcPr>
          <w:p w14:paraId="0C735881">
            <w:pPr>
              <w:adjustRightInd w:val="0"/>
              <w:snapToGrid w:val="0"/>
              <w:spacing w:line="28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2020-2025</w:t>
            </w:r>
          </w:p>
        </w:tc>
        <w:tc>
          <w:tcPr>
            <w:tcW w:w="2128" w:type="dxa"/>
            <w:vAlign w:val="center"/>
          </w:tcPr>
          <w:p w14:paraId="775A34DC">
            <w:pPr>
              <w:adjustRightInd w:val="0"/>
              <w:snapToGrid w:val="0"/>
              <w:spacing w:line="28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生态旅游收入占服务业总产值比重</w:t>
            </w:r>
          </w:p>
        </w:tc>
        <w:tc>
          <w:tcPr>
            <w:tcW w:w="1551" w:type="dxa"/>
            <w:shd w:val="clear" w:color="auto" w:fill="auto"/>
            <w:vAlign w:val="center"/>
          </w:tcPr>
          <w:p w14:paraId="1AD312D9">
            <w:pPr>
              <w:adjustRightInd w:val="0"/>
              <w:snapToGrid w:val="0"/>
              <w:spacing w:line="28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区农业农村委、江东生态农业产业园管委会</w:t>
            </w:r>
          </w:p>
        </w:tc>
      </w:tr>
      <w:tr w14:paraId="59233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364" w:type="dxa"/>
            <w:shd w:val="clear" w:color="auto" w:fill="auto"/>
            <w:vAlign w:val="center"/>
          </w:tcPr>
          <w:p w14:paraId="60367F3A">
            <w:pPr>
              <w:adjustRightInd w:val="0"/>
              <w:snapToGrid w:val="0"/>
              <w:spacing w:line="280" w:lineRule="exact"/>
              <w:ind w:left="-63" w:leftChars="-30" w:right="-63" w:rightChars="-30"/>
              <w:jc w:val="cente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t>41</w:t>
            </w:r>
          </w:p>
        </w:tc>
        <w:tc>
          <w:tcPr>
            <w:tcW w:w="1330" w:type="dxa"/>
            <w:vMerge w:val="restart"/>
            <w:shd w:val="clear" w:color="auto" w:fill="auto"/>
            <w:vAlign w:val="center"/>
          </w:tcPr>
          <w:p w14:paraId="6448A47B">
            <w:pPr>
              <w:adjustRightInd w:val="0"/>
              <w:snapToGrid w:val="0"/>
              <w:spacing w:line="28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森林康养产业集聚区建设</w:t>
            </w:r>
          </w:p>
        </w:tc>
        <w:tc>
          <w:tcPr>
            <w:tcW w:w="6664" w:type="dxa"/>
            <w:shd w:val="clear" w:color="auto" w:fill="auto"/>
            <w:vAlign w:val="center"/>
          </w:tcPr>
          <w:p w14:paraId="23B073EB">
            <w:pPr>
              <w:adjustRightInd w:val="0"/>
              <w:snapToGrid w:val="0"/>
              <w:spacing w:line="280" w:lineRule="exact"/>
              <w:ind w:left="-63" w:leftChars="-30" w:right="-63" w:rightChars="-30"/>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t>建设生态康养基地：发展森林游憩、度假、疗养、保健、养老等产业。结合中医药产业，打造养生、康体、食疗等一系列具有吸引力的森林康养体验产业链。</w:t>
            </w:r>
          </w:p>
        </w:tc>
        <w:tc>
          <w:tcPr>
            <w:tcW w:w="1133" w:type="dxa"/>
            <w:shd w:val="clear" w:color="auto" w:fill="auto"/>
            <w:vAlign w:val="center"/>
          </w:tcPr>
          <w:p w14:paraId="76820EE0">
            <w:pPr>
              <w:adjustRightInd w:val="0"/>
              <w:snapToGrid w:val="0"/>
              <w:spacing w:line="28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2020-2025</w:t>
            </w:r>
          </w:p>
        </w:tc>
        <w:tc>
          <w:tcPr>
            <w:tcW w:w="2128" w:type="dxa"/>
            <w:vAlign w:val="center"/>
          </w:tcPr>
          <w:p w14:paraId="50DCBB37">
            <w:pPr>
              <w:adjustRightInd w:val="0"/>
              <w:snapToGrid w:val="0"/>
              <w:spacing w:line="28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生态旅游收入占服务业总产值比重、生态加工业产值占工业总产值比重</w:t>
            </w:r>
          </w:p>
        </w:tc>
        <w:tc>
          <w:tcPr>
            <w:tcW w:w="1551" w:type="dxa"/>
            <w:shd w:val="clear" w:color="auto" w:fill="auto"/>
            <w:vAlign w:val="center"/>
          </w:tcPr>
          <w:p w14:paraId="6ACC316B">
            <w:pPr>
              <w:adjustRightInd w:val="0"/>
              <w:snapToGrid w:val="0"/>
              <w:spacing w:line="28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区农业农村委、江东生态农业产业园管委会</w:t>
            </w:r>
          </w:p>
        </w:tc>
      </w:tr>
      <w:tr w14:paraId="28C6C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65" w:hRule="atLeast"/>
          <w:jc w:val="center"/>
        </w:trPr>
        <w:tc>
          <w:tcPr>
            <w:tcW w:w="364" w:type="dxa"/>
            <w:shd w:val="clear" w:color="auto" w:fill="auto"/>
            <w:vAlign w:val="center"/>
          </w:tcPr>
          <w:p w14:paraId="24E6F827">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t>42</w:t>
            </w:r>
          </w:p>
        </w:tc>
        <w:tc>
          <w:tcPr>
            <w:tcW w:w="1330" w:type="dxa"/>
            <w:vMerge w:val="continue"/>
            <w:vAlign w:val="center"/>
          </w:tcPr>
          <w:p w14:paraId="5D12884B">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p>
        </w:tc>
        <w:tc>
          <w:tcPr>
            <w:tcW w:w="6664" w:type="dxa"/>
            <w:shd w:val="clear" w:color="auto" w:fill="auto"/>
            <w:vAlign w:val="center"/>
          </w:tcPr>
          <w:p w14:paraId="167F9CD2">
            <w:pPr>
              <w:adjustRightInd w:val="0"/>
              <w:snapToGrid w:val="0"/>
              <w:spacing w:line="300" w:lineRule="exact"/>
              <w:ind w:left="-63" w:leftChars="-30" w:right="-63" w:rightChars="-30"/>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t>建设森林亲子乐园：建设“一梯”、“六苑”、“一廊”。</w:t>
            </w:r>
          </w:p>
        </w:tc>
        <w:tc>
          <w:tcPr>
            <w:tcW w:w="1133" w:type="dxa"/>
            <w:shd w:val="clear" w:color="auto" w:fill="auto"/>
            <w:vAlign w:val="center"/>
          </w:tcPr>
          <w:p w14:paraId="4BDB4220">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2020-2025</w:t>
            </w:r>
          </w:p>
        </w:tc>
        <w:tc>
          <w:tcPr>
            <w:tcW w:w="2128" w:type="dxa"/>
            <w:vAlign w:val="center"/>
          </w:tcPr>
          <w:p w14:paraId="6CAC2B26">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生态旅游收入占服务业总产值比重</w:t>
            </w:r>
          </w:p>
        </w:tc>
        <w:tc>
          <w:tcPr>
            <w:tcW w:w="1551" w:type="dxa"/>
            <w:shd w:val="clear" w:color="auto" w:fill="auto"/>
            <w:vAlign w:val="center"/>
          </w:tcPr>
          <w:p w14:paraId="54D9D658">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区农业农村委、江东生态农业产业园管委会</w:t>
            </w:r>
          </w:p>
        </w:tc>
      </w:tr>
      <w:tr w14:paraId="03222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364" w:type="dxa"/>
            <w:shd w:val="clear" w:color="auto" w:fill="auto"/>
            <w:vAlign w:val="center"/>
          </w:tcPr>
          <w:p w14:paraId="06E205B6">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t>43</w:t>
            </w:r>
          </w:p>
        </w:tc>
        <w:tc>
          <w:tcPr>
            <w:tcW w:w="1330" w:type="dxa"/>
            <w:vMerge w:val="continue"/>
            <w:vAlign w:val="center"/>
          </w:tcPr>
          <w:p w14:paraId="55A6B662">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p>
        </w:tc>
        <w:tc>
          <w:tcPr>
            <w:tcW w:w="6664" w:type="dxa"/>
            <w:shd w:val="clear" w:color="auto" w:fill="auto"/>
            <w:vAlign w:val="center"/>
          </w:tcPr>
          <w:p w14:paraId="333FBBE3">
            <w:pPr>
              <w:adjustRightInd w:val="0"/>
              <w:snapToGrid w:val="0"/>
              <w:spacing w:line="300" w:lineRule="exact"/>
              <w:ind w:left="-63" w:leftChars="-30" w:right="-63" w:rightChars="-30"/>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t>建设山水运动探险营地：开发建设集体育运动、越野探险、康体健身、体能训练、素质拓展为一体的山地竞技类活动基地，设置“水陆空”综合性运动探险旅游项目。</w:t>
            </w:r>
          </w:p>
        </w:tc>
        <w:tc>
          <w:tcPr>
            <w:tcW w:w="1133" w:type="dxa"/>
            <w:shd w:val="clear" w:color="auto" w:fill="auto"/>
            <w:vAlign w:val="center"/>
          </w:tcPr>
          <w:p w14:paraId="2973F532">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2020-2025</w:t>
            </w:r>
          </w:p>
        </w:tc>
        <w:tc>
          <w:tcPr>
            <w:tcW w:w="2128" w:type="dxa"/>
            <w:vAlign w:val="center"/>
          </w:tcPr>
          <w:p w14:paraId="42F91557">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生态旅游收入占服务业总产值比重</w:t>
            </w:r>
          </w:p>
        </w:tc>
        <w:tc>
          <w:tcPr>
            <w:tcW w:w="1551" w:type="dxa"/>
            <w:shd w:val="clear" w:color="auto" w:fill="auto"/>
            <w:vAlign w:val="center"/>
          </w:tcPr>
          <w:p w14:paraId="2EE689A7">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区农业农村委、江东生态农业产业园管委会</w:t>
            </w:r>
          </w:p>
        </w:tc>
      </w:tr>
      <w:tr w14:paraId="6216A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20" w:hRule="atLeast"/>
          <w:jc w:val="center"/>
        </w:trPr>
        <w:tc>
          <w:tcPr>
            <w:tcW w:w="364" w:type="dxa"/>
            <w:shd w:val="clear" w:color="auto" w:fill="auto"/>
            <w:vAlign w:val="center"/>
          </w:tcPr>
          <w:p w14:paraId="2864649F">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t>44</w:t>
            </w:r>
          </w:p>
        </w:tc>
        <w:tc>
          <w:tcPr>
            <w:tcW w:w="1330" w:type="dxa"/>
            <w:vMerge w:val="restart"/>
            <w:shd w:val="clear" w:color="auto" w:fill="auto"/>
            <w:vAlign w:val="center"/>
          </w:tcPr>
          <w:p w14:paraId="13765E4B">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特色都市休闲农业建设</w:t>
            </w:r>
          </w:p>
        </w:tc>
        <w:tc>
          <w:tcPr>
            <w:tcW w:w="6664" w:type="dxa"/>
            <w:shd w:val="clear" w:color="auto" w:fill="auto"/>
            <w:vAlign w:val="center"/>
          </w:tcPr>
          <w:p w14:paraId="18C389F5">
            <w:pPr>
              <w:adjustRightInd w:val="0"/>
              <w:snapToGrid w:val="0"/>
              <w:spacing w:line="300" w:lineRule="exact"/>
              <w:ind w:left="-63" w:leftChars="-30" w:right="-63" w:rightChars="-30"/>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t>建设千亩花木梯田：在陡梯村北区地块加强基础设施建设，实施环境综合整治，建设“千亩花木梯田”。</w:t>
            </w:r>
          </w:p>
        </w:tc>
        <w:tc>
          <w:tcPr>
            <w:tcW w:w="1133" w:type="dxa"/>
            <w:shd w:val="clear" w:color="auto" w:fill="auto"/>
            <w:vAlign w:val="center"/>
          </w:tcPr>
          <w:p w14:paraId="6258D1CF">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2020-2025</w:t>
            </w:r>
          </w:p>
        </w:tc>
        <w:tc>
          <w:tcPr>
            <w:tcW w:w="2128" w:type="dxa"/>
            <w:vAlign w:val="center"/>
          </w:tcPr>
          <w:p w14:paraId="16951613">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生态旅游收入占服务业总产值比重</w:t>
            </w:r>
          </w:p>
        </w:tc>
        <w:tc>
          <w:tcPr>
            <w:tcW w:w="1551" w:type="dxa"/>
            <w:shd w:val="clear" w:color="auto" w:fill="auto"/>
            <w:vAlign w:val="center"/>
          </w:tcPr>
          <w:p w14:paraId="65666856">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区农业农村委、江东生态农业产业园管委会</w:t>
            </w:r>
          </w:p>
        </w:tc>
      </w:tr>
      <w:tr w14:paraId="0A949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364" w:type="dxa"/>
            <w:shd w:val="clear" w:color="auto" w:fill="auto"/>
            <w:vAlign w:val="center"/>
          </w:tcPr>
          <w:p w14:paraId="56F4288B">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t>45</w:t>
            </w:r>
          </w:p>
        </w:tc>
        <w:tc>
          <w:tcPr>
            <w:tcW w:w="1330" w:type="dxa"/>
            <w:vMerge w:val="continue"/>
            <w:shd w:val="clear" w:color="auto" w:fill="auto"/>
            <w:vAlign w:val="center"/>
          </w:tcPr>
          <w:p w14:paraId="52283FAB">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p>
        </w:tc>
        <w:tc>
          <w:tcPr>
            <w:tcW w:w="6664" w:type="dxa"/>
            <w:shd w:val="clear" w:color="auto" w:fill="auto"/>
            <w:vAlign w:val="center"/>
          </w:tcPr>
          <w:p w14:paraId="075F590B">
            <w:pPr>
              <w:adjustRightInd w:val="0"/>
              <w:snapToGrid w:val="0"/>
              <w:spacing w:line="300" w:lineRule="exact"/>
              <w:ind w:left="-63" w:leftChars="-30" w:right="-63" w:rightChars="-30"/>
              <w:jc w:val="left"/>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t>建设花卉园艺基地：开发居室高端花卉和节日盆栽花卉，实现花木产业由城镇绿化向城镇美化、居家观赏和节会装饰转型升级，提升花卉种植与园艺标准化水平。</w:t>
            </w:r>
          </w:p>
        </w:tc>
        <w:tc>
          <w:tcPr>
            <w:tcW w:w="1133" w:type="dxa"/>
            <w:shd w:val="clear" w:color="auto" w:fill="auto"/>
            <w:vAlign w:val="center"/>
          </w:tcPr>
          <w:p w14:paraId="0CCC606C">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2020-2025</w:t>
            </w:r>
          </w:p>
        </w:tc>
        <w:tc>
          <w:tcPr>
            <w:tcW w:w="2128" w:type="dxa"/>
            <w:vAlign w:val="center"/>
          </w:tcPr>
          <w:p w14:paraId="7EE8CFEB">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生态旅游收入占服务业总产值比重</w:t>
            </w:r>
          </w:p>
        </w:tc>
        <w:tc>
          <w:tcPr>
            <w:tcW w:w="1551" w:type="dxa"/>
            <w:shd w:val="clear" w:color="auto" w:fill="auto"/>
            <w:vAlign w:val="center"/>
          </w:tcPr>
          <w:p w14:paraId="2A2F8209">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区农业农村委、江东生态农业产业园管委会</w:t>
            </w:r>
          </w:p>
        </w:tc>
      </w:tr>
      <w:tr w14:paraId="56F29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364" w:type="dxa"/>
            <w:shd w:val="clear" w:color="auto" w:fill="auto"/>
            <w:vAlign w:val="center"/>
          </w:tcPr>
          <w:p w14:paraId="40050464">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t>46</w:t>
            </w:r>
          </w:p>
        </w:tc>
        <w:tc>
          <w:tcPr>
            <w:tcW w:w="1330" w:type="dxa"/>
            <w:vMerge w:val="continue"/>
            <w:shd w:val="clear" w:color="auto" w:fill="auto"/>
            <w:vAlign w:val="center"/>
          </w:tcPr>
          <w:p w14:paraId="2AFF6115">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p>
        </w:tc>
        <w:tc>
          <w:tcPr>
            <w:tcW w:w="6664" w:type="dxa"/>
            <w:shd w:val="clear" w:color="auto" w:fill="auto"/>
            <w:vAlign w:val="center"/>
          </w:tcPr>
          <w:p w14:paraId="4DA1C1FC">
            <w:pPr>
              <w:adjustRightInd w:val="0"/>
              <w:snapToGrid w:val="0"/>
              <w:spacing w:line="300" w:lineRule="exact"/>
              <w:ind w:left="-63" w:leftChars="-30" w:right="-63" w:rightChars="-30"/>
              <w:rPr>
                <w:rFonts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15"/>
                <w14:textFill>
                  <w14:solidFill>
                    <w14:schemeClr w14:val="tx1">
                      <w14:lumMod w14:val="95000"/>
                      <w14:lumOff w14:val="5000"/>
                    </w14:schemeClr>
                  </w14:solidFill>
                </w14:textFill>
              </w:rPr>
              <w:t>建设台农园现代农业产业园：建设高标准农田、温室大棚、精品水果种植基地，打造农业主题公园。实施“互联网+”现代农业引领工程，着力发展智慧农业。</w:t>
            </w:r>
          </w:p>
        </w:tc>
        <w:tc>
          <w:tcPr>
            <w:tcW w:w="1133" w:type="dxa"/>
            <w:shd w:val="clear" w:color="auto" w:fill="auto"/>
            <w:vAlign w:val="center"/>
          </w:tcPr>
          <w:p w14:paraId="6A7C9CCC">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2020-2025</w:t>
            </w:r>
          </w:p>
        </w:tc>
        <w:tc>
          <w:tcPr>
            <w:tcW w:w="2128" w:type="dxa"/>
            <w:vAlign w:val="center"/>
          </w:tcPr>
          <w:p w14:paraId="5D46BE92">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生态旅游收入占服务业总产值比重</w:t>
            </w:r>
          </w:p>
        </w:tc>
        <w:tc>
          <w:tcPr>
            <w:tcW w:w="1551" w:type="dxa"/>
            <w:shd w:val="clear" w:color="auto" w:fill="auto"/>
            <w:vAlign w:val="center"/>
          </w:tcPr>
          <w:p w14:paraId="6E2722AD">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区农业农村委、江东生态农业产业园管委会</w:t>
            </w:r>
          </w:p>
        </w:tc>
      </w:tr>
      <w:tr w14:paraId="50B5C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2" w:hRule="atLeast"/>
          <w:jc w:val="center"/>
        </w:trPr>
        <w:tc>
          <w:tcPr>
            <w:tcW w:w="13170" w:type="dxa"/>
            <w:gridSpan w:val="6"/>
            <w:vAlign w:val="center"/>
          </w:tcPr>
          <w:p w14:paraId="71086C03">
            <w:pPr>
              <w:adjustRightInd w:val="0"/>
              <w:snapToGrid w:val="0"/>
              <w:spacing w:line="300" w:lineRule="exact"/>
              <w:ind w:left="-63" w:leftChars="-30" w:right="-63" w:rightChars="-30"/>
              <w:jc w:val="left"/>
              <w:rPr>
                <w:rFonts w:ascii="方正楷体_GBK" w:hAnsi="Times New Roman" w:eastAsia="方正楷体_GBK" w:cs="Times New Roman"/>
                <w:bCs/>
                <w:color w:val="0D0D0D" w:themeColor="text1" w:themeTint="F2"/>
                <w:szCs w:val="21"/>
                <w14:textFill>
                  <w14:solidFill>
                    <w14:schemeClr w14:val="tx1">
                      <w14:lumMod w14:val="95000"/>
                      <w14:lumOff w14:val="5000"/>
                    </w14:schemeClr>
                  </w14:solidFill>
                </w14:textFill>
              </w:rPr>
            </w:pPr>
            <w:r>
              <w:rPr>
                <w:rFonts w:hint="eastAsia" w:ascii="方正楷体_GBK" w:hAnsi="Times New Roman" w:eastAsia="方正楷体_GBK" w:cs="Times New Roman"/>
                <w:b/>
                <w:color w:val="0D0D0D" w:themeColor="text1" w:themeTint="F2"/>
                <w:szCs w:val="21"/>
                <w14:textFill>
                  <w14:solidFill>
                    <w14:schemeClr w14:val="tx1">
                      <w14:lumMod w14:val="95000"/>
                      <w14:lumOff w14:val="5000"/>
                    </w14:schemeClr>
                  </w14:solidFill>
                </w14:textFill>
              </w:rPr>
              <w:t>五、“两山”建设智力支撑</w:t>
            </w:r>
          </w:p>
        </w:tc>
      </w:tr>
      <w:tr w14:paraId="1EBC0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364" w:type="dxa"/>
            <w:shd w:val="clear" w:color="auto" w:fill="auto"/>
            <w:vAlign w:val="center"/>
          </w:tcPr>
          <w:p w14:paraId="19062596">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47</w:t>
            </w:r>
          </w:p>
        </w:tc>
        <w:tc>
          <w:tcPr>
            <w:tcW w:w="1330" w:type="dxa"/>
            <w:shd w:val="clear" w:color="auto" w:fill="auto"/>
            <w:vAlign w:val="center"/>
          </w:tcPr>
          <w:p w14:paraId="0F8667BA">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智慧环保项目</w:t>
            </w:r>
          </w:p>
        </w:tc>
        <w:tc>
          <w:tcPr>
            <w:tcW w:w="6664" w:type="dxa"/>
            <w:shd w:val="clear" w:color="auto" w:fill="auto"/>
            <w:vAlign w:val="center"/>
          </w:tcPr>
          <w:p w14:paraId="52D38EB9">
            <w:pPr>
              <w:adjustRightInd w:val="0"/>
              <w:snapToGrid w:val="0"/>
              <w:spacing w:line="300" w:lineRule="exact"/>
              <w:ind w:left="-63" w:leftChars="-30" w:right="-63" w:rightChars="-30"/>
              <w:jc w:val="left"/>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完善建设大气污染源人工智能识别系统，推进智慧河流和污染源在线监控平台建设，推进湖库水质自动监测站建设。</w:t>
            </w:r>
          </w:p>
        </w:tc>
        <w:tc>
          <w:tcPr>
            <w:tcW w:w="1133" w:type="dxa"/>
            <w:shd w:val="clear" w:color="auto" w:fill="auto"/>
            <w:vAlign w:val="center"/>
          </w:tcPr>
          <w:p w14:paraId="6B6A0845">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2020-2025</w:t>
            </w:r>
          </w:p>
        </w:tc>
        <w:tc>
          <w:tcPr>
            <w:tcW w:w="2128" w:type="dxa"/>
            <w:vAlign w:val="center"/>
          </w:tcPr>
          <w:p w14:paraId="52D29D2B">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生态环保投入占GDP比重</w:t>
            </w:r>
          </w:p>
        </w:tc>
        <w:tc>
          <w:tcPr>
            <w:tcW w:w="1551" w:type="dxa"/>
            <w:shd w:val="clear" w:color="auto" w:fill="auto"/>
            <w:vAlign w:val="center"/>
          </w:tcPr>
          <w:p w14:paraId="5336D1EC">
            <w:pPr>
              <w:adjustRightInd w:val="0"/>
              <w:snapToGrid w:val="0"/>
              <w:spacing w:line="300" w:lineRule="exact"/>
              <w:ind w:left="-63" w:leftChars="-30" w:right="-63" w:rightChars="-30"/>
              <w:jc w:val="center"/>
              <w:rPr>
                <w:rFonts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方正仿宋_GBK" w:cs="Times New Roman"/>
                <w:bCs/>
                <w:color w:val="0D0D0D" w:themeColor="text1" w:themeTint="F2"/>
                <w:szCs w:val="21"/>
                <w14:textFill>
                  <w14:solidFill>
                    <w14:schemeClr w14:val="tx1">
                      <w14:lumMod w14:val="95000"/>
                      <w14:lumOff w14:val="5000"/>
                    </w14:schemeClr>
                  </w14:solidFill>
                </w14:textFill>
              </w:rPr>
              <w:t>区生态环境局</w:t>
            </w:r>
          </w:p>
        </w:tc>
      </w:tr>
    </w:tbl>
    <w:p w14:paraId="6B6FFFDC"/>
    <w:sectPr>
      <w:pgSz w:w="16838" w:h="11906" w:orient="landscape"/>
      <w:pgMar w:top="1446" w:right="1440" w:bottom="1446"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方正黑体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华文宋体">
    <w:altName w:val="宋体"/>
    <w:panose1 w:val="02010600040101010101"/>
    <w:charset w:val="86"/>
    <w:family w:val="auto"/>
    <w:pitch w:val="default"/>
    <w:sig w:usb0="00000000" w:usb1="00000000" w:usb2="00000000" w:usb3="00000000" w:csb0="0004009F" w:csb1="DFD70000"/>
  </w:font>
  <w:font w:name="方正黑体简体">
    <w:altName w:val="微软雅黑"/>
    <w:panose1 w:val="00000000000000000000"/>
    <w:charset w:val="00"/>
    <w:family w:val="auto"/>
    <w:pitch w:val="default"/>
    <w:sig w:usb0="00000000" w:usb1="00000000" w:usb2="00000000" w:usb3="00000000" w:csb0="00000000" w:csb1="00000000"/>
  </w:font>
  <w:font w:name="方正仿宋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28499">
    <w:pPr>
      <w:jc w:val="center"/>
      <w:rPr>
        <w:rFonts w:ascii="Times New Roman" w:hAnsi="Times New Roman" w:cs="Times New Roman"/>
        <w:sz w:val="24"/>
        <w:szCs w:val="24"/>
      </w:rPr>
    </w:pPr>
  </w:p>
  <w:p w14:paraId="26D94A8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FFA714">
    <w:pPr>
      <w:jc w:val="center"/>
      <w:rPr>
        <w:rFonts w:ascii="Times New Roman" w:hAnsi="Times New Roman" w:cs="Times New Roman"/>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73367955"/>
      <w:docPartObj>
        <w:docPartGallery w:val="autotext"/>
      </w:docPartObj>
    </w:sdtPr>
    <w:sdtContent>
      <w:p w14:paraId="61E710A6">
        <w:pPr>
          <w:jc w:val="cente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PAGE   \* MERGEFORMAT</w:instrText>
        </w:r>
        <w:r>
          <w:rPr>
            <w:rFonts w:ascii="Times New Roman" w:hAnsi="Times New Roman" w:cs="Times New Roman"/>
            <w:sz w:val="24"/>
            <w:szCs w:val="24"/>
          </w:rPr>
          <w:fldChar w:fldCharType="separate"/>
        </w:r>
        <w:r>
          <w:rPr>
            <w:rFonts w:ascii="Times New Roman" w:hAnsi="Times New Roman" w:cs="Times New Roman"/>
            <w:sz w:val="24"/>
            <w:szCs w:val="24"/>
            <w:lang w:val="zh-CN"/>
          </w:rPr>
          <w:t>iii</w:t>
        </w:r>
        <w:r>
          <w:rPr>
            <w:rFonts w:ascii="Times New Roman" w:hAnsi="Times New Roman" w:cs="Times New Roman"/>
            <w:sz w:val="24"/>
            <w:szCs w:val="24"/>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99449374"/>
      <w:docPartObj>
        <w:docPartGallery w:val="autotext"/>
      </w:docPartObj>
    </w:sdtPr>
    <w:sdtEndPr>
      <w:rPr>
        <w:rFonts w:ascii="Times New Roman" w:hAnsi="Times New Roman" w:cs="Times New Roman"/>
        <w:sz w:val="24"/>
        <w:szCs w:val="24"/>
      </w:rPr>
    </w:sdtEndPr>
    <w:sdtContent>
      <w:p w14:paraId="52B76306">
        <w:pP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PAGE   \* MERGEFORMAT</w:instrText>
        </w:r>
        <w:r>
          <w:rPr>
            <w:rFonts w:ascii="Times New Roman" w:hAnsi="Times New Roman" w:cs="Times New Roman"/>
            <w:sz w:val="24"/>
            <w:szCs w:val="24"/>
          </w:rPr>
          <w:fldChar w:fldCharType="separate"/>
        </w:r>
        <w:r>
          <w:rPr>
            <w:rFonts w:ascii="Times New Roman" w:hAnsi="Times New Roman" w:cs="Times New Roman"/>
            <w:sz w:val="24"/>
            <w:szCs w:val="24"/>
            <w:lang w:val="zh-CN"/>
          </w:rPr>
          <w:t>i</w:t>
        </w:r>
        <w:r>
          <w:rPr>
            <w:rFonts w:ascii="Times New Roman" w:hAnsi="Times New Roman" w:cs="Times New Roman"/>
            <w:sz w:val="24"/>
            <w:szCs w:val="24"/>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8B895">
    <w:pPr>
      <w:jc w:val="center"/>
      <w:rPr>
        <w:rFonts w:ascii="Times New Roman" w:hAnsi="Times New Roman" w:cs="Times New Roman"/>
        <w:sz w:val="24"/>
        <w:szCs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5701040"/>
    </w:sdtPr>
    <w:sdtEndPr>
      <w:rPr>
        <w:rFonts w:ascii="Times New Roman" w:hAnsi="Times New Roman" w:cs="Times New Roman"/>
        <w:sz w:val="24"/>
        <w:szCs w:val="24"/>
      </w:rPr>
    </w:sdtEndPr>
    <w:sdtContent>
      <w:p w14:paraId="7E7BD294">
        <w:pP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PAGE   \* MERGEFORMAT</w:instrText>
        </w:r>
        <w:r>
          <w:rPr>
            <w:rFonts w:ascii="Times New Roman" w:hAnsi="Times New Roman" w:cs="Times New Roman"/>
            <w:sz w:val="24"/>
            <w:szCs w:val="24"/>
          </w:rPr>
          <w:fldChar w:fldCharType="separate"/>
        </w:r>
        <w:r>
          <w:rPr>
            <w:rFonts w:ascii="Times New Roman" w:hAnsi="Times New Roman" w:cs="Times New Roman"/>
            <w:sz w:val="24"/>
            <w:szCs w:val="24"/>
            <w:lang w:val="zh-CN"/>
          </w:rPr>
          <w:t>III</w:t>
        </w:r>
        <w:r>
          <w:rPr>
            <w:rFonts w:ascii="Times New Roman" w:hAnsi="Times New Roman" w:cs="Times New Roman"/>
            <w:sz w:val="24"/>
            <w:szCs w:val="24"/>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61822926"/>
      <w:showingPlcHdr/>
    </w:sdtPr>
    <w:sdtEndPr>
      <w:rPr>
        <w:rFonts w:ascii="Times New Roman" w:hAnsi="Times New Roman" w:cs="Times New Roman"/>
        <w:sz w:val="24"/>
        <w:szCs w:val="24"/>
      </w:rPr>
    </w:sdtEndPr>
    <w:sdtContent>
      <w:p w14:paraId="57181EE6">
        <w:pPr>
          <w:jc w:val="center"/>
          <w:rPr>
            <w:rFonts w:ascii="Times New Roman" w:hAnsi="Times New Roman" w:cs="Times New Roman"/>
            <w:sz w:val="24"/>
            <w:szCs w:val="24"/>
          </w:rPr>
        </w:pPr>
        <w:r>
          <w:t xml:space="preserve">     </w: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91518426"/>
    </w:sdtPr>
    <w:sdtEndPr>
      <w:rPr>
        <w:rFonts w:ascii="Times New Roman" w:hAnsi="Times New Roman" w:cs="Times New Roman"/>
        <w:sz w:val="24"/>
        <w:szCs w:val="24"/>
      </w:rPr>
    </w:sdtEndPr>
    <w:sdtContent>
      <w:p w14:paraId="5A4770EF">
        <w:pP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PAGE   \* MERGEFORMAT</w:instrText>
        </w:r>
        <w:r>
          <w:rPr>
            <w:rFonts w:ascii="Times New Roman" w:hAnsi="Times New Roman" w:cs="Times New Roman"/>
            <w:sz w:val="24"/>
            <w:szCs w:val="24"/>
          </w:rPr>
          <w:fldChar w:fldCharType="separate"/>
        </w:r>
        <w:r>
          <w:rPr>
            <w:rFonts w:ascii="Times New Roman" w:hAnsi="Times New Roman" w:cs="Times New Roman"/>
            <w:sz w:val="24"/>
            <w:szCs w:val="24"/>
            <w:lang w:val="zh-CN"/>
          </w:rPr>
          <w:t>11</w:t>
        </w:r>
        <w:r>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6">
    <w:p>
      <w:r>
        <w:separator/>
      </w:r>
    </w:p>
  </w:footnote>
  <w:footnote w:type="continuationSeparator" w:id="7">
    <w:p>
      <w:r>
        <w:continuationSeparator/>
      </w:r>
    </w:p>
  </w:footnote>
  <w:footnote w:id="0">
    <w:p w14:paraId="462F14BD">
      <w:pPr>
        <w:ind w:firstLine="400"/>
        <w:rPr>
          <w:rFonts w:ascii="方正仿宋_GBK" w:eastAsia="方正仿宋_GBK"/>
        </w:rPr>
      </w:pPr>
      <w:r>
        <w:rPr>
          <w:rFonts w:hint="eastAsia" w:ascii="方正仿宋_GBK" w:eastAsia="方正仿宋_GBK"/>
          <w:sz w:val="21"/>
          <w:szCs w:val="28"/>
        </w:rPr>
        <w:footnoteRef/>
      </w:r>
      <w:r>
        <w:rPr>
          <w:rFonts w:hint="eastAsia" w:ascii="方正仿宋_GBK" w:eastAsia="方正仿宋_GBK"/>
          <w:sz w:val="21"/>
          <w:szCs w:val="28"/>
        </w:rPr>
        <w:t xml:space="preserve"> 即为“两江新区水土高新技术产业园”“温泉谷两山生态文旅产业园”“生态农业园区”“蔡家智慧新城”“缙云人文科技城”的统称。</w:t>
      </w:r>
    </w:p>
  </w:footnote>
  <w:footnote w:id="1">
    <w:p w14:paraId="56CA6E40">
      <w:pPr>
        <w:rPr>
          <w:rFonts w:ascii="Times New Roman" w:hAnsi="Times New Roman" w:eastAsia="方正仿宋_GBK" w:cs="Times New Roman"/>
        </w:rPr>
      </w:pPr>
      <w:r>
        <w:rPr>
          <w:rFonts w:ascii="Times New Roman" w:hAnsi="Times New Roman" w:eastAsia="方正仿宋_GBK" w:cs="Times New Roman"/>
          <w:sz w:val="21"/>
          <w:szCs w:val="21"/>
        </w:rPr>
        <w:footnoteRef/>
      </w:r>
      <w:r>
        <w:rPr>
          <w:rFonts w:ascii="Times New Roman" w:hAnsi="Times New Roman" w:eastAsia="方正仿宋_GBK" w:cs="Times New Roman"/>
          <w:sz w:val="21"/>
          <w:szCs w:val="21"/>
        </w:rPr>
        <w:t>两高三心发展目标即：高新技术产业区、高端人群居住区、数据处理中心、医药服务中心、电子信息软件研发中心。</w:t>
      </w:r>
    </w:p>
  </w:footnote>
  <w:footnote w:id="2">
    <w:p w14:paraId="6F34FE3E">
      <w:pPr>
        <w:rPr>
          <w:rFonts w:ascii="Times New Roman" w:hAnsi="Times New Roman" w:eastAsia="方正仿宋_GBK" w:cs="Times New Roman"/>
          <w:sz w:val="21"/>
          <w:szCs w:val="21"/>
        </w:rPr>
      </w:pPr>
      <w:r>
        <w:rPr>
          <w:rFonts w:ascii="Times New Roman" w:hAnsi="Times New Roman" w:eastAsia="方正仿宋_GBK" w:cs="Times New Roman"/>
          <w:sz w:val="21"/>
          <w:szCs w:val="21"/>
        </w:rPr>
        <w:footnoteRef/>
      </w:r>
      <w:r>
        <w:rPr>
          <w:rFonts w:ascii="Times New Roman" w:hAnsi="Times New Roman" w:eastAsia="方正仿宋_GBK" w:cs="Times New Roman"/>
          <w:sz w:val="21"/>
          <w:szCs w:val="21"/>
        </w:rPr>
        <w:t xml:space="preserve"> </w:t>
      </w:r>
      <w:r>
        <w:rPr>
          <w:rFonts w:hint="eastAsia" w:ascii="Times New Roman" w:hAnsi="Times New Roman" w:eastAsia="方正仿宋_GBK" w:cs="Times New Roman"/>
          <w:sz w:val="21"/>
          <w:szCs w:val="21"/>
        </w:rPr>
        <w:t>南下东进、西拓北联的区域性综合交通枢纽，大数据智能化引领的先进制造业高地，产学研融合、校地企合作的协同创新高地，服务效能高、营商环境优的民营经济发展高地，城乡共美、文旅融合的高品质生活宜居福地</w:t>
      </w:r>
      <w:r>
        <w:rPr>
          <w:rFonts w:ascii="Times New Roman" w:hAnsi="Times New Roman" w:eastAsia="方正仿宋_GBK" w:cs="Times New Roman"/>
          <w:sz w:val="21"/>
          <w:szCs w:val="21"/>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B4B497">
    <w:pPr>
      <w:pBdr>
        <w:bottom w:val="none" w:color="auto" w:sz="0" w:space="0"/>
      </w:pBdr>
    </w:pPr>
  </w:p>
  <w:p w14:paraId="56C720B2">
    <w:pPr>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1CB942">
    <w:pPr>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5A5FA">
    <w:pPr>
      <w:pBdr>
        <w:bottom w:val="none" w:color="auto" w:sz="0" w:space="0"/>
      </w:pBdr>
    </w:pPr>
  </w:p>
  <w:p w14:paraId="50C1B1DB">
    <w:pPr>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A11760">
    <w:pPr>
      <w:jc w:val="both"/>
    </w:pPr>
  </w:p>
  <w:p w14:paraId="70809268">
    <w:pPr>
      <w:rPr>
        <w:rFonts w:ascii="Times New Roman" w:hAnsi="Times New Roman" w:eastAsia="方正仿宋_GBK" w:cs="Times New Roman"/>
        <w:sz w:val="20"/>
        <w:szCs w:val="20"/>
      </w:rPr>
    </w:pPr>
    <w:r>
      <w:rPr>
        <w:rFonts w:ascii="Times New Roman" w:hAnsi="Times New Roman" w:eastAsia="方正仿宋_GBK" w:cs="Times New Roman"/>
        <w:sz w:val="20"/>
        <w:szCs w:val="20"/>
      </w:rPr>
      <w:t>北碚区建设</w:t>
    </w:r>
    <w:r>
      <w:rPr>
        <w:rFonts w:hint="eastAsia" w:ascii="方正仿宋_GBK" w:hAnsi="Times New Roman" w:eastAsia="方正仿宋_GBK" w:cs="Times New Roman"/>
        <w:sz w:val="20"/>
        <w:szCs w:val="20"/>
      </w:rPr>
      <w:t>“绿水青山就是金山银山”</w:t>
    </w:r>
    <w:r>
      <w:rPr>
        <w:rFonts w:ascii="Times New Roman" w:hAnsi="Times New Roman" w:eastAsia="方正仿宋_GBK" w:cs="Times New Roman"/>
        <w:sz w:val="20"/>
        <w:szCs w:val="20"/>
      </w:rPr>
      <w:t>实践创新基地实施方案（2020-2025年）</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footnotePr>
    <w:footnote w:id="6"/>
    <w:footnote w:id="7"/>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U4MWExZTU4ZDZkNGU0YWFkNDE0ZjMwNjQyZTZiZDAifQ=="/>
  </w:docVars>
  <w:rsids>
    <w:rsidRoot w:val="00000000"/>
    <w:rsid w:val="0244426A"/>
    <w:rsid w:val="080545CC"/>
    <w:rsid w:val="11A02DE7"/>
    <w:rsid w:val="11D733AE"/>
    <w:rsid w:val="266506DE"/>
    <w:rsid w:val="28903A9C"/>
    <w:rsid w:val="2FEC518A"/>
    <w:rsid w:val="34996D69"/>
    <w:rsid w:val="3B435144"/>
    <w:rsid w:val="3FFF285B"/>
    <w:rsid w:val="420D77E2"/>
    <w:rsid w:val="429B33BD"/>
    <w:rsid w:val="5B9936B9"/>
    <w:rsid w:val="5C423F4D"/>
    <w:rsid w:val="6EA144FB"/>
    <w:rsid w:val="7219208E"/>
    <w:rsid w:val="7A29310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9" w:semiHidden="0" w:name="heading 2"/>
    <w:lsdException w:qFormat="1" w:uiPriority="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sz w:val="21"/>
      <w:szCs w:val="22"/>
    </w:rPr>
  </w:style>
  <w:style w:type="paragraph" w:styleId="3">
    <w:name w:val="heading 2"/>
    <w:basedOn w:val="1"/>
    <w:next w:val="1"/>
    <w:unhideWhenUsed/>
    <w:qFormat/>
    <w:uiPriority w:val="99"/>
    <w:pPr>
      <w:keepNext/>
      <w:keepLines/>
      <w:outlineLvl w:val="1"/>
    </w:pPr>
    <w:rPr>
      <w:rFonts w:eastAsia="方正黑体_GBK" w:asciiTheme="majorHAnsi" w:hAnsiTheme="majorHAnsi" w:cstheme="majorBidi"/>
      <w:bCs/>
      <w:szCs w:val="32"/>
    </w:rPr>
  </w:style>
  <w:style w:type="paragraph" w:styleId="2">
    <w:name w:val="heading 4"/>
    <w:basedOn w:val="3"/>
    <w:next w:val="1"/>
    <w:unhideWhenUsed/>
    <w:qFormat/>
    <w:uiPriority w:val="9"/>
    <w:pPr>
      <w:keepNext/>
      <w:keepLines/>
      <w:outlineLvl w:val="3"/>
    </w:pPr>
    <w:rPr>
      <w:rFonts w:cstheme="majorBidi"/>
      <w:b/>
      <w:szCs w:val="28"/>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Normal (Web)"/>
    <w:basedOn w:val="1"/>
    <w:qFormat/>
    <w:uiPriority w:val="0"/>
    <w:pPr>
      <w:spacing w:beforeAutospacing="1" w:afterAutospacing="1"/>
      <w:jc w:val="left"/>
    </w:pPr>
    <w:rPr>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image" Target="media/image20.jpeg"/><Relationship Id="rId35" Type="http://schemas.openxmlformats.org/officeDocument/2006/relationships/image" Target="media/image19.jpeg"/><Relationship Id="rId34" Type="http://schemas.openxmlformats.org/officeDocument/2006/relationships/image" Target="media/image18.jpeg"/><Relationship Id="rId33" Type="http://schemas.openxmlformats.org/officeDocument/2006/relationships/image" Target="media/image17.png"/><Relationship Id="rId32" Type="http://schemas.openxmlformats.org/officeDocument/2006/relationships/image" Target="media/image16.jpeg"/><Relationship Id="rId31" Type="http://schemas.openxmlformats.org/officeDocument/2006/relationships/image" Target="media/image15.jpeg"/><Relationship Id="rId30" Type="http://schemas.openxmlformats.org/officeDocument/2006/relationships/image" Target="media/image14.jpeg"/><Relationship Id="rId3" Type="http://schemas.openxmlformats.org/officeDocument/2006/relationships/footnotes" Target="footnotes.xml"/><Relationship Id="rId29" Type="http://schemas.openxmlformats.org/officeDocument/2006/relationships/image" Target="media/image13.jpeg"/><Relationship Id="rId28" Type="http://schemas.openxmlformats.org/officeDocument/2006/relationships/image" Target="media/image12.jpeg"/><Relationship Id="rId27" Type="http://schemas.openxmlformats.org/officeDocument/2006/relationships/image" Target="media/image11.jpe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jpeg"/><Relationship Id="rId23" Type="http://schemas.openxmlformats.org/officeDocument/2006/relationships/image" Target="media/image7.jpeg"/><Relationship Id="rId22" Type="http://schemas.openxmlformats.org/officeDocument/2006/relationships/image" Target="media/image6.jpe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jpeg"/><Relationship Id="rId18" Type="http://schemas.openxmlformats.org/officeDocument/2006/relationships/image" Target="media/image2.jpeg"/><Relationship Id="rId17" Type="http://schemas.openxmlformats.org/officeDocument/2006/relationships/image" Target="../NULL"/><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4.xml"/><Relationship Id="rId12" Type="http://schemas.openxmlformats.org/officeDocument/2006/relationships/footer" Target="footer6.xml"/><Relationship Id="rId11" Type="http://schemas.openxmlformats.org/officeDocument/2006/relationships/header" Target="header3.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102</Pages>
  <Words>48656</Words>
  <Characters>50082</Characters>
  <TotalTime>10</TotalTime>
  <ScaleCrop>false</ScaleCrop>
  <LinksUpToDate>false</LinksUpToDate>
  <CharactersWithSpaces>50320</CharactersWithSpaces>
  <Application>WPS Office_12.1.0.18240_F1E327BC-269C-435d-A152-05C5408002CA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2020-10-30T01:59:00Z</dcterms:created>
  <dc:creator>Administrator</dc:creator>
  <cp:lastModifiedBy>何子怡</cp:lastModifiedBy>
  <dcterms:modified xsi:type="dcterms:W3CDTF">2024-12-19T09:58:28Z</dcterms:modified>
  <dc:title>北碚区建设“绿水青山就是金山银山”</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2052-12.1.0.18240</vt:lpwstr>
  </property>
  <property fmtid="{D5CDD505-2E9C-101B-9397-08002B2CF9AE}" pid="3" name="ICV">
    <vt:lpwstr>1C235ADE0B064B5FB79600D3D3BF425C</vt:lpwstr>
  </property>
</Properties>
</file>