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黑体" w:hAnsi="黑体" w:eastAsia="黑体" w:cs="Times New Roman"/>
          <w:bCs/>
          <w:color w:val="000000" w:themeColor="text1"/>
          <w:sz w:val="52"/>
          <w:szCs w:val="52"/>
          <w14:textFill>
            <w14:solidFill>
              <w14:schemeClr w14:val="tx1"/>
            </w14:solidFill>
          </w14:textFill>
        </w:rPr>
      </w:pPr>
    </w:p>
    <w:p>
      <w:pPr>
        <w:spacing w:line="700" w:lineRule="exact"/>
        <w:jc w:val="center"/>
        <w:rPr>
          <w:rFonts w:ascii="黑体" w:hAnsi="黑体" w:eastAsia="黑体" w:cs="Times New Roman"/>
          <w:bCs/>
          <w:color w:val="000000" w:themeColor="text1"/>
          <w:sz w:val="52"/>
          <w:szCs w:val="52"/>
          <w14:textFill>
            <w14:solidFill>
              <w14:schemeClr w14:val="tx1"/>
            </w14:solidFill>
          </w14:textFill>
        </w:rPr>
      </w:pPr>
    </w:p>
    <w:p>
      <w:pPr>
        <w:spacing w:line="700" w:lineRule="exact"/>
        <w:rPr>
          <w:rFonts w:hint="eastAsia" w:ascii="黑体" w:hAnsi="黑体" w:eastAsia="黑体" w:cs="Times New Roman"/>
          <w:bCs/>
          <w:color w:val="000000" w:themeColor="text1"/>
          <w:sz w:val="52"/>
          <w:szCs w:val="52"/>
          <w14:textFill>
            <w14:solidFill>
              <w14:schemeClr w14:val="tx1"/>
            </w14:solidFill>
          </w14:textFill>
        </w:rPr>
      </w:pPr>
    </w:p>
    <w:p>
      <w:pPr>
        <w:spacing w:line="700" w:lineRule="exact"/>
        <w:jc w:val="center"/>
        <w:rPr>
          <w:rFonts w:hint="eastAsia" w:ascii="方正小标宋_GBK" w:hAnsi="方正小标宋_GBK" w:eastAsia="方正小标宋_GBK" w:cs="方正小标宋_GBK"/>
          <w:bCs/>
          <w:color w:val="000000" w:themeColor="text1"/>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sz w:val="52"/>
          <w:szCs w:val="52"/>
          <w14:textFill>
            <w14:solidFill>
              <w14:schemeClr w14:val="tx1"/>
            </w14:solidFill>
          </w14:textFill>
        </w:rPr>
        <w:t>重庆市北碚区</w:t>
      </w:r>
    </w:p>
    <w:p>
      <w:pPr>
        <w:spacing w:line="700" w:lineRule="exact"/>
        <w:jc w:val="center"/>
        <w:rPr>
          <w:rFonts w:hint="eastAsia" w:ascii="方正小标宋_GBK" w:hAnsi="方正小标宋_GBK" w:eastAsia="方正小标宋_GBK" w:cs="方正小标宋_GBK"/>
          <w:bCs/>
          <w:color w:val="000000" w:themeColor="text1"/>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sz w:val="52"/>
          <w:szCs w:val="52"/>
          <w14:textFill>
            <w14:solidFill>
              <w14:schemeClr w14:val="tx1"/>
            </w14:solidFill>
          </w14:textFill>
        </w:rPr>
        <w:t>区域卫生“十四五”规划</w:t>
      </w:r>
    </w:p>
    <w:p>
      <w:pPr>
        <w:pStyle w:val="12"/>
        <w:spacing w:before="0" w:beforeAutospacing="0" w:after="0" w:afterAutospacing="0" w:line="700" w:lineRule="exact"/>
        <w:jc w:val="center"/>
        <w:rPr>
          <w:rFonts w:hint="eastAsia" w:ascii="方正小标宋_GBK" w:hAnsi="方正小标宋_GBK" w:eastAsia="方正小标宋_GBK" w:cs="方正小标宋_GBK"/>
          <w:bCs/>
          <w:color w:val="000000" w:themeColor="text1"/>
          <w:kern w:val="2"/>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kern w:val="2"/>
          <w:sz w:val="52"/>
          <w:szCs w:val="52"/>
          <w14:textFill>
            <w14:solidFill>
              <w14:schemeClr w14:val="tx1"/>
            </w14:solidFill>
          </w14:textFill>
        </w:rPr>
        <w:t>（2021</w:t>
      </w:r>
      <w:r>
        <w:rPr>
          <w:rFonts w:hint="eastAsia" w:ascii="方正小标宋_GBK" w:hAnsi="方正小标宋_GBK" w:eastAsia="方正小标宋_GBK" w:cs="方正小标宋_GBK"/>
          <w:bCs/>
          <w:color w:val="000000" w:themeColor="text1"/>
          <w:kern w:val="2"/>
          <w:sz w:val="52"/>
          <w:szCs w:val="52"/>
          <w:lang w:val="en-US" w:eastAsia="zh-CN"/>
          <w14:textFill>
            <w14:solidFill>
              <w14:schemeClr w14:val="tx1"/>
            </w14:solidFill>
          </w14:textFill>
        </w:rPr>
        <w:t>-</w:t>
      </w:r>
      <w:r>
        <w:rPr>
          <w:rFonts w:hint="eastAsia" w:ascii="方正小标宋_GBK" w:hAnsi="方正小标宋_GBK" w:eastAsia="方正小标宋_GBK" w:cs="方正小标宋_GBK"/>
          <w:bCs/>
          <w:color w:val="000000" w:themeColor="text1"/>
          <w:kern w:val="2"/>
          <w:sz w:val="52"/>
          <w:szCs w:val="52"/>
          <w14:textFill>
            <w14:solidFill>
              <w14:schemeClr w14:val="tx1"/>
            </w14:solidFill>
          </w14:textFill>
        </w:rPr>
        <w:t>2025年）</w:t>
      </w:r>
    </w:p>
    <w:p>
      <w:pPr>
        <w:pStyle w:val="12"/>
        <w:spacing w:line="360" w:lineRule="auto"/>
        <w:jc w:val="both"/>
        <w:rPr>
          <w:rFonts w:ascii="Times New Roman" w:hAnsi="Times New Roman" w:eastAsia="仿宋"/>
          <w:b/>
          <w:color w:val="000000" w:themeColor="text1"/>
          <w:kern w:val="2"/>
          <w:sz w:val="52"/>
          <w:szCs w:val="52"/>
          <w14:textFill>
            <w14:solidFill>
              <w14:schemeClr w14:val="tx1"/>
            </w14:solidFill>
          </w14:textFill>
        </w:rPr>
      </w:pPr>
    </w:p>
    <w:p>
      <w:pPr>
        <w:pStyle w:val="12"/>
        <w:spacing w:line="360" w:lineRule="auto"/>
        <w:jc w:val="both"/>
        <w:rPr>
          <w:rFonts w:ascii="Times New Roman" w:hAnsi="Times New Roman" w:eastAsia="仿宋"/>
          <w:b/>
          <w:color w:val="000000" w:themeColor="text1"/>
          <w:kern w:val="2"/>
          <w:sz w:val="52"/>
          <w:szCs w:val="52"/>
          <w14:textFill>
            <w14:solidFill>
              <w14:schemeClr w14:val="tx1"/>
            </w14:solidFill>
          </w14:textFill>
        </w:rPr>
      </w:pPr>
    </w:p>
    <w:p>
      <w:pPr>
        <w:pStyle w:val="12"/>
        <w:spacing w:line="360" w:lineRule="auto"/>
        <w:jc w:val="both"/>
        <w:rPr>
          <w:rFonts w:ascii="Times New Roman" w:hAnsi="Times New Roman" w:eastAsia="仿宋"/>
          <w:b/>
          <w:color w:val="000000" w:themeColor="text1"/>
          <w:kern w:val="2"/>
          <w:sz w:val="52"/>
          <w:szCs w:val="52"/>
          <w14:textFill>
            <w14:solidFill>
              <w14:schemeClr w14:val="tx1"/>
            </w14:solidFill>
          </w14:textFill>
        </w:rPr>
      </w:pPr>
    </w:p>
    <w:p>
      <w:pPr>
        <w:pStyle w:val="12"/>
        <w:spacing w:line="360" w:lineRule="auto"/>
        <w:jc w:val="both"/>
        <w:rPr>
          <w:rFonts w:ascii="Times New Roman" w:hAnsi="Times New Roman" w:eastAsia="仿宋"/>
          <w:b/>
          <w:color w:val="000000" w:themeColor="text1"/>
          <w:kern w:val="2"/>
          <w:sz w:val="52"/>
          <w:szCs w:val="52"/>
          <w14:textFill>
            <w14:solidFill>
              <w14:schemeClr w14:val="tx1"/>
            </w14:solidFill>
          </w14:textFill>
        </w:rPr>
      </w:pPr>
    </w:p>
    <w:p>
      <w:pPr>
        <w:rPr>
          <w:rFonts w:ascii="Times New Roman" w:hAnsi="Times New Roman" w:eastAsia="微软雅黑" w:cs="Times New Roman"/>
          <w:bCs/>
          <w:color w:val="000000" w:themeColor="text1"/>
          <w:sz w:val="32"/>
          <w:szCs w:val="32"/>
          <w14:textFill>
            <w14:solidFill>
              <w14:schemeClr w14:val="tx1"/>
            </w14:solidFill>
          </w14:textFill>
        </w:rPr>
      </w:pPr>
    </w:p>
    <w:p>
      <w:pPr>
        <w:rPr>
          <w:rFonts w:ascii="Times New Roman" w:hAnsi="Times New Roman" w:eastAsia="微软雅黑" w:cs="Times New Roman"/>
          <w:bCs/>
          <w:color w:val="000000" w:themeColor="text1"/>
          <w:sz w:val="32"/>
          <w:szCs w:val="32"/>
          <w14:textFill>
            <w14:solidFill>
              <w14:schemeClr w14:val="tx1"/>
            </w14:solidFill>
          </w14:textFill>
        </w:rPr>
      </w:pPr>
    </w:p>
    <w:p>
      <w:pPr>
        <w:rPr>
          <w:rFonts w:ascii="Times New Roman" w:hAnsi="Times New Roman" w:eastAsia="微软雅黑" w:cs="Times New Roman"/>
          <w:bCs/>
          <w:color w:val="000000" w:themeColor="text1"/>
          <w:sz w:val="32"/>
          <w:szCs w:val="32"/>
          <w14:textFill>
            <w14:solidFill>
              <w14:schemeClr w14:val="tx1"/>
            </w14:solidFill>
          </w14:textFill>
        </w:rPr>
      </w:pPr>
    </w:p>
    <w:p>
      <w:pPr>
        <w:jc w:val="center"/>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2022年</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8</w:t>
      </w:r>
      <w:r>
        <w:rPr>
          <w:rFonts w:hint="eastAsia" w:ascii="方正黑体_GBK" w:hAnsi="方正黑体_GBK" w:eastAsia="方正黑体_GBK" w:cs="方正黑体_GBK"/>
          <w:bCs/>
          <w:color w:val="000000" w:themeColor="text1"/>
          <w:sz w:val="32"/>
          <w:szCs w:val="32"/>
          <w14:textFill>
            <w14:solidFill>
              <w14:schemeClr w14:val="tx1"/>
            </w14:solidFill>
          </w14:textFill>
        </w:rPr>
        <w:t>月</w:t>
      </w:r>
    </w:p>
    <w:p>
      <w:pPr>
        <w:pStyle w:val="2"/>
        <w:rPr>
          <w:rFonts w:hint="eastAsia" w:ascii="方正黑体_GBK" w:hAnsi="方正黑体_GBK" w:eastAsia="方正黑体_GBK" w:cs="方正黑体_GBK"/>
          <w:bCs/>
          <w:color w:val="000000" w:themeColor="text1"/>
          <w:sz w:val="32"/>
          <w:szCs w:val="32"/>
          <w14:textFill>
            <w14:solidFill>
              <w14:schemeClr w14:val="tx1"/>
            </w14:solidFill>
          </w14:textFill>
        </w:rPr>
      </w:pPr>
    </w:p>
    <w:p>
      <w:pPr>
        <w:rPr>
          <w:rFonts w:hint="eastAsia" w:ascii="方正黑体_GBK" w:hAnsi="方正黑体_GBK" w:eastAsia="方正黑体_GBK" w:cs="方正黑体_GBK"/>
          <w:bCs/>
          <w:color w:val="000000" w:themeColor="text1"/>
          <w:sz w:val="32"/>
          <w:szCs w:val="32"/>
          <w14:textFill>
            <w14:solidFill>
              <w14:schemeClr w14:val="tx1"/>
            </w14:solidFill>
          </w14:textFill>
        </w:rPr>
      </w:pPr>
    </w:p>
    <w:p>
      <w:pPr>
        <w:pStyle w:val="2"/>
        <w:rPr>
          <w:rFonts w:hint="eastAsia" w:ascii="方正黑体_GBK" w:hAnsi="方正黑体_GBK" w:eastAsia="方正黑体_GBK" w:cs="方正黑体_GBK"/>
          <w:bCs/>
          <w:color w:val="000000" w:themeColor="text1"/>
          <w:sz w:val="32"/>
          <w:szCs w:val="32"/>
          <w14:textFill>
            <w14:solidFill>
              <w14:schemeClr w14:val="tx1"/>
            </w14:solidFill>
          </w14:textFill>
        </w:rPr>
      </w:pPr>
    </w:p>
    <w:p>
      <w:pPr>
        <w:rPr>
          <w:rFonts w:hint="eastAsia" w:ascii="方正黑体_GBK" w:hAnsi="方正黑体_GBK" w:eastAsia="方正黑体_GBK" w:cs="方正黑体_GBK"/>
          <w:bCs/>
          <w:color w:val="000000" w:themeColor="text1"/>
          <w:sz w:val="32"/>
          <w:szCs w:val="32"/>
          <w14:textFill>
            <w14:solidFill>
              <w14:schemeClr w14:val="tx1"/>
            </w14:solidFill>
          </w14:textFill>
        </w:rPr>
      </w:pPr>
    </w:p>
    <w:p>
      <w:pPr>
        <w:pStyle w:val="2"/>
        <w:rPr>
          <w:rFonts w:hint="eastAsia" w:ascii="方正黑体_GBK" w:hAnsi="方正黑体_GBK" w:eastAsia="方正黑体_GBK" w:cs="方正黑体_GBK"/>
          <w:bCs/>
          <w:color w:val="000000" w:themeColor="text1"/>
          <w:sz w:val="32"/>
          <w:szCs w:val="32"/>
          <w14:textFill>
            <w14:solidFill>
              <w14:schemeClr w14:val="tx1"/>
            </w14:solidFill>
          </w14:textFill>
        </w:rPr>
      </w:pPr>
    </w:p>
    <w:p>
      <w:pPr>
        <w:rPr>
          <w:rFonts w:hint="eastAsia" w:ascii="方正黑体_GBK" w:hAnsi="方正黑体_GBK" w:eastAsia="方正黑体_GBK" w:cs="方正黑体_GBK"/>
          <w:bCs/>
          <w:color w:val="000000" w:themeColor="text1"/>
          <w:sz w:val="32"/>
          <w:szCs w:val="32"/>
          <w14:textFill>
            <w14:solidFill>
              <w14:schemeClr w14:val="tx1"/>
            </w14:solidFill>
          </w14:textFill>
        </w:rPr>
      </w:pPr>
    </w:p>
    <w:p>
      <w:pPr>
        <w:pStyle w:val="2"/>
        <w:rPr>
          <w:rFonts w:hint="eastAsia" w:ascii="方正黑体_GBK" w:hAnsi="方正黑体_GBK" w:eastAsia="方正黑体_GBK" w:cs="方正黑体_GBK"/>
          <w:bCs/>
          <w:color w:val="000000" w:themeColor="text1"/>
          <w:sz w:val="32"/>
          <w:szCs w:val="32"/>
          <w14:textFill>
            <w14:solidFill>
              <w14:schemeClr w14:val="tx1"/>
            </w14:solidFill>
          </w14:textFill>
        </w:rPr>
      </w:pPr>
    </w:p>
    <w:p>
      <w:pPr>
        <w:rPr>
          <w:rFonts w:hint="eastAsia" w:ascii="方正黑体_GBK" w:hAnsi="方正黑体_GBK" w:eastAsia="方正黑体_GBK" w:cs="方正黑体_GBK"/>
          <w:bCs/>
          <w:color w:val="000000" w:themeColor="text1"/>
          <w:sz w:val="32"/>
          <w:szCs w:val="32"/>
          <w14:textFill>
            <w14:solidFill>
              <w14:schemeClr w14:val="tx1"/>
            </w14:solidFill>
          </w14:textFill>
        </w:rPr>
      </w:pPr>
    </w:p>
    <w:p>
      <w:pPr>
        <w:pStyle w:val="2"/>
        <w:rPr>
          <w:rFonts w:hint="eastAsia"/>
        </w:rPr>
      </w:pPr>
    </w:p>
    <w:p>
      <w:pPr>
        <w:jc w:val="center"/>
        <w:rPr>
          <w:rFonts w:ascii="Times New Roman" w:hAnsi="Times New Roman" w:eastAsia="黑体" w:cs="Times New Roman"/>
          <w:color w:val="000000" w:themeColor="text1"/>
          <w:sz w:val="44"/>
          <w:szCs w:val="44"/>
          <w14:textFill>
            <w14:solidFill>
              <w14:schemeClr w14:val="tx1"/>
            </w14:solidFill>
          </w14:textFill>
        </w:rPr>
        <w:sectPr>
          <w:headerReference r:id="rId3" w:type="default"/>
          <w:footerReference r:id="rId4" w:type="default"/>
          <w:pgSz w:w="11906" w:h="16838"/>
          <w:pgMar w:top="1701" w:right="1474" w:bottom="1984" w:left="1587" w:header="851" w:footer="992" w:gutter="0"/>
          <w:pgNumType w:fmt="decimal"/>
          <w:cols w:space="0" w:num="1"/>
          <w:docGrid w:type="lines" w:linePitch="313" w:charSpace="0"/>
        </w:sectPr>
      </w:pPr>
    </w:p>
    <w:p>
      <w:pPr>
        <w:jc w:val="center"/>
        <w:rPr>
          <w:rFonts w:ascii="Times New Roman" w:hAnsi="Times New Roman" w:eastAsia="黑体" w:cs="Times New Roman"/>
          <w:color w:val="000000" w:themeColor="text1"/>
          <w:sz w:val="44"/>
          <w:szCs w:val="44"/>
          <w14:textFill>
            <w14:solidFill>
              <w14:schemeClr w14:val="tx1"/>
            </w14:solidFill>
          </w14:textFill>
        </w:rPr>
      </w:pPr>
      <w:r>
        <w:rPr>
          <w:rFonts w:ascii="Times New Roman" w:hAnsi="Times New Roman" w:eastAsia="黑体" w:cs="Times New Roman"/>
          <w:color w:val="000000" w:themeColor="text1"/>
          <w:sz w:val="44"/>
          <w:szCs w:val="44"/>
          <w14:textFill>
            <w14:solidFill>
              <w14:schemeClr w14:val="tx1"/>
            </w14:solidFill>
          </w14:textFill>
        </w:rPr>
        <w:t>目 录</w:t>
      </w:r>
    </w:p>
    <w:p>
      <w:pPr>
        <w:pStyle w:val="22"/>
        <w:widowControl w:val="0"/>
        <w:tabs>
          <w:tab w:val="right" w:leader="dot" w:pos="8732"/>
        </w:tabs>
        <w:spacing w:line="288" w:lineRule="auto"/>
        <w:jc w:val="both"/>
        <w:rPr>
          <w:rFonts w:hint="eastAsia" w:ascii="方正黑体_GBK" w:hAnsi="方正黑体_GBK" w:eastAsia="方正黑体_GBK" w:cs="方正黑体_GBK"/>
          <w:b w:val="0"/>
          <w:bCs w:val="0"/>
          <w:color w:val="000000" w:themeColor="text1"/>
          <w:sz w:val="22"/>
          <w:szCs w:val="22"/>
          <w14:textFill>
            <w14:solidFill>
              <w14:schemeClr w14:val="tx1"/>
            </w14:solidFill>
          </w14:textFill>
        </w:rPr>
      </w:pP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TOC \o "1-2" \h \u </w:instrText>
      </w:r>
      <w:r>
        <w:rPr>
          <w:rFonts w:ascii="Times New Roman" w:hAnsi="Times New Roman"/>
          <w:color w:val="000000" w:themeColor="text1"/>
          <w:sz w:val="22"/>
          <w:szCs w:val="22"/>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14:textFill>
            <w14:solidFill>
              <w14:schemeClr w14:val="tx1"/>
            </w14:solidFill>
          </w14:textFill>
        </w:rPr>
        <w:fldChar w:fldCharType="begin"/>
      </w:r>
      <w:r>
        <w:rPr>
          <w:rFonts w:hint="eastAsia" w:ascii="方正黑体_GBK" w:hAnsi="方正黑体_GBK" w:eastAsia="方正黑体_GBK" w:cs="方正黑体_GBK"/>
          <w:b w:val="0"/>
          <w:bCs w:val="0"/>
          <w:color w:val="000000" w:themeColor="text1"/>
          <w14:textFill>
            <w14:solidFill>
              <w14:schemeClr w14:val="tx1"/>
            </w14:solidFill>
          </w14:textFill>
        </w:rPr>
        <w:instrText xml:space="preserve"> HYPERLINK \l "_Toc26817" </w:instrText>
      </w:r>
      <w:r>
        <w:rPr>
          <w:rFonts w:hint="eastAsia" w:ascii="方正黑体_GBK" w:hAnsi="方正黑体_GBK" w:eastAsia="方正黑体_GBK" w:cs="方正黑体_GBK"/>
          <w:b w:val="0"/>
          <w:bCs w:val="0"/>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48"/>
          <w14:textFill>
            <w14:solidFill>
              <w14:schemeClr w14:val="tx1"/>
            </w14:solidFill>
          </w14:textFill>
        </w:rPr>
        <w:t>一、规划背景</w:t>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ab/>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fldChar w:fldCharType="begin"/>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instrText xml:space="preserve"> PAGEREF _Toc26817 \h </w:instrText>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1</w:t>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fldChar w:fldCharType="end"/>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"_Toc21911"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（一）发展基础</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_Toc21911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"_Toc16070"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（二）面临的主要问题</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_Toc16070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"_Toc24085"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（三）形势和挑战</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_Toc24085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hint="eastAsia" w:ascii="方正黑体_GBK" w:hAnsi="方正黑体_GBK" w:eastAsia="方正黑体_GBK" w:cs="方正黑体_GBK"/>
          <w:b w:val="0"/>
          <w:bCs w:val="0"/>
          <w:color w:val="000000" w:themeColor="text1"/>
          <w:sz w:val="21"/>
          <w:szCs w:val="22"/>
          <w14:textFill>
            <w14:solidFill>
              <w14:schemeClr w14:val="tx1"/>
            </w14:solidFill>
          </w14:textFill>
        </w:rPr>
      </w:pP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fldChar w:fldCharType="begin"/>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instrText xml:space="preserve"> HYPERLINK \l "_Toc29127" </w:instrText>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二、总体要求</w:t>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tab/>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fldChar w:fldCharType="begin"/>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instrText xml:space="preserve"> PAGEREF _Toc29127 \h </w:instrText>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t>5</w:t>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fldChar w:fldCharType="end"/>
      </w:r>
      <w:r>
        <w:rPr>
          <w:rFonts w:hint="eastAsia" w:ascii="方正黑体_GBK" w:hAnsi="方正黑体_GBK" w:eastAsia="方正黑体_GBK" w:cs="方正黑体_GBK"/>
          <w:b w:val="0"/>
          <w:bCs w:val="0"/>
          <w:color w:val="000000" w:themeColor="text1"/>
          <w:sz w:val="21"/>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"_Toc6979"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（一）指导思想</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_Toc6979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5</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"_Toc1227"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（二）基本原则</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_Toc1227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5</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"_Toc6956"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（三）发展目标</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_Toc6956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6</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"_Toc4170"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三、资源配置</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_Toc4170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7</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"_Toc13472"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（一）体系构成</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_Toc13472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7</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"_Toc30527"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（二）床位配置</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_Toc30527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8</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"_Toc12392"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（三）人员配置</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_Toc12392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9</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"_Toc4618"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（四）设备配置</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_Toc4618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9</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"_Toc25867"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（五）技术配置</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_Toc25867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10</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（六）信息资源配置</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_Toc13408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10</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"_Toc26966"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四、构建完善的公共卫生体系</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_Toc26966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11</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"_Toc17410"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（一）功能定位</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_Toc17410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11</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"_Toc11483"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（二）建设现代化基本预防控制体系</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_Toc11483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12</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"_Toc11190"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（三）健全传染病和突发公共卫生事件救治体系</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_Toc11190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13</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"_Toc23397"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（四）提升中医药应急防治能力</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_Toc23397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15</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"_Toc6280"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（五）创新应急物资储备和社会动员</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_Toc6280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16</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"_Toc18874"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五、建设高质量医疗服务体系</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_Toc18874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17</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"_Toc21699"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（一）功能定位</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_Toc21699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17</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"_Toc3708"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（二）夯实基层医疗卫生服务网底</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_Toc3708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17</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"_Toc27840"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（三）推动公立医院高质量发展</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_Toc27840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19</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"_Toc7133"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（四）深入推进</w:t>
      </w:r>
      <w:r>
        <w:rPr>
          <w:rFonts w:hint="eastAsia" w:ascii="Times New Roman" w:hAnsi="Times New Roman" w:eastAsia="仿宋"/>
          <w:bCs/>
          <w:color w:val="000000" w:themeColor="text1"/>
          <w:sz w:val="22"/>
          <w:szCs w:val="40"/>
          <w14:textFill>
            <w14:solidFill>
              <w14:schemeClr w14:val="tx1"/>
            </w14:solidFill>
          </w14:textFill>
        </w:rPr>
        <w:t>“</w:t>
      </w:r>
      <w:r>
        <w:rPr>
          <w:rFonts w:ascii="Times New Roman" w:hAnsi="Times New Roman" w:eastAsia="仿宋"/>
          <w:bCs/>
          <w:color w:val="000000" w:themeColor="text1"/>
          <w:sz w:val="22"/>
          <w:szCs w:val="40"/>
          <w14:textFill>
            <w14:solidFill>
              <w14:schemeClr w14:val="tx1"/>
            </w14:solidFill>
          </w14:textFill>
        </w:rPr>
        <w:t>美丽医院</w:t>
      </w:r>
      <w:r>
        <w:rPr>
          <w:rFonts w:hint="eastAsia" w:ascii="Times New Roman" w:hAnsi="Times New Roman" w:eastAsia="仿宋"/>
          <w:bCs/>
          <w:color w:val="000000" w:themeColor="text1"/>
          <w:sz w:val="22"/>
          <w:szCs w:val="40"/>
          <w14:textFill>
            <w14:solidFill>
              <w14:schemeClr w14:val="tx1"/>
            </w14:solidFill>
          </w14:textFill>
        </w:rPr>
        <w:t>”</w:t>
      </w:r>
      <w:r>
        <w:rPr>
          <w:rFonts w:ascii="Times New Roman" w:hAnsi="Times New Roman" w:eastAsia="仿宋"/>
          <w:bCs/>
          <w:color w:val="000000" w:themeColor="text1"/>
          <w:sz w:val="22"/>
          <w:szCs w:val="40"/>
          <w14:textFill>
            <w14:solidFill>
              <w14:schemeClr w14:val="tx1"/>
            </w14:solidFill>
          </w14:textFill>
        </w:rPr>
        <w:t>建设</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_Toc7133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21</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"_Toc11326"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（五）促进社会办医协调发展</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_Toc11326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22</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"_Toc28579"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六、健全特色鲜明的中医药服务体系</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_Toc28579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22</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"_Toc7880"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（一）功能定位</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_Toc7880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22</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color w:val="000000" w:themeColor="text1"/>
          <w14:textFill>
            <w14:solidFill>
              <w14:schemeClr w14:val="tx1"/>
            </w14:solidFill>
          </w14:textFill>
        </w:rPr>
        <w:sectPr>
          <w:footerReference r:id="rId5" w:type="default"/>
          <w:pgSz w:w="11906" w:h="16838"/>
          <w:pgMar w:top="1701" w:right="1474" w:bottom="1984" w:left="1587" w:header="851" w:footer="992" w:gutter="0"/>
          <w:pgNumType w:fmt="decimal"/>
          <w:cols w:space="0" w:num="1"/>
          <w:docGrid w:type="lines" w:linePitch="313" w:charSpace="0"/>
        </w:sectPr>
      </w:pP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"_Toc15394"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（二）完善中医药医疗服务体系</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_Toc15394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23</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"_Toc23410"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（三）促进中医药传承创新发展</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_Toc23410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23</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"_Toc30940"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七、优化全方位全周期健康服务体系</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_Toc30940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24</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"_Toc15411"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（一）功能定位</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_Toc15411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24</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"_Toc9983"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（二）完善普惠托育服务网络</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_Toc9983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26</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"_Toc21281"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（三）健全妇幼健康服务网络</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_Toc21281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27</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"_Toc9012"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（四）构建老年健康服务体系</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_Toc9012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28</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"_Toc24504"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（五）完善职业病防治网络</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_Toc24504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29</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"_Toc21555"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（六）健全康复与健康教育网络</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_Toc21555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29</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"_Toc24993" </w:instrText>
      </w:r>
      <w:r>
        <w:rPr>
          <w:color w:val="000000" w:themeColor="text1"/>
          <w14:textFill>
            <w14:solidFill>
              <w14:schemeClr w14:val="tx1"/>
            </w14:solidFill>
          </w14:textFill>
        </w:rPr>
        <w:fldChar w:fldCharType="separate"/>
      </w:r>
      <w:r>
        <w:rPr>
          <w:rFonts w:ascii="Times New Roman" w:hAnsi="Times New Roman" w:eastAsia="仿宋"/>
          <w:color w:val="000000" w:themeColor="text1"/>
          <w:sz w:val="22"/>
          <w:szCs w:val="40"/>
          <w14:textFill>
            <w14:solidFill>
              <w14:schemeClr w14:val="tx1"/>
            </w14:solidFill>
          </w14:textFill>
        </w:rPr>
        <w:t>（七）优化心理健康和精神卫生服务网络</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_Toc24993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30</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"_Toc10784"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八、强化支撑保障</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_Toc10784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32</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"_Toc13191"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（一）加强人才队伍建设</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_Toc13191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32</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"_Toc13008"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（二）加强信息化基础建设</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_Toc13008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33</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"_Toc31852"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（三）完善监督执法体系</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_Toc31852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34</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2"/>
        <w:widowControl w:val="0"/>
        <w:tabs>
          <w:tab w:val="right" w:leader="dot" w:pos="8732"/>
        </w:tabs>
        <w:spacing w:line="288" w:lineRule="auto"/>
        <w:jc w:val="both"/>
        <w:rPr>
          <w:rFonts w:ascii="Times New Roman" w:hAnsi="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"_Toc15204" </w:instrText>
      </w:r>
      <w:r>
        <w:rPr>
          <w:color w:val="000000" w:themeColor="text1"/>
          <w14:textFill>
            <w14:solidFill>
              <w14:schemeClr w14:val="tx1"/>
            </w14:solidFill>
          </w14:textFill>
        </w:rPr>
        <w:fldChar w:fldCharType="separate"/>
      </w:r>
      <w:r>
        <w:rPr>
          <w:rFonts w:hint="eastAsia" w:ascii="方正黑体_GBK" w:hAnsi="方正黑体_GBK" w:eastAsia="方正黑体_GBK" w:cs="方正黑体_GBK"/>
          <w:b w:val="0"/>
          <w:bCs w:val="0"/>
          <w:color w:val="000000" w:themeColor="text1"/>
          <w:sz w:val="28"/>
          <w:szCs w:val="28"/>
          <w14:textFill>
            <w14:solidFill>
              <w14:schemeClr w14:val="tx1"/>
            </w14:solidFill>
          </w14:textFill>
        </w:rPr>
        <w:t>九、加强组织实施与监督评价</w:t>
      </w:r>
      <w:r>
        <w:rPr>
          <w:rFonts w:ascii="Times New Roman" w:hAnsi="Times New Roman"/>
          <w:b/>
          <w:color w:val="000000" w:themeColor="text1"/>
          <w:sz w:val="28"/>
          <w:szCs w:val="28"/>
          <w14:textFill>
            <w14:solidFill>
              <w14:schemeClr w14:val="tx1"/>
            </w14:solidFill>
          </w14:textFill>
        </w:rPr>
        <w:tab/>
      </w:r>
      <w:r>
        <w:rPr>
          <w:rFonts w:ascii="Times New Roman" w:hAnsi="Times New Roman"/>
          <w:b/>
          <w:color w:val="000000" w:themeColor="text1"/>
          <w:sz w:val="28"/>
          <w:szCs w:val="28"/>
          <w14:textFill>
            <w14:solidFill>
              <w14:schemeClr w14:val="tx1"/>
            </w14:solidFill>
          </w14:textFill>
        </w:rPr>
        <w:fldChar w:fldCharType="begin"/>
      </w:r>
      <w:r>
        <w:rPr>
          <w:rFonts w:ascii="Times New Roman" w:hAnsi="Times New Roman"/>
          <w:b/>
          <w:color w:val="000000" w:themeColor="text1"/>
          <w:sz w:val="28"/>
          <w:szCs w:val="28"/>
          <w14:textFill>
            <w14:solidFill>
              <w14:schemeClr w14:val="tx1"/>
            </w14:solidFill>
          </w14:textFill>
        </w:rPr>
        <w:instrText xml:space="preserve"> PAGEREF _Toc15204 \h </w:instrText>
      </w:r>
      <w:r>
        <w:rPr>
          <w:rFonts w:ascii="Times New Roman" w:hAnsi="Times New Roman"/>
          <w:b/>
          <w:color w:val="000000" w:themeColor="text1"/>
          <w:sz w:val="28"/>
          <w:szCs w:val="28"/>
          <w14:textFill>
            <w14:solidFill>
              <w14:schemeClr w14:val="tx1"/>
            </w14:solidFill>
          </w14:textFill>
        </w:rPr>
        <w:fldChar w:fldCharType="separate"/>
      </w:r>
      <w:r>
        <w:rPr>
          <w:rFonts w:ascii="Times New Roman" w:hAnsi="Times New Roman"/>
          <w:b/>
          <w:color w:val="000000" w:themeColor="text1"/>
          <w:sz w:val="28"/>
          <w:szCs w:val="28"/>
          <w14:textFill>
            <w14:solidFill>
              <w14:schemeClr w14:val="tx1"/>
            </w14:solidFill>
          </w14:textFill>
        </w:rPr>
        <w:t>34</w:t>
      </w:r>
      <w:r>
        <w:rPr>
          <w:rFonts w:ascii="Times New Roman" w:hAnsi="Times New Roman"/>
          <w:b/>
          <w:color w:val="000000" w:themeColor="text1"/>
          <w:sz w:val="28"/>
          <w:szCs w:val="28"/>
          <w14:textFill>
            <w14:solidFill>
              <w14:schemeClr w14:val="tx1"/>
            </w14:solidFill>
          </w14:textFill>
        </w:rPr>
        <w:fldChar w:fldCharType="end"/>
      </w:r>
      <w:r>
        <w:rPr>
          <w:rFonts w:ascii="Times New Roman" w:hAnsi="Times New Roman"/>
          <w:b/>
          <w:color w:val="000000" w:themeColor="text1"/>
          <w:sz w:val="28"/>
          <w:szCs w:val="28"/>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"_Toc5257"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（一）强化组织领导</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_Toc5257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34</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"_Toc19105"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（二）严格规划实施</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_Toc19105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35</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23"/>
        <w:widowControl w:val="0"/>
        <w:tabs>
          <w:tab w:val="right" w:leader="dot" w:pos="8732"/>
        </w:tabs>
        <w:spacing w:line="288" w:lineRule="auto"/>
        <w:ind w:left="420"/>
        <w:jc w:val="both"/>
        <w:rPr>
          <w:rFonts w:ascii="Times New Roman" w:hAnsi="Times New Roman"/>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"_Toc6319" </w:instrText>
      </w:r>
      <w:r>
        <w:rPr>
          <w:color w:val="000000" w:themeColor="text1"/>
          <w14:textFill>
            <w14:solidFill>
              <w14:schemeClr w14:val="tx1"/>
            </w14:solidFill>
          </w14:textFill>
        </w:rPr>
        <w:fldChar w:fldCharType="separate"/>
      </w:r>
      <w:r>
        <w:rPr>
          <w:rFonts w:ascii="Times New Roman" w:hAnsi="Times New Roman" w:eastAsia="仿宋"/>
          <w:bCs/>
          <w:color w:val="000000" w:themeColor="text1"/>
          <w:sz w:val="22"/>
          <w:szCs w:val="40"/>
          <w14:textFill>
            <w14:solidFill>
              <w14:schemeClr w14:val="tx1"/>
            </w14:solidFill>
          </w14:textFill>
        </w:rPr>
        <w:t>（三）加强监测评估</w:t>
      </w:r>
      <w:r>
        <w:rPr>
          <w:rFonts w:ascii="Times New Roman" w:hAnsi="Times New Roman"/>
          <w:color w:val="000000" w:themeColor="text1"/>
          <w:sz w:val="22"/>
          <w:szCs w:val="22"/>
          <w14:textFill>
            <w14:solidFill>
              <w14:schemeClr w14:val="tx1"/>
            </w14:solidFill>
          </w14:textFill>
        </w:rPr>
        <w:tab/>
      </w:r>
      <w:r>
        <w:rPr>
          <w:rFonts w:ascii="Times New Roman" w:hAnsi="Times New Roman"/>
          <w:color w:val="000000" w:themeColor="text1"/>
          <w:sz w:val="22"/>
          <w:szCs w:val="22"/>
          <w14:textFill>
            <w14:solidFill>
              <w14:schemeClr w14:val="tx1"/>
            </w14:solidFill>
          </w14:textFill>
        </w:rPr>
        <w:fldChar w:fldCharType="begin"/>
      </w:r>
      <w:r>
        <w:rPr>
          <w:rFonts w:ascii="Times New Roman" w:hAnsi="Times New Roman"/>
          <w:color w:val="000000" w:themeColor="text1"/>
          <w:sz w:val="22"/>
          <w:szCs w:val="22"/>
          <w14:textFill>
            <w14:solidFill>
              <w14:schemeClr w14:val="tx1"/>
            </w14:solidFill>
          </w14:textFill>
        </w:rPr>
        <w:instrText xml:space="preserve"> PAGEREF _Toc6319 \h </w:instrText>
      </w:r>
      <w:r>
        <w:rPr>
          <w:rFonts w:ascii="Times New Roman" w:hAnsi="Times New Roman"/>
          <w:color w:val="000000" w:themeColor="text1"/>
          <w:sz w:val="22"/>
          <w:szCs w:val="22"/>
          <w14:textFill>
            <w14:solidFill>
              <w14:schemeClr w14:val="tx1"/>
            </w14:solidFill>
          </w14:textFill>
        </w:rPr>
        <w:fldChar w:fldCharType="separate"/>
      </w:r>
      <w:r>
        <w:rPr>
          <w:rFonts w:ascii="Times New Roman" w:hAnsi="Times New Roman"/>
          <w:color w:val="000000" w:themeColor="text1"/>
          <w:sz w:val="22"/>
          <w:szCs w:val="22"/>
          <w14:textFill>
            <w14:solidFill>
              <w14:schemeClr w14:val="tx1"/>
            </w14:solidFill>
          </w14:textFill>
        </w:rPr>
        <w:t>35</w:t>
      </w:r>
      <w:r>
        <w:rPr>
          <w:rFonts w:ascii="Times New Roman" w:hAnsi="Times New Roman"/>
          <w:color w:val="000000" w:themeColor="text1"/>
          <w:sz w:val="22"/>
          <w:szCs w:val="22"/>
          <w14:textFill>
            <w14:solidFill>
              <w14:schemeClr w14:val="tx1"/>
            </w14:solidFill>
          </w14:textFill>
        </w:rPr>
        <w:fldChar w:fldCharType="end"/>
      </w:r>
      <w:r>
        <w:rPr>
          <w:rFonts w:ascii="Times New Roman" w:hAnsi="Times New Roman"/>
          <w:color w:val="000000" w:themeColor="text1"/>
          <w:sz w:val="22"/>
          <w:szCs w:val="22"/>
          <w14:textFill>
            <w14:solidFill>
              <w14:schemeClr w14:val="tx1"/>
            </w14:solidFill>
          </w14:textFill>
        </w:rPr>
        <w:fldChar w:fldCharType="end"/>
      </w:r>
    </w:p>
    <w:p>
      <w:pPr>
        <w:pStyle w:val="19"/>
        <w:widowControl w:val="0"/>
        <w:jc w:val="both"/>
        <w:rPr>
          <w:rFonts w:ascii="Times New Roman"/>
          <w:color w:val="000000" w:themeColor="text1"/>
          <w14:textFill>
            <w14:solidFill>
              <w14:schemeClr w14:val="tx1"/>
            </w14:solidFill>
          </w14:textFill>
        </w:rPr>
      </w:pPr>
      <w:r>
        <w:rPr>
          <w:rFonts w:ascii="Times New Roman"/>
          <w:b/>
          <w:color w:val="000000" w:themeColor="text1"/>
          <w:sz w:val="32"/>
          <w:szCs w:val="32"/>
          <w14:textFill>
            <w14:solidFill>
              <w14:schemeClr w14:val="tx1"/>
            </w14:solidFill>
          </w14:textFill>
        </w:rPr>
        <w:fldChar w:fldCharType="end"/>
      </w:r>
    </w:p>
    <w:p>
      <w:pPr>
        <w:pStyle w:val="12"/>
        <w:spacing w:before="0" w:beforeAutospacing="0" w:after="240" w:afterAutospacing="0" w:line="585" w:lineRule="atLeast"/>
        <w:jc w:val="both"/>
        <w:rPr>
          <w:rStyle w:val="16"/>
          <w:rFonts w:ascii="Times New Roman" w:hAnsi="Times New Roman"/>
          <w:color w:val="000000" w:themeColor="text1"/>
          <w:sz w:val="36"/>
          <w:szCs w:val="36"/>
          <w:shd w:val="clear" w:color="auto" w:fill="FFFFFF"/>
          <w14:textFill>
            <w14:solidFill>
              <w14:schemeClr w14:val="tx1"/>
            </w14:solidFill>
          </w14:textFill>
        </w:rPr>
        <w:sectPr>
          <w:footerReference r:id="rId6" w:type="default"/>
          <w:pgSz w:w="11906" w:h="16838"/>
          <w:pgMar w:top="1701" w:right="1474" w:bottom="1984" w:left="1587" w:header="851" w:footer="992" w:gutter="0"/>
          <w:pgNumType w:fmt="decimal"/>
          <w:cols w:space="0" w:num="1"/>
          <w:docGrid w:type="lines" w:linePitch="313" w:charSpace="0"/>
        </w:sectPr>
      </w:pPr>
      <w:bookmarkStart w:id="0" w:name="_Toc17173"/>
    </w:p>
    <w:p>
      <w:pPr>
        <w:pStyle w:val="12"/>
        <w:spacing w:before="0" w:beforeAutospacing="0" w:after="0" w:afterAutospacing="0" w:line="560" w:lineRule="exact"/>
        <w:jc w:val="center"/>
        <w:rPr>
          <w:rStyle w:val="16"/>
          <w:rFonts w:ascii="Times New Roman" w:hAnsi="Times New Roman" w:eastAsia="方正小标宋_GBK"/>
          <w:b w:val="0"/>
          <w:bCs/>
          <w:color w:val="000000" w:themeColor="text1"/>
          <w:sz w:val="44"/>
          <w:szCs w:val="44"/>
          <w:shd w:val="clear" w:color="auto" w:fill="FFFFFF"/>
          <w14:textFill>
            <w14:solidFill>
              <w14:schemeClr w14:val="tx1"/>
            </w14:solidFill>
          </w14:textFill>
        </w:rPr>
      </w:pPr>
      <w:bookmarkStart w:id="1" w:name="_Toc7518"/>
      <w:r>
        <w:rPr>
          <w:rStyle w:val="16"/>
          <w:rFonts w:hint="eastAsia" w:ascii="Times New Roman" w:hAnsi="Times New Roman" w:eastAsia="方正小标宋_GBK"/>
          <w:b w:val="0"/>
          <w:bCs/>
          <w:color w:val="000000" w:themeColor="text1"/>
          <w:sz w:val="44"/>
          <w:szCs w:val="44"/>
          <w:shd w:val="clear" w:color="auto" w:fill="FFFFFF"/>
          <w14:textFill>
            <w14:solidFill>
              <w14:schemeClr w14:val="tx1"/>
            </w14:solidFill>
          </w14:textFill>
        </w:rPr>
        <w:t>重庆市</w:t>
      </w:r>
      <w:r>
        <w:rPr>
          <w:rStyle w:val="16"/>
          <w:rFonts w:ascii="Times New Roman" w:hAnsi="Times New Roman" w:eastAsia="方正小标宋_GBK"/>
          <w:b w:val="0"/>
          <w:bCs/>
          <w:color w:val="000000" w:themeColor="text1"/>
          <w:sz w:val="44"/>
          <w:szCs w:val="44"/>
          <w:shd w:val="clear" w:color="auto" w:fill="FFFFFF"/>
          <w14:textFill>
            <w14:solidFill>
              <w14:schemeClr w14:val="tx1"/>
            </w14:solidFill>
          </w14:textFill>
        </w:rPr>
        <w:t>北碚区区域卫生</w:t>
      </w:r>
      <w:r>
        <w:rPr>
          <w:rStyle w:val="16"/>
          <w:rFonts w:hint="eastAsia" w:ascii="Times New Roman" w:hAnsi="Times New Roman" w:eastAsia="方正小标宋_GBK"/>
          <w:b w:val="0"/>
          <w:bCs/>
          <w:color w:val="000000" w:themeColor="text1"/>
          <w:sz w:val="44"/>
          <w:szCs w:val="44"/>
          <w:shd w:val="clear" w:color="auto" w:fill="FFFFFF"/>
          <w14:textFill>
            <w14:solidFill>
              <w14:schemeClr w14:val="tx1"/>
            </w14:solidFill>
          </w14:textFill>
        </w:rPr>
        <w:t>“</w:t>
      </w:r>
      <w:r>
        <w:rPr>
          <w:rStyle w:val="16"/>
          <w:rFonts w:ascii="Times New Roman" w:hAnsi="Times New Roman" w:eastAsia="方正小标宋_GBK"/>
          <w:b w:val="0"/>
          <w:bCs/>
          <w:color w:val="000000" w:themeColor="text1"/>
          <w:sz w:val="44"/>
          <w:szCs w:val="44"/>
          <w:shd w:val="clear" w:color="auto" w:fill="FFFFFF"/>
          <w14:textFill>
            <w14:solidFill>
              <w14:schemeClr w14:val="tx1"/>
            </w14:solidFill>
          </w14:textFill>
        </w:rPr>
        <w:t>十四五</w:t>
      </w:r>
      <w:r>
        <w:rPr>
          <w:rStyle w:val="16"/>
          <w:rFonts w:hint="eastAsia" w:ascii="Times New Roman" w:hAnsi="Times New Roman" w:eastAsia="方正小标宋_GBK"/>
          <w:b w:val="0"/>
          <w:bCs/>
          <w:color w:val="000000" w:themeColor="text1"/>
          <w:sz w:val="44"/>
          <w:szCs w:val="44"/>
          <w:shd w:val="clear" w:color="auto" w:fill="FFFFFF"/>
          <w14:textFill>
            <w14:solidFill>
              <w14:schemeClr w14:val="tx1"/>
            </w14:solidFill>
          </w14:textFill>
        </w:rPr>
        <w:t>”</w:t>
      </w:r>
      <w:r>
        <w:rPr>
          <w:rStyle w:val="16"/>
          <w:rFonts w:ascii="Times New Roman" w:hAnsi="Times New Roman" w:eastAsia="方正小标宋_GBK"/>
          <w:b w:val="0"/>
          <w:bCs/>
          <w:color w:val="000000" w:themeColor="text1"/>
          <w:sz w:val="44"/>
          <w:szCs w:val="44"/>
          <w:shd w:val="clear" w:color="auto" w:fill="FFFFFF"/>
          <w14:textFill>
            <w14:solidFill>
              <w14:schemeClr w14:val="tx1"/>
            </w14:solidFill>
          </w14:textFill>
        </w:rPr>
        <w:t>规划</w:t>
      </w:r>
      <w:r>
        <w:rPr>
          <w:rFonts w:ascii="Times New Roman" w:hAnsi="Times New Roman" w:eastAsia="方正小标宋_GBK"/>
          <w:bCs/>
          <w:color w:val="000000" w:themeColor="text1"/>
          <w:sz w:val="44"/>
          <w:szCs w:val="44"/>
          <w:shd w:val="clear" w:color="auto" w:fill="FFFFFF"/>
          <w14:textFill>
            <w14:solidFill>
              <w14:schemeClr w14:val="tx1"/>
            </w14:solidFill>
          </w14:textFill>
        </w:rPr>
        <w:br w:type="textWrapping"/>
      </w:r>
      <w:r>
        <w:rPr>
          <w:rStyle w:val="16"/>
          <w:rFonts w:ascii="Times New Roman" w:hAnsi="Times New Roman" w:eastAsia="方正小标宋_GBK"/>
          <w:b w:val="0"/>
          <w:bCs/>
          <w:color w:val="000000" w:themeColor="text1"/>
          <w:sz w:val="44"/>
          <w:szCs w:val="44"/>
          <w:shd w:val="clear" w:color="auto" w:fill="FFFFFF"/>
          <w14:textFill>
            <w14:solidFill>
              <w14:schemeClr w14:val="tx1"/>
            </w14:solidFill>
          </w14:textFill>
        </w:rPr>
        <w:t>（2021—2025年）</w:t>
      </w:r>
      <w:bookmarkEnd w:id="0"/>
      <w:bookmarkEnd w:id="1"/>
    </w:p>
    <w:p>
      <w:pPr>
        <w:pStyle w:val="12"/>
        <w:spacing w:before="0" w:beforeAutospacing="0" w:after="0" w:afterAutospacing="0" w:line="560" w:lineRule="exact"/>
        <w:jc w:val="both"/>
        <w:rPr>
          <w:rStyle w:val="16"/>
          <w:rFonts w:ascii="Times New Roman" w:hAnsi="Times New Roman" w:eastAsia="方正小标宋_GBK"/>
          <w:b w:val="0"/>
          <w:bCs/>
          <w:color w:val="000000" w:themeColor="text1"/>
          <w:sz w:val="44"/>
          <w:szCs w:val="44"/>
          <w:shd w:val="clear" w:color="auto" w:fill="FFFFFF"/>
          <w14:textFill>
            <w14:solidFill>
              <w14:schemeClr w14:val="tx1"/>
            </w14:solidFill>
          </w14:textFill>
        </w:rPr>
      </w:pP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为进一步优化北碚区医疗卫生资源配置，提高卫生健康服务能力，根据《重庆市卫生健康</w:t>
      </w:r>
      <w:r>
        <w:rPr>
          <w:rFonts w:hint="eastAsia" w:ascii="Times New Roman" w:hAnsi="Times New Roman" w:eastAsia="方正仿宋_GBK" w:cs="Times New Roman"/>
          <w:color w:val="000000" w:themeColor="text1"/>
          <w:sz w:val="32"/>
          <w:szCs w:val="32"/>
          <w14:textFill>
            <w14:solidFill>
              <w14:schemeClr w14:val="tx1"/>
            </w14:solidFill>
          </w14:textFill>
        </w:rPr>
        <w:t>发展“</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规划》《重庆市医疗卫生服务体系</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规划》《北碚区国民经济与社会发展第十四个五年规划和二〇三五年远景目标纲要》《北碚区卫生健康发展</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规划》等文件，紧密结合全区卫生健康发展实际，提出如下规划。</w:t>
      </w:r>
      <w:bookmarkStart w:id="2" w:name="_Toc31374"/>
      <w:bookmarkStart w:id="3" w:name="_Toc26817"/>
    </w:p>
    <w:p>
      <w:pPr>
        <w:pBdr>
          <w:top w:val="none" w:color="auto" w:sz="0" w:space="1"/>
          <w:left w:val="none" w:color="auto" w:sz="0" w:space="4"/>
          <w:bottom w:val="none" w:color="auto" w:sz="0" w:space="4"/>
          <w:right w:val="none" w:color="auto" w:sz="0" w:space="4"/>
        </w:pBdr>
        <w:spacing w:line="560" w:lineRule="exact"/>
        <w:ind w:firstLine="960" w:firstLineChars="300"/>
        <w:rPr>
          <w:rFonts w:ascii="Times New Roman" w:eastAsia="方正黑体_GBK"/>
          <w:bCs/>
          <w:color w:val="000000" w:themeColor="text1"/>
          <w:sz w:val="32"/>
          <w:szCs w:val="32"/>
          <w14:textFill>
            <w14:solidFill>
              <w14:schemeClr w14:val="tx1"/>
            </w14:solidFill>
          </w14:textFill>
        </w:rPr>
      </w:pPr>
      <w:r>
        <w:rPr>
          <w:rFonts w:ascii="Times New Roman" w:eastAsia="方正黑体_GBK"/>
          <w:bCs/>
          <w:color w:val="000000" w:themeColor="text1"/>
          <w:sz w:val="32"/>
          <w:szCs w:val="32"/>
          <w14:textFill>
            <w14:solidFill>
              <w14:schemeClr w14:val="tx1"/>
            </w14:solidFill>
          </w14:textFill>
        </w:rPr>
        <w:t>一、规划背景</w:t>
      </w:r>
      <w:bookmarkEnd w:id="2"/>
      <w:bookmarkEnd w:id="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十三五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期间，我区坚持以习近平新时代中国特色社会主义思想为指导，把人民健康放在优先发展的战略地位，坚持新时期卫生与健康工作方针，促进以疾病为中心向以健康为中心转变，全区医疗卫生服务体系建设取得了积极成效。</w:t>
      </w:r>
      <w:bookmarkStart w:id="4" w:name="_Toc21911"/>
      <w:bookmarkStart w:id="5" w:name="_Toc1029"/>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（一）发展基础</w:t>
      </w:r>
      <w:bookmarkEnd w:id="4"/>
      <w:bookmarkEnd w:id="5"/>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北碚区位于重庆主城西北部，是重庆主城都市区中心城区，是两江新区、重庆高新区、中国（重庆）自由贸易试验区的重要板块，也是全市唯一的民营经济综合改革示范试点区。幅员面积755平方公里，辖9个街道、8个镇，常住人口83.63万，2020年，全年地区生产总值</w:t>
      </w:r>
      <w:r>
        <w:rPr>
          <w:rFonts w:hint="eastAsia" w:ascii="Times New Roman" w:hAnsi="Times New Roman" w:eastAsia="方正仿宋_GBK" w:cs="Times New Roman"/>
          <w:color w:val="000000" w:themeColor="text1"/>
          <w:sz w:val="32"/>
          <w:szCs w:val="32"/>
          <w14:textFill>
            <w14:solidFill>
              <w14:schemeClr w14:val="tx1"/>
            </w14:solidFill>
          </w14:textFill>
        </w:rPr>
        <w:t>641.59</w:t>
      </w:r>
      <w:r>
        <w:rPr>
          <w:rFonts w:ascii="Times New Roman" w:hAnsi="Times New Roman" w:eastAsia="方正仿宋_GBK" w:cs="Times New Roman"/>
          <w:color w:val="000000" w:themeColor="text1"/>
          <w:sz w:val="32"/>
          <w:szCs w:val="32"/>
          <w14:textFill>
            <w14:solidFill>
              <w14:schemeClr w14:val="tx1"/>
            </w14:solidFill>
          </w14:textFill>
        </w:rPr>
        <w:t>亿元。</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公共卫生服务体系更加完善。基本建成架构完整、功能完善的公共卫生服务体系，突发公共卫生事件医疗救治体系逐步完善，卫生应急队伍不断壮大。2020年全区严格落实应急响应状态和常态化疫情防控各项措施，疫情防控取得重大成效。</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医疗卫生资源总量持续增长。到2020年底，全区医疗卫生机构478个，其中：医院29个、卫生院8个、社区卫生服务中心（站）14个、门诊部14个、诊所224个、医务室卫生所67个、村卫生室110个、疗养院3个、医学检验实验室4个、其他机构2个，专业公共卫生机构3个。每千人口医疗卫生机构床位数达到6.57张、执业（助理）医师数达到3.88人、注册护士数达到3.94人。</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3.医疗服务保障能力明显增强。</w:t>
      </w:r>
      <w:r>
        <w:rPr>
          <w:rFonts w:hint="eastAsia" w:ascii="Times New Roman" w:hAnsi="Times New Roman" w:eastAsia="方正仿宋_GBK" w:cs="Times New Roman"/>
          <w:color w:val="000000" w:themeColor="text1"/>
          <w:sz w:val="32"/>
          <w:szCs w:val="32"/>
          <w14:textFill>
            <w14:solidFill>
              <w14:schemeClr w14:val="tx1"/>
            </w14:solidFill>
          </w14:textFill>
        </w:rPr>
        <w:t>基本医疗保险参保率稳定</w:t>
      </w:r>
      <w:r>
        <w:rPr>
          <w:rFonts w:ascii="Times New Roman" w:hAnsi="Times New Roman" w:eastAsia="方正仿宋_GBK" w:cs="Times New Roman"/>
          <w:color w:val="000000" w:themeColor="text1"/>
          <w:sz w:val="32"/>
          <w:szCs w:val="32"/>
          <w14:textFill>
            <w14:solidFill>
              <w14:schemeClr w14:val="tx1"/>
            </w14:solidFill>
          </w14:textFill>
        </w:rPr>
        <w:t>在96%以上，投用社区卫生服务中心2个，2家三级医院高质量通过新一轮三甲医院复评，建成规模民营医院、实验室等20个，市级、国家级重点学科（专科）达到37个，基本建成</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一小时三甲、一刻钟就医</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的医疗服务圈，卫生健康服务可及性、均等化水平全面提高。</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4.居民健康水平持续提升。到2020年底，全区居民健康素养水平达23.6%，人均预期寿命达79.2岁，均高于全市平均水平。婴儿死亡率2.04‰，5岁以下儿童死亡率2.66‰，孕产妇死亡率0，城乡居民达到</w:t>
      </w:r>
      <w:bookmarkStart w:id="283" w:name="_GoBack"/>
      <w:bookmarkEnd w:id="283"/>
      <w:r>
        <w:rPr>
          <w:rFonts w:ascii="Times New Roman" w:hAnsi="Times New Roman" w:eastAsia="方正仿宋_GBK" w:cs="Times New Roman"/>
          <w:color w:val="000000" w:themeColor="text1"/>
          <w:sz w:val="32"/>
          <w:szCs w:val="32"/>
          <w14:textFill>
            <w14:solidFill>
              <w14:schemeClr w14:val="tx1"/>
            </w14:solidFill>
          </w14:textFill>
        </w:rPr>
        <w:t xml:space="preserve">《国民体质测定标准》合格以上的人数比例为92.8%。 </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中医药事业蓬勃发展。区中医院在区县中唯一获批国家中医药传承创新工程项目，建成国家级中医宣传教育等基地4个，在全市率先开展中医药文化进校园活动，公立医院中医药服务能力建设覆盖率100%，中医药年均服务群众60余万人次，2018年顺利通过全国基层中医药工作先进单位复审。</w:t>
      </w:r>
      <w:bookmarkStart w:id="6" w:name="_Toc489"/>
      <w:bookmarkStart w:id="7" w:name="_Toc1607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（二）面临的主要问题</w:t>
      </w:r>
      <w:bookmarkEnd w:id="6"/>
      <w:bookmarkEnd w:id="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1.公共卫生服务体系有待改善。疾控体系建设存在短板，</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重医轻防</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 xml:space="preserve">现象突出，重大疫情和突发公共卫生事件救治体系有待进一步完善，特别是在当前新冠肺炎疫情防控还存在长期性、复杂性和不确定性的形势下，疾控体系建设迫在眉睫，标准化发热门诊或诊室亟待建设。 </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优质医疗卫生资源不足且分布不均衡。区内目前只有两所三甲医院，不能有效满足人民群众的就医需求。蔡家、水土等城市新区规划建设未及时跟上，社会办医品牌效应尚未形成，不少镇（中心）卫生院在硬件、软件上还存在明显差距，基层医疗卫生服务能力有待进一步提升。</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3.全生命周期健康服务还需持续强化。</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一老一小</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等老百姓密切关注的问题还需妥善解决，婴幼儿照护服务存在着总量不足、结构失衡、质量不高等问题。</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医疗机构间的分工协作机制尚不健全。公共卫生机构、医疗机构分工协作机制还有待完善，医防协同不够充分，上下联动不够顺畅。公立医院参与公共卫生服务的积极性不高，分级诊疗制度不够完善，价格和医保支付机制的引导作用不强。</w:t>
      </w:r>
      <w:bookmarkStart w:id="8" w:name="_Toc31629"/>
      <w:bookmarkStart w:id="9" w:name="_Toc2408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（三）形势和挑战</w:t>
      </w:r>
      <w:bookmarkEnd w:id="8"/>
      <w:bookmarkEnd w:id="9"/>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1.高质量发展对卫生健康事业发展提供了新机遇。</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期间，医疗卫生服务体系的建设面临新的历史任务，必须坚持把人民健康放在优先发展战略地位。同时，</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健康中国</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战略的实施、成渝地区双城经济圈建设和重庆市</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一区两群</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发展战略、西部医学中心建设、习近平总书记视察重庆提出的</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两点定位</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两地</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两高</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目标、发挥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三个作用</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的重要指示精神，为我区卫生健康事业的发展提供了新的发展机遇。</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全面深化医改对优化医疗卫生资源配置提出了新任务。当前医改处于系统配套，全面推进转变的关键阶段，迫切需要紧紧围绕改革重点任务。在统筹规划、优化医疗资源布局、加强服务体系建设、提升区级医院和基层医疗卫生机构服务能力、促进优质资源扩容等方面主动作为。</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公共卫生与应急体系建设面临新形势。公共卫生体系除了应对慢性非传染性疾病以外，仍然面临着重大传染病的威胁。新冠疫情常态化防控需要进一步加强公共卫生基础设施和人员队伍建设，完善平战结合的应急响应机制，提升疾控体系应急处置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4.区位条件构筑卫生健康服务新优势。北碚是全市唯一的民营经济综合改革示范试点区，拥有两江新区、重庆高新区、自贸试验区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三区共融</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和主城都市区中心城区北部智慧之城、西部科学之城</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两城并进</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的独特优势，为我区医疗卫生健康服务集聚大量的服务人口和产业流通要道。</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一城四地</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建设激发居民群众健康新需求。北碚</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一城四地</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加快推进，将推动群众对高品质生活的向往需求升级。同时，随着城市化、老龄化和疾病谱的变化，慢性非传染性疾病成为居民主要的疾病负担，医疗服务需求进一步释放。人民群众对健康产品和服务的需求急剧增长，由单一的医疗服务向疾病预防、健康促进、保健康复等多元服务加速转变。</w:t>
      </w:r>
      <w:bookmarkStart w:id="10" w:name="_Toc29127"/>
      <w:bookmarkStart w:id="11" w:name="_Toc11811"/>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textAlignment w:val="auto"/>
        <w:rPr>
          <w:rFonts w:ascii="Times New Roman" w:eastAsia="方正黑体_GBK"/>
          <w:bCs/>
          <w:color w:val="000000" w:themeColor="text1"/>
          <w:sz w:val="32"/>
          <w:szCs w:val="32"/>
          <w14:textFill>
            <w14:solidFill>
              <w14:schemeClr w14:val="tx1"/>
            </w14:solidFill>
          </w14:textFill>
        </w:rPr>
      </w:pPr>
      <w:r>
        <w:rPr>
          <w:rFonts w:ascii="Times New Roman" w:eastAsia="方正黑体_GBK"/>
          <w:bCs/>
          <w:color w:val="000000" w:themeColor="text1"/>
          <w:sz w:val="32"/>
          <w:szCs w:val="32"/>
          <w14:textFill>
            <w14:solidFill>
              <w14:schemeClr w14:val="tx1"/>
            </w14:solidFill>
          </w14:textFill>
        </w:rPr>
        <w:t>二、总体要求</w:t>
      </w:r>
      <w:bookmarkEnd w:id="10"/>
      <w:bookmarkEnd w:id="11"/>
      <w:bookmarkStart w:id="12" w:name="_Toc2958"/>
      <w:bookmarkStart w:id="13" w:name="_Toc6979"/>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（一）指导思想</w:t>
      </w:r>
      <w:bookmarkEnd w:id="12"/>
      <w:bookmarkEnd w:id="13"/>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以提高居民健康水平为目标，以优化资源配置为主线，以深化医药卫生体制改革为动力，以信息化为支撑，加快转变公立医院发展方式，扶持引导社会办医有序发展，大力推动健康服务业发展，切实促进系统整合，创新服务模式，提升服务效率和质量，构建优质高效的医疗卫生服务体系，增强医疗卫生服务能力，促进我区卫生健康事业高质量发展，守护人民生命健康。</w:t>
      </w:r>
      <w:bookmarkStart w:id="14" w:name="_Toc1227"/>
      <w:bookmarkStart w:id="15" w:name="_Toc2271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（二）基本原则</w:t>
      </w:r>
      <w:bookmarkEnd w:id="14"/>
      <w:bookmarkEnd w:id="1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1.坚持健康至上，优先发展。坚持以人民健康为中心，把提升人民健康水平作为卫生健康事业发展的根本出发点、落脚点，着力解决群众看病堵点难点痛点，提升群众对卫生健康服务的满意度和获得感。</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2.坚持预防为主，中西医并重。统筹考虑医疗公卫之间、中西医之间的资源配置与分配，兼顾各方，以点带面，优势互补，协调发展。</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3.坚持深化改革，创新发展。加强卫生健康治理体系和治理能力现代化建设，深化公立医院改革，促进社会办医，转变发展方式，创新发展模式，服务全区经济社会发展大局。</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4.坚持系统观念，统筹整合。着力抓重点、堵漏洞、补短板、强弱项，坚持立足当前与谋划长远相结合，深入分析全区卫生健康事业发展现状，针对具体情况因地制宜，科学制定卫生健康事业发展的目标任务。</w:t>
      </w:r>
    </w:p>
    <w:p>
      <w:pPr>
        <w:pBdr>
          <w:top w:val="none" w:color="auto" w:sz="0" w:space="1"/>
          <w:left w:val="none" w:color="auto" w:sz="0" w:space="4"/>
          <w:bottom w:val="none" w:color="auto" w:sz="0" w:space="4"/>
          <w:right w:val="none" w:color="auto" w:sz="0" w:space="4"/>
        </w:pBdr>
        <w:spacing w:line="560" w:lineRule="exact"/>
        <w:ind w:firstLine="640" w:firstLineChars="200"/>
        <w:rPr>
          <w:rFonts w:hint="eastAsia"/>
          <w:color w:val="000000" w:themeColor="text1"/>
          <w:lang w:val="en-US" w:eastAsia="zh-CN"/>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5.坚持高质量，内涵发展。坚持高质量发展，推动优质高效医疗卫生服务体系建设，推动防治结合公共卫生服务体系建设，提高医疗卫生服务质量与水平，让老百姓共享卫生健康发展成果。</w:t>
      </w:r>
      <w:bookmarkStart w:id="16" w:name="_Toc6956"/>
      <w:bookmarkStart w:id="17" w:name="_Toc12839"/>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pBdr>
          <w:top w:val="none" w:color="auto" w:sz="0" w:space="1"/>
          <w:left w:val="none" w:color="auto" w:sz="0" w:space="4"/>
          <w:bottom w:val="none" w:color="auto" w:sz="0" w:space="4"/>
          <w:right w:val="none" w:color="auto" w:sz="0" w:space="4"/>
        </w:pBdr>
        <w:spacing w:line="560" w:lineRule="exact"/>
        <w:ind w:firstLine="640" w:firstLineChars="200"/>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（三）发展目标</w:t>
      </w:r>
      <w:bookmarkEnd w:id="16"/>
      <w:bookmarkEnd w:id="1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推动医疗卫生服务体系高质量发展，构建形成布局合理、体系完整、分工明确、功能互补、密切协作，与</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健康北碚</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相匹配的高品质整合型医疗卫生服务体系，以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一老一小</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为重点的全周期健康服务能力明显增强，实现优质医疗卫生资源配置均衡化、基本医疗卫生服务均质化、基本公共卫生服务均等化，形成基层首诊、双向转诊、上下联动、急慢分治的分级诊疗格局，居民健康水平居全市前列。</w:t>
      </w:r>
    </w:p>
    <w:p>
      <w:pPr>
        <w:pStyle w:val="19"/>
        <w:widowControl w:val="0"/>
        <w:ind w:firstLine="1120" w:firstLineChars="400"/>
        <w:jc w:val="both"/>
        <w:rPr>
          <w:rFonts w:ascii="Times New Roman" w:eastAsia="仿宋"/>
          <w:color w:val="000000" w:themeColor="text1"/>
          <w:sz w:val="28"/>
          <w:szCs w:val="28"/>
          <w14:textFill>
            <w14:solidFill>
              <w14:schemeClr w14:val="tx1"/>
            </w14:solidFill>
          </w14:textFill>
        </w:rPr>
      </w:pPr>
      <w:r>
        <w:rPr>
          <w:rFonts w:ascii="Times New Roman" w:eastAsia="仿宋"/>
          <w:color w:val="000000" w:themeColor="text1"/>
          <w:sz w:val="28"/>
          <w:szCs w:val="28"/>
          <w14:textFill>
            <w14:solidFill>
              <w14:schemeClr w14:val="tx1"/>
            </w14:solidFill>
          </w14:textFill>
        </w:rPr>
        <w:t>专栏1 北碚区医疗卫生服务体系</w:t>
      </w:r>
      <w:r>
        <w:rPr>
          <w:rFonts w:hint="eastAsia" w:ascii="Times New Roman" w:eastAsia="仿宋"/>
          <w:color w:val="000000" w:themeColor="text1"/>
          <w:sz w:val="28"/>
          <w:szCs w:val="28"/>
          <w14:textFill>
            <w14:solidFill>
              <w14:schemeClr w14:val="tx1"/>
            </w14:solidFill>
          </w14:textFill>
        </w:rPr>
        <w:t>“</w:t>
      </w:r>
      <w:r>
        <w:rPr>
          <w:rFonts w:ascii="Times New Roman" w:eastAsia="仿宋"/>
          <w:color w:val="000000" w:themeColor="text1"/>
          <w:sz w:val="28"/>
          <w:szCs w:val="28"/>
          <w14:textFill>
            <w14:solidFill>
              <w14:schemeClr w14:val="tx1"/>
            </w14:solidFill>
          </w14:textFill>
        </w:rPr>
        <w:t>十四五</w:t>
      </w:r>
      <w:r>
        <w:rPr>
          <w:rFonts w:hint="eastAsia" w:ascii="Times New Roman" w:eastAsia="仿宋"/>
          <w:color w:val="000000" w:themeColor="text1"/>
          <w:sz w:val="28"/>
          <w:szCs w:val="28"/>
          <w14:textFill>
            <w14:solidFill>
              <w14:schemeClr w14:val="tx1"/>
            </w14:solidFill>
          </w14:textFill>
        </w:rPr>
        <w:t>”</w:t>
      </w:r>
      <w:r>
        <w:rPr>
          <w:rFonts w:ascii="Times New Roman" w:eastAsia="仿宋"/>
          <w:color w:val="000000" w:themeColor="text1"/>
          <w:sz w:val="28"/>
          <w:szCs w:val="28"/>
          <w14:textFill>
            <w14:solidFill>
              <w14:schemeClr w14:val="tx1"/>
            </w14:solidFill>
          </w14:textFill>
        </w:rPr>
        <w:t>发展指标</w:t>
      </w:r>
    </w:p>
    <w:tbl>
      <w:tblPr>
        <w:tblStyle w:val="14"/>
        <w:tblW w:w="8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736"/>
        <w:gridCol w:w="3546"/>
        <w:gridCol w:w="1383"/>
        <w:gridCol w:w="961"/>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015" w:type="dxa"/>
            <w:tcBorders>
              <w:top w:val="single" w:color="auto" w:sz="4" w:space="0"/>
            </w:tcBorders>
            <w:vAlign w:val="center"/>
          </w:tcPr>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维度</w:t>
            </w:r>
          </w:p>
        </w:tc>
        <w:tc>
          <w:tcPr>
            <w:tcW w:w="736" w:type="dxa"/>
            <w:tcBorders>
              <w:top w:val="single" w:color="auto" w:sz="4" w:space="0"/>
            </w:tcBorders>
            <w:vAlign w:val="center"/>
          </w:tcPr>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序号</w:t>
            </w:r>
          </w:p>
        </w:tc>
        <w:tc>
          <w:tcPr>
            <w:tcW w:w="3546" w:type="dxa"/>
            <w:tcBorders>
              <w:top w:val="single" w:color="auto" w:sz="4" w:space="0"/>
            </w:tcBorders>
            <w:vAlign w:val="center"/>
          </w:tcPr>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主要指标</w:t>
            </w:r>
          </w:p>
        </w:tc>
        <w:tc>
          <w:tcPr>
            <w:tcW w:w="1383" w:type="dxa"/>
            <w:tcBorders>
              <w:top w:val="single" w:color="auto" w:sz="4" w:space="0"/>
            </w:tcBorders>
            <w:vAlign w:val="center"/>
          </w:tcPr>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2020年</w:t>
            </w:r>
          </w:p>
        </w:tc>
        <w:tc>
          <w:tcPr>
            <w:tcW w:w="961" w:type="dxa"/>
            <w:tcBorders>
              <w:top w:val="single" w:color="auto" w:sz="4" w:space="0"/>
            </w:tcBorders>
            <w:vAlign w:val="center"/>
          </w:tcPr>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2025年</w:t>
            </w:r>
          </w:p>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目标值</w:t>
            </w:r>
          </w:p>
        </w:tc>
        <w:tc>
          <w:tcPr>
            <w:tcW w:w="834" w:type="dxa"/>
            <w:tcBorders>
              <w:top w:val="single" w:color="auto" w:sz="4" w:space="0"/>
            </w:tcBorders>
            <w:vAlign w:val="center"/>
          </w:tcPr>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指标</w:t>
            </w:r>
          </w:p>
          <w:p>
            <w:pPr>
              <w:spacing w:line="240" w:lineRule="exact"/>
              <w:rPr>
                <w:rFonts w:ascii="Times New Roman" w:hAnsi="Times New Roman" w:eastAsia="仿宋" w:cs="Times New Roman"/>
                <w:b/>
                <w:bCs/>
                <w:color w:val="000000" w:themeColor="text1"/>
                <w:kern w:val="0"/>
                <w:sz w:val="22"/>
                <w14:textFill>
                  <w14:solidFill>
                    <w14:schemeClr w14:val="tx1"/>
                  </w14:solidFill>
                </w14:textFill>
              </w:rPr>
            </w:pPr>
            <w:r>
              <w:rPr>
                <w:rFonts w:ascii="Times New Roman" w:hAnsi="Times New Roman" w:eastAsia="仿宋" w:cs="Times New Roman"/>
                <w:b/>
                <w:bCs/>
                <w:color w:val="000000" w:themeColor="text1"/>
                <w:kern w:val="0"/>
                <w:sz w:val="22"/>
                <w14:textFill>
                  <w14:solidFill>
                    <w14:schemeClr w14:val="tx1"/>
                  </w14:solidFill>
                </w14:textFill>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restart"/>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健康</w:t>
            </w:r>
          </w:p>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水平</w:t>
            </w:r>
          </w:p>
        </w:tc>
        <w:tc>
          <w:tcPr>
            <w:tcW w:w="736"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w:t>
            </w:r>
          </w:p>
        </w:tc>
        <w:tc>
          <w:tcPr>
            <w:tcW w:w="3546"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人均预期寿命（岁）</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79.2</w:t>
            </w:r>
          </w:p>
        </w:tc>
        <w:tc>
          <w:tcPr>
            <w:tcW w:w="961"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79.5</w:t>
            </w:r>
          </w:p>
        </w:tc>
        <w:tc>
          <w:tcPr>
            <w:tcW w:w="834"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w:t>
            </w:r>
          </w:p>
        </w:tc>
        <w:tc>
          <w:tcPr>
            <w:tcW w:w="3546"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健康预期寿命（岁）</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 </w:t>
            </w:r>
          </w:p>
        </w:tc>
        <w:tc>
          <w:tcPr>
            <w:tcW w:w="961"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同比例提高</w:t>
            </w:r>
          </w:p>
        </w:tc>
        <w:tc>
          <w:tcPr>
            <w:tcW w:w="834" w:type="dxa"/>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restart"/>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疾病预防控制体系</w:t>
            </w:r>
          </w:p>
        </w:tc>
        <w:tc>
          <w:tcPr>
            <w:tcW w:w="736" w:type="dxa"/>
            <w:vMerge w:val="restart"/>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3</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每千人口专业公共卫生机构人员数（人）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hint="eastAsia" w:ascii="Times New Roman" w:hAnsi="Times New Roman" w:eastAsia="仿宋" w:cs="Times New Roman"/>
                <w:color w:val="000000" w:themeColor="text1"/>
                <w:kern w:val="0"/>
                <w:sz w:val="20"/>
                <w:szCs w:val="20"/>
                <w14:textFill>
                  <w14:solidFill>
                    <w14:schemeClr w14:val="tx1"/>
                  </w14:solidFill>
                </w14:textFill>
              </w:rPr>
              <w:t>0.85</w:t>
            </w:r>
          </w:p>
        </w:tc>
        <w:tc>
          <w:tcPr>
            <w:tcW w:w="961" w:type="dxa"/>
            <w:vAlign w:val="center"/>
          </w:tcPr>
          <w:p>
            <w:pPr>
              <w:spacing w:line="240" w:lineRule="exact"/>
              <w:rPr>
                <w:rFonts w:ascii="Times New Roman" w:hAnsi="Times New Roman" w:eastAsia="仿宋" w:cs="Times New Roman"/>
                <w:color w:val="000000" w:themeColor="text1"/>
                <w:kern w:val="0"/>
                <w:sz w:val="20"/>
                <w:szCs w:val="20"/>
                <w:u w:val="single"/>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0.86</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其中：疾病预防控制机构人员数（人）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hint="eastAsia" w:ascii="Times New Roman" w:hAnsi="Times New Roman" w:eastAsia="仿宋" w:cs="Times New Roman"/>
                <w:color w:val="000000" w:themeColor="text1"/>
                <w:kern w:val="0"/>
                <w:sz w:val="20"/>
                <w:szCs w:val="20"/>
                <w14:textFill>
                  <w14:solidFill>
                    <w14:schemeClr w14:val="tx1"/>
                  </w14:solidFill>
                </w14:textFill>
              </w:rPr>
              <w:t>0.073</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0.16</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疾病预防控制机构基础设施达标率（%）</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100 </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jc w:val="center"/>
        </w:trPr>
        <w:tc>
          <w:tcPr>
            <w:tcW w:w="1015" w:type="dxa"/>
            <w:vMerge w:val="restart"/>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应急医疗救治体系</w:t>
            </w: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5</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每万人口急救车数量（辆）</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0.36</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6</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二级以上综合医院设置感染性疾病科的比例（%）</w:t>
            </w:r>
          </w:p>
          <w:p>
            <w:pPr>
              <w:ind w:firstLine="420"/>
              <w:rPr>
                <w:rFonts w:ascii="Times New Roman" w:hAnsi="Times New Roman" w:eastAsia="仿宋" w:cs="Times New Roman"/>
                <w:color w:val="000000" w:themeColor="text1"/>
                <w:sz w:val="20"/>
                <w:szCs w:val="20"/>
                <w14:textFill>
                  <w14:solidFill>
                    <w14:schemeClr w14:val="tx1"/>
                  </w14:solidFill>
                </w14:textFill>
              </w:rPr>
            </w:pPr>
          </w:p>
          <w:p>
            <w:pPr>
              <w:ind w:firstLine="420"/>
              <w:rPr>
                <w:rFonts w:ascii="Times New Roman" w:hAnsi="Times New Roman" w:eastAsia="仿宋" w:cs="Times New Roman"/>
                <w:color w:val="000000" w:themeColor="text1"/>
                <w:sz w:val="20"/>
                <w:szCs w:val="20"/>
                <w14:textFill>
                  <w14:solidFill>
                    <w14:schemeClr w14:val="tx1"/>
                  </w14:solidFill>
                </w14:textFill>
              </w:rPr>
            </w:pPr>
          </w:p>
          <w:p>
            <w:pPr>
              <w:ind w:firstLine="420"/>
              <w:rPr>
                <w:rFonts w:ascii="Times New Roman" w:hAnsi="Times New Roman" w:eastAsia="仿宋" w:cs="Times New Roman"/>
                <w:color w:val="000000" w:themeColor="text1"/>
                <w:sz w:val="20"/>
                <w:szCs w:val="20"/>
                <w14:textFill>
                  <w14:solidFill>
                    <w14:schemeClr w14:val="tx1"/>
                  </w14:solidFill>
                </w14:textFill>
              </w:rPr>
            </w:pPr>
          </w:p>
          <w:p>
            <w:pPr>
              <w:ind w:firstLine="420"/>
              <w:rPr>
                <w:rFonts w:ascii="Times New Roman" w:hAnsi="Times New Roman" w:eastAsia="仿宋" w:cs="Times New Roman"/>
                <w:color w:val="000000" w:themeColor="text1"/>
                <w:sz w:val="20"/>
                <w:szCs w:val="20"/>
                <w14:textFill>
                  <w14:solidFill>
                    <w14:schemeClr w14:val="tx1"/>
                  </w14:solidFill>
                </w14:textFill>
              </w:rPr>
            </w:pP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w:t>
            </w:r>
            <w:r>
              <w:rPr>
                <w:rFonts w:hint="eastAsia" w:ascii="Times New Roman" w:hAnsi="Times New Roman" w:eastAsia="仿宋" w:cs="Times New Roman"/>
                <w:color w:val="000000" w:themeColor="text1"/>
                <w:kern w:val="0"/>
                <w:sz w:val="20"/>
                <w:szCs w:val="20"/>
                <w14:textFill>
                  <w14:solidFill>
                    <w14:schemeClr w14:val="tx1"/>
                  </w14:solidFill>
                </w14:textFill>
              </w:rPr>
              <w:t>5</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100 </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7</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镇（中心）卫生院和社区卫生服务中心设置发热门诊（诊室）的比例（%）</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23.53</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100 </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restart"/>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医疗机构高质量发展</w:t>
            </w:r>
          </w:p>
        </w:tc>
        <w:tc>
          <w:tcPr>
            <w:tcW w:w="736" w:type="dxa"/>
            <w:vMerge w:val="restart"/>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8</w:t>
            </w:r>
          </w:p>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每千人口医疗卫生机构床位数（张）</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6.57</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8.32</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其中：公立医院床位数（张）</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4.44</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4.5</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sz w:val="20"/>
                <w:szCs w:val="20"/>
                <w14:textFill>
                  <w14:solidFill>
                    <w14:schemeClr w14:val="tx1"/>
                  </w14:solidFill>
                </w14:textFill>
              </w:rPr>
              <w:t>每千人口康复床位（张）</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0.24 </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0.42</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sz w:val="20"/>
                <w:szCs w:val="20"/>
                <w14:textFill>
                  <w14:solidFill>
                    <w14:schemeClr w14:val="tx1"/>
                  </w14:solidFill>
                </w14:textFill>
              </w:rPr>
              <w:t>每千人口精神科床位数（张）</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0.87</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0.9</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每千人口公立中医类医院床位数（张）</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0.96</w:t>
            </w:r>
          </w:p>
        </w:tc>
        <w:tc>
          <w:tcPr>
            <w:tcW w:w="961" w:type="dxa"/>
            <w:vAlign w:val="center"/>
          </w:tcPr>
          <w:p>
            <w:pPr>
              <w:spacing w:line="240" w:lineRule="exact"/>
              <w:rPr>
                <w:rFonts w:ascii="Times New Roman" w:hAnsi="Times New Roman" w:eastAsia="仿宋" w:cs="Times New Roman"/>
                <w:color w:val="000000" w:themeColor="text1"/>
                <w:sz w:val="20"/>
                <w:szCs w:val="20"/>
                <w14:textFill>
                  <w14:solidFill>
                    <w14:schemeClr w14:val="tx1"/>
                  </w14:solidFill>
                </w14:textFill>
              </w:rPr>
            </w:pPr>
            <w:r>
              <w:rPr>
                <w:rFonts w:ascii="Times New Roman" w:hAnsi="Times New Roman" w:eastAsia="仿宋" w:cs="Times New Roman"/>
                <w:color w:val="000000" w:themeColor="text1"/>
                <w:sz w:val="20"/>
                <w:szCs w:val="20"/>
                <w14:textFill>
                  <w14:solidFill>
                    <w14:schemeClr w14:val="tx1"/>
                  </w14:solidFill>
                </w14:textFill>
              </w:rPr>
              <w:t>1.4</w:t>
            </w:r>
          </w:p>
        </w:tc>
        <w:tc>
          <w:tcPr>
            <w:tcW w:w="834" w:type="dxa"/>
            <w:vAlign w:val="center"/>
          </w:tcPr>
          <w:p>
            <w:pPr>
              <w:spacing w:line="240" w:lineRule="exact"/>
              <w:rPr>
                <w:rFonts w:ascii="Times New Roman" w:hAnsi="Times New Roman" w:eastAsia="仿宋" w:cs="Times New Roman"/>
                <w:color w:val="000000" w:themeColor="text1"/>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每千人口重症床位数</w:t>
            </w:r>
            <w:r>
              <w:rPr>
                <w:rFonts w:hint="eastAsia" w:ascii="Times New Roman" w:hAnsi="Times New Roman" w:eastAsia="仿宋" w:cs="Times New Roman"/>
                <w:color w:val="000000" w:themeColor="text1"/>
                <w:kern w:val="0"/>
                <w:sz w:val="20"/>
                <w:szCs w:val="20"/>
                <w14:textFill>
                  <w14:solidFill>
                    <w14:schemeClr w14:val="tx1"/>
                  </w14:solidFill>
                </w14:textFill>
              </w:rPr>
              <w:t>（</w:t>
            </w:r>
            <w:r>
              <w:rPr>
                <w:rFonts w:ascii="Times New Roman" w:hAnsi="Times New Roman" w:eastAsia="仿宋" w:cs="Times New Roman"/>
                <w:color w:val="000000" w:themeColor="text1"/>
                <w:kern w:val="0"/>
                <w:sz w:val="20"/>
                <w:szCs w:val="20"/>
                <w14:textFill>
                  <w14:solidFill>
                    <w14:schemeClr w14:val="tx1"/>
                  </w14:solidFill>
                </w14:textFill>
              </w:rPr>
              <w:t>张）</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0.03</w:t>
            </w:r>
          </w:p>
        </w:tc>
        <w:tc>
          <w:tcPr>
            <w:tcW w:w="961" w:type="dxa"/>
            <w:vAlign w:val="center"/>
          </w:tcPr>
          <w:p>
            <w:pPr>
              <w:spacing w:line="240" w:lineRule="exact"/>
              <w:rPr>
                <w:rFonts w:ascii="Times New Roman" w:hAnsi="Times New Roman" w:eastAsia="仿宋" w:cs="Times New Roman"/>
                <w:bCs/>
                <w:color w:val="000000" w:themeColor="text1"/>
                <w:sz w:val="20"/>
                <w:szCs w:val="20"/>
                <w14:textFill>
                  <w14:solidFill>
                    <w14:schemeClr w14:val="tx1"/>
                  </w14:solidFill>
                </w14:textFill>
              </w:rPr>
            </w:pPr>
            <w:r>
              <w:rPr>
                <w:rFonts w:ascii="Times New Roman" w:hAnsi="Times New Roman" w:eastAsia="仿宋" w:cs="Times New Roman"/>
                <w:bCs/>
                <w:color w:val="000000" w:themeColor="text1"/>
                <w:sz w:val="20"/>
                <w:szCs w:val="20"/>
                <w14:textFill>
                  <w14:solidFill>
                    <w14:schemeClr w14:val="tx1"/>
                  </w14:solidFill>
                </w14:textFill>
              </w:rPr>
              <w:t>0.06</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9</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每千人口执业（助理）医师数（人）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3.88</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3.9</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10</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每千人口注册护士数（人）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3.94</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4.7</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11</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每百张床位临床药师数（人）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0.51</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bCs/>
                <w:color w:val="000000" w:themeColor="text1"/>
                <w:sz w:val="20"/>
                <w:szCs w:val="20"/>
                <w14:textFill>
                  <w14:solidFill>
                    <w14:schemeClr w14:val="tx1"/>
                  </w14:solidFill>
                </w14:textFill>
              </w:rPr>
              <w:t>0.7</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12</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bookmarkStart w:id="18" w:name="_Hlk78314925"/>
            <w:r>
              <w:rPr>
                <w:rFonts w:ascii="Times New Roman" w:hAnsi="Times New Roman" w:eastAsia="仿宋" w:cs="Times New Roman"/>
                <w:color w:val="000000" w:themeColor="text1"/>
                <w:kern w:val="0"/>
                <w:sz w:val="20"/>
                <w:szCs w:val="20"/>
                <w14:textFill>
                  <w14:solidFill>
                    <w14:schemeClr w14:val="tx1"/>
                  </w14:solidFill>
                </w14:textFill>
              </w:rPr>
              <w:t>每万人口全科医生数（人）</w:t>
            </w:r>
            <w:bookmarkEnd w:id="18"/>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4.49</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w:t>
            </w:r>
            <w:r>
              <w:rPr>
                <w:rFonts w:hint="eastAsia" w:ascii="Times New Roman" w:hAnsi="Times New Roman" w:eastAsia="仿宋" w:cs="Times New Roman"/>
                <w:color w:val="000000" w:themeColor="text1"/>
                <w:kern w:val="0"/>
                <w:sz w:val="20"/>
                <w:szCs w:val="20"/>
                <w14:textFill>
                  <w14:solidFill>
                    <w14:schemeClr w14:val="tx1"/>
                  </w14:solidFill>
                </w14:textFill>
              </w:rPr>
              <w:t>.5</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13</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医护比</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1:1.1 </w:t>
            </w:r>
          </w:p>
        </w:tc>
        <w:tc>
          <w:tcPr>
            <w:tcW w:w="961" w:type="dxa"/>
            <w:vAlign w:val="center"/>
          </w:tcPr>
          <w:p>
            <w:pPr>
              <w:spacing w:line="240" w:lineRule="exact"/>
              <w:rPr>
                <w:rFonts w:ascii="Times New Roman" w:hAnsi="Times New Roman" w:eastAsia="仿宋" w:cs="Times New Roman"/>
                <w:bCs/>
                <w:color w:val="000000" w:themeColor="text1"/>
                <w:sz w:val="20"/>
                <w:szCs w:val="20"/>
                <w14:textFill>
                  <w14:solidFill>
                    <w14:schemeClr w14:val="tx1"/>
                  </w14:solidFill>
                </w14:textFill>
              </w:rPr>
            </w:pPr>
            <w:r>
              <w:rPr>
                <w:rFonts w:ascii="Times New Roman" w:hAnsi="Times New Roman" w:eastAsia="仿宋" w:cs="Times New Roman"/>
                <w:bCs/>
                <w:color w:val="000000" w:themeColor="text1"/>
                <w:sz w:val="20"/>
                <w:szCs w:val="20"/>
                <w14:textFill>
                  <w14:solidFill>
                    <w14:schemeClr w14:val="tx1"/>
                  </w14:solidFill>
                </w14:textFill>
              </w:rPr>
              <w:t>1:1.3</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14</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床人（卫生人员）比</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1:1.02</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1:1.6</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15</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医院平均住院日（天）</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hint="eastAsia" w:ascii="Times New Roman" w:hAnsi="Times New Roman" w:eastAsia="仿宋" w:cs="Times New Roman"/>
                <w:color w:val="000000" w:themeColor="text1"/>
                <w:kern w:val="0"/>
                <w:sz w:val="20"/>
                <w:szCs w:val="20"/>
                <w14:textFill>
                  <w14:solidFill>
                    <w14:schemeClr w14:val="tx1"/>
                  </w14:solidFill>
                </w14:textFill>
              </w:rPr>
              <w:t>9.9</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&lt;8</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restart"/>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中医药</w:t>
            </w:r>
          </w:p>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服务</w:t>
            </w: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16</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每千人口中医类别执业（助理）医师数（人）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0.65</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0.8</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17</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设置治未病科的二级及以上中医类医院比例（%）</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100</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hint="eastAsia" w:ascii="Times New Roman" w:hAnsi="Times New Roman" w:eastAsia="仿宋" w:cs="Times New Roman"/>
                <w:color w:val="000000" w:themeColor="text1"/>
                <w:kern w:val="0"/>
                <w:sz w:val="20"/>
                <w:szCs w:val="20"/>
                <w14:textFill>
                  <w14:solidFill>
                    <w14:schemeClr w14:val="tx1"/>
                  </w14:solidFill>
                </w14:textFill>
              </w:rPr>
              <w:t>100</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18</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设置中医馆的社区卫生服务中心和镇（中心）卫生院比例（%）</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100</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100</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15" w:type="dxa"/>
            <w:vMerge w:val="restart"/>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r>
              <w:rPr>
                <w:rFonts w:ascii="Times New Roman" w:hAnsi="Times New Roman" w:eastAsia="仿宋" w:cs="Times New Roman"/>
                <w:b/>
                <w:bCs/>
                <w:color w:val="000000" w:themeColor="text1"/>
                <w:kern w:val="0"/>
                <w:sz w:val="20"/>
                <w:szCs w:val="20"/>
                <w14:textFill>
                  <w14:solidFill>
                    <w14:schemeClr w14:val="tx1"/>
                  </w14:solidFill>
                </w14:textFill>
              </w:rPr>
              <w:t>重点人群健康服务补短板</w:t>
            </w:r>
          </w:p>
        </w:tc>
        <w:tc>
          <w:tcPr>
            <w:tcW w:w="736" w:type="dxa"/>
            <w:vMerge w:val="restart"/>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19</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每千人口拥有3岁以下婴幼儿托位数（个）</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 xml:space="preserve"> 0.4</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4.5</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Merge w:val="continue"/>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其中：普惠托位</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≥2.7</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20</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二级及以上综合性医院设置老年医学科的比例（%）</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55</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≥60</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21</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每十万人口精神科执业（助理）医师数（人）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3.5</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6</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015" w:type="dxa"/>
            <w:vMerge w:val="continue"/>
            <w:vAlign w:val="center"/>
          </w:tcPr>
          <w:p>
            <w:pPr>
              <w:spacing w:line="240" w:lineRule="exact"/>
              <w:rPr>
                <w:rFonts w:ascii="Times New Roman" w:hAnsi="Times New Roman" w:eastAsia="仿宋" w:cs="Times New Roman"/>
                <w:b/>
                <w:bCs/>
                <w:color w:val="000000" w:themeColor="text1"/>
                <w:kern w:val="0"/>
                <w:sz w:val="20"/>
                <w:szCs w:val="20"/>
                <w14:textFill>
                  <w14:solidFill>
                    <w14:schemeClr w14:val="tx1"/>
                  </w14:solidFill>
                </w14:textFill>
              </w:rPr>
            </w:pPr>
          </w:p>
        </w:tc>
        <w:tc>
          <w:tcPr>
            <w:tcW w:w="73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22</w:t>
            </w:r>
          </w:p>
        </w:tc>
        <w:tc>
          <w:tcPr>
            <w:tcW w:w="3546"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每千儿童儿科执业（助理）医师数（人）</w:t>
            </w:r>
          </w:p>
        </w:tc>
        <w:tc>
          <w:tcPr>
            <w:tcW w:w="1383"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0.77</w:t>
            </w:r>
          </w:p>
        </w:tc>
        <w:tc>
          <w:tcPr>
            <w:tcW w:w="961"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0.87</w:t>
            </w:r>
          </w:p>
        </w:tc>
        <w:tc>
          <w:tcPr>
            <w:tcW w:w="834" w:type="dxa"/>
            <w:vAlign w:val="center"/>
          </w:tcPr>
          <w:p>
            <w:pPr>
              <w:spacing w:line="240" w:lineRule="exact"/>
              <w:rPr>
                <w:rFonts w:ascii="Times New Roman" w:hAnsi="Times New Roman" w:eastAsia="仿宋" w:cs="Times New Roman"/>
                <w:color w:val="000000" w:themeColor="text1"/>
                <w:kern w:val="0"/>
                <w:sz w:val="20"/>
                <w:szCs w:val="20"/>
                <w14:textFill>
                  <w14:solidFill>
                    <w14:schemeClr w14:val="tx1"/>
                  </w14:solidFill>
                </w14:textFill>
              </w:rPr>
            </w:pPr>
            <w:r>
              <w:rPr>
                <w:rFonts w:ascii="Times New Roman" w:hAnsi="Times New Roman" w:eastAsia="仿宋" w:cs="Times New Roman"/>
                <w:color w:val="000000" w:themeColor="text1"/>
                <w:kern w:val="0"/>
                <w:sz w:val="20"/>
                <w:szCs w:val="20"/>
                <w14:textFill>
                  <w14:solidFill>
                    <w14:schemeClr w14:val="tx1"/>
                  </w14:solidFill>
                </w14:textFill>
              </w:rPr>
              <w:t>约束性</w:t>
            </w:r>
          </w:p>
        </w:tc>
      </w:tr>
    </w:tbl>
    <w:p>
      <w:pPr>
        <w:pStyle w:val="19"/>
        <w:widowControl w:val="0"/>
        <w:spacing w:line="560" w:lineRule="exact"/>
        <w:ind w:firstLine="640" w:firstLineChars="200"/>
        <w:jc w:val="both"/>
        <w:rPr>
          <w:rFonts w:ascii="Times New Roman" w:eastAsia="方正黑体_GBK"/>
          <w:bCs/>
          <w:color w:val="000000" w:themeColor="text1"/>
          <w:sz w:val="32"/>
          <w:szCs w:val="32"/>
          <w14:textFill>
            <w14:solidFill>
              <w14:schemeClr w14:val="tx1"/>
            </w14:solidFill>
          </w14:textFill>
        </w:rPr>
      </w:pPr>
      <w:bookmarkStart w:id="19" w:name="_Toc16344"/>
      <w:bookmarkStart w:id="20" w:name="_Toc17787"/>
      <w:bookmarkStart w:id="21" w:name="_Toc425626383"/>
      <w:bookmarkStart w:id="22" w:name="_Toc9432"/>
      <w:bookmarkStart w:id="23" w:name="_Toc10040"/>
      <w:bookmarkStart w:id="24" w:name="_Toc20348"/>
      <w:bookmarkStart w:id="25" w:name="_Toc18203"/>
      <w:bookmarkStart w:id="26" w:name="_Toc8952"/>
      <w:bookmarkStart w:id="27" w:name="_Toc4170"/>
      <w:bookmarkStart w:id="28" w:name="_Toc10405"/>
      <w:r>
        <w:rPr>
          <w:rFonts w:ascii="Times New Roman" w:eastAsia="方正黑体_GBK"/>
          <w:bCs/>
          <w:color w:val="000000" w:themeColor="text1"/>
          <w:sz w:val="32"/>
          <w:szCs w:val="32"/>
          <w14:textFill>
            <w14:solidFill>
              <w14:schemeClr w14:val="tx1"/>
            </w14:solidFill>
          </w14:textFill>
        </w:rPr>
        <w:t>三、</w:t>
      </w:r>
      <w:bookmarkEnd w:id="19"/>
      <w:bookmarkEnd w:id="20"/>
      <w:bookmarkEnd w:id="21"/>
      <w:bookmarkEnd w:id="22"/>
      <w:bookmarkStart w:id="29" w:name="_Toc425626384"/>
      <w:r>
        <w:rPr>
          <w:rFonts w:ascii="Times New Roman" w:eastAsia="方正黑体_GBK"/>
          <w:bCs/>
          <w:color w:val="000000" w:themeColor="text1"/>
          <w:sz w:val="32"/>
          <w:szCs w:val="32"/>
          <w14:textFill>
            <w14:solidFill>
              <w14:schemeClr w14:val="tx1"/>
            </w14:solidFill>
          </w14:textFill>
        </w:rPr>
        <w:t>资源配置</w:t>
      </w:r>
      <w:bookmarkEnd w:id="23"/>
      <w:bookmarkEnd w:id="24"/>
      <w:bookmarkEnd w:id="25"/>
      <w:bookmarkEnd w:id="26"/>
      <w:bookmarkEnd w:id="27"/>
      <w:bookmarkEnd w:id="28"/>
    </w:p>
    <w:bookmarkEnd w:id="29"/>
    <w:p>
      <w:pP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30" w:name="_Toc26339"/>
      <w:bookmarkStart w:id="31" w:name="_Toc18751"/>
      <w:bookmarkStart w:id="32" w:name="_Toc16330"/>
      <w:bookmarkStart w:id="33" w:name="_Toc13472"/>
      <w:bookmarkStart w:id="34" w:name="_Toc9467"/>
      <w:bookmarkStart w:id="35" w:name="_Toc13052"/>
      <w:bookmarkStart w:id="36" w:name="_Toc30033"/>
      <w:bookmarkStart w:id="37" w:name="_Toc16031"/>
      <w:r>
        <w:rPr>
          <w:rFonts w:ascii="Times New Roman" w:hAnsi="Times New Roman" w:eastAsia="方正楷体_GBK" w:cs="Times New Roman"/>
          <w:bCs/>
          <w:color w:val="000000" w:themeColor="text1"/>
          <w:sz w:val="32"/>
          <w:szCs w:val="32"/>
          <w14:textFill>
            <w14:solidFill>
              <w14:schemeClr w14:val="tx1"/>
            </w14:solidFill>
          </w14:textFill>
        </w:rPr>
        <w:t>（一）体系</w:t>
      </w:r>
      <w:bookmarkEnd w:id="30"/>
      <w:bookmarkEnd w:id="31"/>
      <w:bookmarkEnd w:id="32"/>
      <w:r>
        <w:rPr>
          <w:rFonts w:ascii="Times New Roman" w:hAnsi="Times New Roman" w:eastAsia="方正楷体_GBK" w:cs="Times New Roman"/>
          <w:bCs/>
          <w:color w:val="000000" w:themeColor="text1"/>
          <w:sz w:val="32"/>
          <w:szCs w:val="32"/>
          <w14:textFill>
            <w14:solidFill>
              <w14:schemeClr w14:val="tx1"/>
            </w14:solidFill>
          </w14:textFill>
        </w:rPr>
        <w:t>构成</w:t>
      </w:r>
      <w:bookmarkEnd w:id="33"/>
      <w:bookmarkEnd w:id="34"/>
      <w:bookmarkEnd w:id="35"/>
      <w:bookmarkEnd w:id="36"/>
      <w:bookmarkEnd w:id="3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全区医疗卫生服务体系以专业公共卫生机构、医院、基层医疗卫生机构等为主体，以失能（含失智）老年人、婴幼儿等特殊人群健康照护设施等新型服务机构为补充，各机构按照层级梯度配置，形成覆盖城乡、功能互补、连续协同的医疗卫生服务体系，机构设置按照常住人口规模和服务半径合理布局。</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专业公共卫生机构。包括疾病预防控制、专科疾病防治、健康教育、精神卫生、急救、采供血、综合监督等机构。</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医院。分为公立医院和民营医院。公立医院分为政府办医院和其他公立医院（包括部队医院、国有和集体企事业单位等举办的医院）。</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基层医疗卫生机构。主要包括乡镇卫生院、社区卫生服务中心（站）、村卫生室、医务室、门诊部和诊所等，分为公立和社会举办两类。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其他医疗机构。主要包括独立设置机构和接续性服务机构。鼓励设置独立的医学检验中心、病理诊断中心、医学影像中心、血液透析中心、医疗消毒供应中心、健康体检中心等机构，鼓励发展护理院（中心、站）、康复医疗中心、安宁疗护中心等接续性服务机构，规范和发展婴幼儿照护服务机构。</w:t>
      </w:r>
      <w:bookmarkStart w:id="38" w:name="_Toc425626385"/>
      <w:bookmarkStart w:id="39" w:name="_Toc23111"/>
      <w:bookmarkStart w:id="40" w:name="_Toc29861"/>
      <w:bookmarkStart w:id="41" w:name="_Toc2423"/>
      <w:bookmarkStart w:id="42" w:name="_Toc25553"/>
      <w:bookmarkStart w:id="43" w:name="_Toc6550"/>
      <w:bookmarkStart w:id="44" w:name="_Toc27846"/>
      <w:bookmarkStart w:id="45" w:name="_Toc7129"/>
      <w:bookmarkStart w:id="46" w:name="_Toc3052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（二）</w:t>
      </w:r>
      <w:bookmarkEnd w:id="38"/>
      <w:bookmarkStart w:id="47" w:name="_Toc425626386"/>
      <w:r>
        <w:rPr>
          <w:rFonts w:ascii="Times New Roman" w:hAnsi="Times New Roman" w:eastAsia="方正楷体_GBK" w:cs="Times New Roman"/>
          <w:bCs/>
          <w:color w:val="000000" w:themeColor="text1"/>
          <w:sz w:val="32"/>
          <w:szCs w:val="32"/>
          <w14:textFill>
            <w14:solidFill>
              <w14:schemeClr w14:val="tx1"/>
            </w14:solidFill>
          </w14:textFill>
        </w:rPr>
        <w:t>床位配置</w:t>
      </w:r>
      <w:bookmarkEnd w:id="39"/>
      <w:bookmarkEnd w:id="40"/>
      <w:bookmarkEnd w:id="41"/>
      <w:bookmarkEnd w:id="42"/>
      <w:bookmarkEnd w:id="43"/>
      <w:bookmarkEnd w:id="44"/>
      <w:bookmarkEnd w:id="45"/>
      <w:bookmarkEnd w:id="46"/>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根据我区未来人口规划、辐射范围和目前</w:t>
      </w:r>
      <w:r>
        <w:rPr>
          <w:rFonts w:hint="eastAsia" w:ascii="Times New Roman" w:hAnsi="Times New Roman" w:eastAsia="方正仿宋_GBK" w:cs="Times New Roman"/>
          <w:color w:val="000000" w:themeColor="text1"/>
          <w:sz w:val="32"/>
          <w:szCs w:val="32"/>
          <w14:textFill>
            <w14:solidFill>
              <w14:schemeClr w14:val="tx1"/>
            </w14:solidFill>
          </w14:textFill>
        </w:rPr>
        <w:t>情况</w:t>
      </w:r>
      <w:r>
        <w:rPr>
          <w:rFonts w:ascii="Times New Roman" w:hAnsi="Times New Roman" w:eastAsia="方正仿宋_GBK" w:cs="Times New Roman"/>
          <w:color w:val="000000" w:themeColor="text1"/>
          <w:sz w:val="32"/>
          <w:szCs w:val="32"/>
          <w14:textFill>
            <w14:solidFill>
              <w14:schemeClr w14:val="tx1"/>
            </w14:solidFill>
          </w14:textFill>
        </w:rPr>
        <w:t>统筹考虑，合理增加床位规模</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到2025年，全区每千常住人口医疗卫生机构床位数达到8.32张，其中公立医院4.5张，按照公立医院床位数的15%设置公立专科医院床位。优化床位结构，床位增量向传染病、重症、肿瘤、精神卫生、康复、护理等领域倾斜。到2025年，全区每千人口康复床位数达到0.42张、精神科床位数达到0.</w:t>
      </w:r>
      <w:r>
        <w:rPr>
          <w:rFonts w:hint="eastAsia" w:ascii="Times New Roman" w:hAnsi="Times New Roman" w:eastAsia="方正仿宋_GBK" w:cs="Times New Roman"/>
          <w:color w:val="000000" w:themeColor="text1"/>
          <w:sz w:val="32"/>
          <w:szCs w:val="32"/>
          <w14:textFill>
            <w14:solidFill>
              <w14:schemeClr w14:val="tx1"/>
            </w14:solidFill>
          </w14:textFill>
        </w:rPr>
        <w:t>9</w:t>
      </w:r>
      <w:r>
        <w:rPr>
          <w:rFonts w:ascii="Times New Roman" w:hAnsi="Times New Roman" w:eastAsia="方正仿宋_GBK" w:cs="Times New Roman"/>
          <w:color w:val="000000" w:themeColor="text1"/>
          <w:sz w:val="32"/>
          <w:szCs w:val="32"/>
          <w14:textFill>
            <w14:solidFill>
              <w14:schemeClr w14:val="tx1"/>
            </w14:solidFill>
          </w14:textFill>
        </w:rPr>
        <w:t>张、公立中医类医院床位数达到1.4张、重症床位数达到0.06张。</w:t>
      </w:r>
      <w:bookmarkStart w:id="48" w:name="_Toc10425"/>
      <w:bookmarkStart w:id="49" w:name="_Toc2553"/>
      <w:bookmarkStart w:id="50" w:name="_Toc32464"/>
      <w:bookmarkStart w:id="51" w:name="_Toc12392"/>
      <w:bookmarkStart w:id="52" w:name="_Toc4054"/>
      <w:bookmarkStart w:id="53" w:name="_Toc17974"/>
      <w:bookmarkStart w:id="54" w:name="_Toc32162"/>
      <w:bookmarkStart w:id="55" w:name="_Toc30772"/>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（三）人员配置</w:t>
      </w:r>
      <w:bookmarkEnd w:id="48"/>
      <w:bookmarkEnd w:id="49"/>
      <w:bookmarkEnd w:id="50"/>
      <w:bookmarkEnd w:id="51"/>
      <w:bookmarkEnd w:id="52"/>
      <w:bookmarkEnd w:id="53"/>
      <w:bookmarkEnd w:id="54"/>
      <w:bookmarkEnd w:id="5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按照床人（卫生人员）比1:1.6和医护比1:1.3的标准，以及床护比、床医比分别不低于1:0.58和1:0.45的标准，科学合理配置人力资源。到2025年，每千人口执业（助理）医师数达到3.9人（中医类别达到0.8人）、注册护士数达到4.7人、药师（士）数达到0.54人，每万人口全科医生数达到4</w:t>
      </w: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人，每10万人口精神科执业（助理）医师数达到6人、康复医师数达到8人，每百张床位临床药师数达到0.7人，医疗机构药学专业技术人员不低于本机构卫生专业技术人员总数的8%。加强基层人才队伍培养，到2025年，确保每个乡镇卫生院和社区卫生服务中心至少有1名合格的基层全科高级职称医生。合理提高公共卫生人员配置标准，到2025年，每千人口专业公共卫生机构人员数达到0.86人，社区卫生服务中心、乡镇卫生院和二级以上医疗机构配备公共卫生医师数不少于1人。</w:t>
      </w:r>
      <w:bookmarkStart w:id="56" w:name="_Toc5142"/>
      <w:bookmarkStart w:id="57" w:name="_Toc15950"/>
      <w:bookmarkStart w:id="58" w:name="_Toc27115"/>
      <w:bookmarkStart w:id="59" w:name="_Toc1908"/>
      <w:bookmarkStart w:id="60" w:name="_Toc20004"/>
      <w:bookmarkStart w:id="61" w:name="_Toc4618"/>
      <w:bookmarkStart w:id="62" w:name="_Toc24425"/>
      <w:bookmarkStart w:id="63" w:name="_Toc24309"/>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（四）设备配置</w:t>
      </w:r>
      <w:bookmarkEnd w:id="56"/>
      <w:bookmarkEnd w:id="57"/>
      <w:bookmarkEnd w:id="58"/>
      <w:bookmarkEnd w:id="59"/>
      <w:bookmarkEnd w:id="60"/>
      <w:bookmarkEnd w:id="61"/>
      <w:bookmarkEnd w:id="62"/>
      <w:bookmarkEnd w:id="6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统筹全区大型医用设备配置和布局，实行总量控制，严格规范准入条件。坚持分级适宜配置和资源共享原则，引导医疗机构合理配置适宜设备。</w:t>
      </w:r>
    </w:p>
    <w:p>
      <w:pPr>
        <w:spacing w:line="320" w:lineRule="exact"/>
        <w:jc w:val="center"/>
        <w:rPr>
          <w:rFonts w:ascii="Times New Roman" w:hAnsi="Times New Roman" w:eastAsia="仿宋" w:cs="Times New Roman"/>
          <w:b w:val="0"/>
          <w:bCs w:val="0"/>
          <w:color w:val="000000" w:themeColor="text1"/>
          <w:sz w:val="28"/>
          <w:szCs w:val="28"/>
          <w14:textFill>
            <w14:solidFill>
              <w14:schemeClr w14:val="tx1"/>
            </w14:solidFill>
          </w14:textFill>
        </w:rPr>
      </w:pPr>
      <w:r>
        <w:rPr>
          <w:rFonts w:ascii="Times New Roman" w:hAnsi="Times New Roman" w:eastAsia="仿宋" w:cs="Times New Roman"/>
          <w:b w:val="0"/>
          <w:bCs w:val="0"/>
          <w:color w:val="000000" w:themeColor="text1"/>
          <w:sz w:val="28"/>
          <w:szCs w:val="28"/>
          <w14:textFill>
            <w14:solidFill>
              <w14:schemeClr w14:val="tx1"/>
            </w14:solidFill>
          </w14:textFill>
        </w:rPr>
        <w:t>专栏2 北碚区</w:t>
      </w:r>
      <w:r>
        <w:rPr>
          <w:rFonts w:hint="eastAsia" w:ascii="Times New Roman" w:hAnsi="Times New Roman" w:eastAsia="仿宋" w:cs="Times New Roman"/>
          <w:b w:val="0"/>
          <w:bCs w:val="0"/>
          <w:color w:val="000000" w:themeColor="text1"/>
          <w:sz w:val="28"/>
          <w:szCs w:val="28"/>
          <w14:textFill>
            <w14:solidFill>
              <w14:schemeClr w14:val="tx1"/>
            </w14:solidFill>
          </w14:textFill>
        </w:rPr>
        <w:t>“</w:t>
      </w:r>
      <w:r>
        <w:rPr>
          <w:rFonts w:ascii="Times New Roman" w:hAnsi="Times New Roman" w:eastAsia="仿宋" w:cs="Times New Roman"/>
          <w:b w:val="0"/>
          <w:bCs w:val="0"/>
          <w:color w:val="000000" w:themeColor="text1"/>
          <w:sz w:val="28"/>
          <w:szCs w:val="28"/>
          <w14:textFill>
            <w14:solidFill>
              <w14:schemeClr w14:val="tx1"/>
            </w14:solidFill>
          </w14:textFill>
        </w:rPr>
        <w:t>十四五</w:t>
      </w:r>
      <w:r>
        <w:rPr>
          <w:rFonts w:hint="eastAsia" w:ascii="Times New Roman" w:hAnsi="Times New Roman" w:eastAsia="仿宋" w:cs="Times New Roman"/>
          <w:b w:val="0"/>
          <w:bCs w:val="0"/>
          <w:color w:val="000000" w:themeColor="text1"/>
          <w:sz w:val="28"/>
          <w:szCs w:val="28"/>
          <w14:textFill>
            <w14:solidFill>
              <w14:schemeClr w14:val="tx1"/>
            </w14:solidFill>
          </w14:textFill>
        </w:rPr>
        <w:t>”</w:t>
      </w:r>
      <w:r>
        <w:rPr>
          <w:rFonts w:ascii="Times New Roman" w:hAnsi="Times New Roman" w:eastAsia="仿宋" w:cs="Times New Roman"/>
          <w:b w:val="0"/>
          <w:bCs w:val="0"/>
          <w:color w:val="000000" w:themeColor="text1"/>
          <w:sz w:val="28"/>
          <w:szCs w:val="28"/>
          <w14:textFill>
            <w14:solidFill>
              <w14:schemeClr w14:val="tx1"/>
            </w14:solidFill>
          </w14:textFill>
        </w:rPr>
        <w:t>期间乙类大型医用设备配置规划控制数</w:t>
      </w:r>
    </w:p>
    <w:p>
      <w:pPr>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kern w:val="0"/>
          <w:sz w:val="28"/>
          <w:szCs w:val="28"/>
          <w14:textFill>
            <w14:solidFill>
              <w14:schemeClr w14:val="tx1"/>
            </w14:solidFill>
          </w14:textFill>
        </w:rPr>
        <w:t xml:space="preserve">    </w:t>
      </w:r>
      <w:r>
        <w:rPr>
          <w:rFonts w:ascii="Times New Roman" w:hAnsi="Times New Roman" w:eastAsia="仿宋" w:cs="Times New Roman"/>
          <w:b w:val="0"/>
          <w:bCs w:val="0"/>
          <w:color w:val="000000" w:themeColor="text1"/>
          <w:kern w:val="0"/>
          <w:sz w:val="28"/>
          <w:szCs w:val="28"/>
          <w14:textFill>
            <w14:solidFill>
              <w14:schemeClr w14:val="tx1"/>
            </w14:solidFill>
          </w14:textFill>
        </w:rPr>
        <w:t>单位：台</w:t>
      </w:r>
    </w:p>
    <w:tbl>
      <w:tblPr>
        <w:tblStyle w:val="14"/>
        <w:tblW w:w="8624" w:type="dxa"/>
        <w:jc w:val="center"/>
        <w:tblInd w:w="0" w:type="dxa"/>
        <w:tblLayout w:type="fixed"/>
        <w:tblCellMar>
          <w:top w:w="0" w:type="dxa"/>
          <w:left w:w="108" w:type="dxa"/>
          <w:bottom w:w="0" w:type="dxa"/>
          <w:right w:w="108" w:type="dxa"/>
        </w:tblCellMar>
      </w:tblPr>
      <w:tblGrid>
        <w:gridCol w:w="1218"/>
        <w:gridCol w:w="682"/>
        <w:gridCol w:w="708"/>
        <w:gridCol w:w="709"/>
        <w:gridCol w:w="899"/>
        <w:gridCol w:w="650"/>
        <w:gridCol w:w="779"/>
        <w:gridCol w:w="714"/>
        <w:gridCol w:w="664"/>
        <w:gridCol w:w="776"/>
        <w:gridCol w:w="825"/>
      </w:tblGrid>
      <w:tr>
        <w:tblPrEx>
          <w:tblLayout w:type="fixed"/>
          <w:tblCellMar>
            <w:top w:w="0" w:type="dxa"/>
            <w:left w:w="108" w:type="dxa"/>
            <w:bottom w:w="0" w:type="dxa"/>
            <w:right w:w="108" w:type="dxa"/>
          </w:tblCellMar>
        </w:tblPrEx>
        <w:trPr>
          <w:trHeight w:val="845"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b/>
                <w:color w:val="000000" w:themeColor="text1"/>
                <w:kern w:val="0"/>
                <w:szCs w:val="21"/>
                <w14:textFill>
                  <w14:solidFill>
                    <w14:schemeClr w14:val="tx1"/>
                  </w14:solidFill>
                </w14:textFill>
              </w:rPr>
            </w:pPr>
            <w:r>
              <w:rPr>
                <w:rFonts w:ascii="Times New Roman" w:hAnsi="Times New Roman" w:eastAsia="仿宋" w:cs="Times New Roman"/>
                <w:b/>
                <w:color w:val="000000" w:themeColor="text1"/>
                <w:kern w:val="0"/>
                <w:szCs w:val="21"/>
                <w14:textFill>
                  <w14:solidFill>
                    <w14:schemeClr w14:val="tx1"/>
                  </w14:solidFill>
                </w14:textFill>
              </w:rPr>
              <w:t>名称</w:t>
            </w:r>
          </w:p>
        </w:tc>
        <w:tc>
          <w:tcPr>
            <w:tcW w:w="1390" w:type="dxa"/>
            <w:gridSpan w:val="2"/>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 w:cs="Times New Roman"/>
                <w:b/>
                <w:color w:val="000000" w:themeColor="text1"/>
                <w:kern w:val="0"/>
                <w:szCs w:val="21"/>
                <w14:textFill>
                  <w14:solidFill>
                    <w14:schemeClr w14:val="tx1"/>
                  </w14:solidFill>
                </w14:textFill>
              </w:rPr>
            </w:pPr>
            <w:r>
              <w:rPr>
                <w:rFonts w:ascii="Times New Roman" w:hAnsi="Times New Roman" w:eastAsia="仿宋" w:cs="Times New Roman"/>
                <w:b/>
                <w:color w:val="000000" w:themeColor="text1"/>
                <w:kern w:val="0"/>
                <w:szCs w:val="21"/>
                <w14:textFill>
                  <w14:solidFill>
                    <w14:schemeClr w14:val="tx1"/>
                  </w14:solidFill>
                </w14:textFill>
              </w:rPr>
              <w:t>X线正电子发射断层扫描仪</w:t>
            </w:r>
            <w:r>
              <w:rPr>
                <w:rFonts w:ascii="Times New Roman" w:hAnsi="Times New Roman" w:eastAsia="仿宋" w:cs="Times New Roman"/>
                <w:color w:val="000000" w:themeColor="text1"/>
                <w:kern w:val="0"/>
                <w:szCs w:val="21"/>
                <w14:textFill>
                  <w14:solidFill>
                    <w14:schemeClr w14:val="tx1"/>
                  </w14:solidFill>
                </w14:textFill>
              </w:rPr>
              <w:t>（PET/CT）</w:t>
            </w:r>
          </w:p>
        </w:tc>
        <w:tc>
          <w:tcPr>
            <w:tcW w:w="1608" w:type="dxa"/>
            <w:gridSpan w:val="2"/>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 w:cs="Times New Roman"/>
                <w:b/>
                <w:color w:val="000000" w:themeColor="text1"/>
                <w:kern w:val="0"/>
                <w:szCs w:val="21"/>
                <w14:textFill>
                  <w14:solidFill>
                    <w14:schemeClr w14:val="tx1"/>
                  </w14:solidFill>
                </w14:textFill>
              </w:rPr>
            </w:pPr>
            <w:r>
              <w:rPr>
                <w:rFonts w:ascii="Times New Roman" w:hAnsi="Times New Roman" w:eastAsia="仿宋" w:cs="Times New Roman"/>
                <w:b/>
                <w:color w:val="000000" w:themeColor="text1"/>
                <w:kern w:val="0"/>
                <w:szCs w:val="21"/>
                <w14:textFill>
                  <w14:solidFill>
                    <w14:schemeClr w14:val="tx1"/>
                  </w14:solidFill>
                </w14:textFill>
              </w:rPr>
              <w:t>内窥镜手术器械控制系统（手术机器人）</w:t>
            </w:r>
          </w:p>
        </w:tc>
        <w:tc>
          <w:tcPr>
            <w:tcW w:w="1429" w:type="dxa"/>
            <w:gridSpan w:val="2"/>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 w:cs="Times New Roman"/>
                <w:b/>
                <w:color w:val="000000" w:themeColor="text1"/>
                <w:kern w:val="0"/>
                <w:szCs w:val="21"/>
                <w14:textFill>
                  <w14:solidFill>
                    <w14:schemeClr w14:val="tx1"/>
                  </w14:solidFill>
                </w14:textFill>
              </w:rPr>
            </w:pPr>
            <w:r>
              <w:rPr>
                <w:rFonts w:ascii="Times New Roman" w:hAnsi="Times New Roman" w:eastAsia="仿宋" w:cs="Times New Roman"/>
                <w:b/>
                <w:bCs/>
                <w:color w:val="000000" w:themeColor="text1"/>
                <w:kern w:val="0"/>
                <w:szCs w:val="21"/>
                <w14:textFill>
                  <w14:solidFill>
                    <w14:schemeClr w14:val="tx1"/>
                  </w14:solidFill>
                </w14:textFill>
              </w:rPr>
              <w:t>64排及以上X线计算机断层扫描仪</w:t>
            </w:r>
          </w:p>
        </w:tc>
        <w:tc>
          <w:tcPr>
            <w:tcW w:w="1378" w:type="dxa"/>
            <w:gridSpan w:val="2"/>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 w:cs="Times New Roman"/>
                <w:b/>
                <w:color w:val="000000" w:themeColor="text1"/>
                <w:kern w:val="0"/>
                <w:szCs w:val="21"/>
                <w14:textFill>
                  <w14:solidFill>
                    <w14:schemeClr w14:val="tx1"/>
                  </w14:solidFill>
                </w14:textFill>
              </w:rPr>
            </w:pPr>
            <w:r>
              <w:rPr>
                <w:rFonts w:ascii="Times New Roman" w:hAnsi="Times New Roman" w:eastAsia="仿宋" w:cs="Times New Roman"/>
                <w:b/>
                <w:color w:val="000000" w:themeColor="text1"/>
                <w:kern w:val="0"/>
                <w:szCs w:val="21"/>
                <w14:textFill>
                  <w14:solidFill>
                    <w14:schemeClr w14:val="tx1"/>
                  </w14:solidFill>
                </w14:textFill>
              </w:rPr>
              <w:t>1.5T及以上磁共振成像系统</w:t>
            </w:r>
          </w:p>
        </w:tc>
        <w:tc>
          <w:tcPr>
            <w:tcW w:w="1601" w:type="dxa"/>
            <w:gridSpan w:val="2"/>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 w:cs="Times New Roman"/>
                <w:b/>
                <w:color w:val="000000" w:themeColor="text1"/>
                <w:kern w:val="0"/>
                <w:szCs w:val="21"/>
                <w14:textFill>
                  <w14:solidFill>
                    <w14:schemeClr w14:val="tx1"/>
                  </w14:solidFill>
                </w14:textFill>
              </w:rPr>
            </w:pPr>
            <w:r>
              <w:rPr>
                <w:rFonts w:ascii="Times New Roman" w:hAnsi="Times New Roman" w:eastAsia="仿宋" w:cs="Times New Roman"/>
                <w:b/>
                <w:color w:val="000000" w:themeColor="text1"/>
                <w:kern w:val="0"/>
                <w:szCs w:val="21"/>
                <w14:textFill>
                  <w14:solidFill>
                    <w14:schemeClr w14:val="tx1"/>
                  </w14:solidFill>
                </w14:textFill>
              </w:rPr>
              <w:t>直线加速器（含X刀）</w:t>
            </w:r>
          </w:p>
        </w:tc>
      </w:tr>
      <w:tr>
        <w:tblPrEx>
          <w:tblLayout w:type="fixed"/>
          <w:tblCellMar>
            <w:top w:w="0" w:type="dxa"/>
            <w:left w:w="108" w:type="dxa"/>
            <w:bottom w:w="0" w:type="dxa"/>
            <w:right w:w="108" w:type="dxa"/>
          </w:tblCellMar>
        </w:tblPrEx>
        <w:trPr>
          <w:trHeight w:val="525"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b/>
                <w:bCs/>
                <w:color w:val="000000" w:themeColor="text1"/>
                <w:kern w:val="0"/>
                <w:szCs w:val="21"/>
                <w14:textFill>
                  <w14:solidFill>
                    <w14:schemeClr w14:val="tx1"/>
                  </w14:solidFill>
                </w14:textFill>
              </w:rPr>
            </w:pPr>
            <w:r>
              <w:rPr>
                <w:rFonts w:ascii="Times New Roman" w:hAnsi="Times New Roman" w:eastAsia="仿宋" w:cs="Times New Roman"/>
                <w:b/>
                <w:bCs/>
                <w:color w:val="000000" w:themeColor="text1"/>
                <w:kern w:val="0"/>
                <w:szCs w:val="21"/>
                <w14:textFill>
                  <w14:solidFill>
                    <w14:schemeClr w14:val="tx1"/>
                  </w14:solidFill>
                </w14:textFill>
              </w:rPr>
              <w:t>年份</w:t>
            </w:r>
          </w:p>
        </w:tc>
        <w:tc>
          <w:tcPr>
            <w:tcW w:w="68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2020</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 xml:space="preserve">2025 </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2020</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 xml:space="preserve">2025 </w:t>
            </w:r>
          </w:p>
        </w:tc>
        <w:tc>
          <w:tcPr>
            <w:tcW w:w="6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2020</w:t>
            </w:r>
          </w:p>
        </w:tc>
        <w:tc>
          <w:tcPr>
            <w:tcW w:w="7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 xml:space="preserve">2025 </w:t>
            </w:r>
          </w:p>
        </w:tc>
        <w:tc>
          <w:tcPr>
            <w:tcW w:w="7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2020</w:t>
            </w:r>
          </w:p>
        </w:tc>
        <w:tc>
          <w:tcPr>
            <w:tcW w:w="66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 xml:space="preserve">2025 </w:t>
            </w:r>
          </w:p>
        </w:tc>
        <w:tc>
          <w:tcPr>
            <w:tcW w:w="77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2020</w:t>
            </w:r>
          </w:p>
        </w:tc>
        <w:tc>
          <w:tcPr>
            <w:tcW w:w="8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2025</w:t>
            </w:r>
          </w:p>
        </w:tc>
      </w:tr>
      <w:tr>
        <w:tblPrEx>
          <w:tblLayout w:type="fixed"/>
          <w:tblCellMar>
            <w:top w:w="0" w:type="dxa"/>
            <w:left w:w="108" w:type="dxa"/>
            <w:bottom w:w="0" w:type="dxa"/>
            <w:right w:w="108" w:type="dxa"/>
          </w:tblCellMar>
        </w:tblPrEx>
        <w:trPr>
          <w:trHeight w:val="652" w:hRule="exac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b/>
                <w:bCs/>
                <w:color w:val="000000" w:themeColor="text1"/>
                <w:kern w:val="0"/>
                <w:szCs w:val="21"/>
                <w14:textFill>
                  <w14:solidFill>
                    <w14:schemeClr w14:val="tx1"/>
                  </w14:solidFill>
                </w14:textFill>
              </w:rPr>
            </w:pPr>
            <w:r>
              <w:rPr>
                <w:rFonts w:ascii="Times New Roman" w:hAnsi="Times New Roman" w:eastAsia="仿宋" w:cs="Times New Roman"/>
                <w:b/>
                <w:bCs/>
                <w:color w:val="000000" w:themeColor="text1"/>
                <w:kern w:val="0"/>
                <w:szCs w:val="21"/>
                <w14:textFill>
                  <w14:solidFill>
                    <w14:schemeClr w14:val="tx1"/>
                  </w14:solidFill>
                </w14:textFill>
              </w:rPr>
              <w:t>全区配置数/计划数</w:t>
            </w:r>
          </w:p>
        </w:tc>
        <w:tc>
          <w:tcPr>
            <w:tcW w:w="68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0</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0</w:t>
            </w:r>
          </w:p>
        </w:tc>
        <w:tc>
          <w:tcPr>
            <w:tcW w:w="89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3</w:t>
            </w:r>
          </w:p>
        </w:tc>
        <w:tc>
          <w:tcPr>
            <w:tcW w:w="6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w:t>
            </w:r>
          </w:p>
        </w:tc>
        <w:tc>
          <w:tcPr>
            <w:tcW w:w="7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4</w:t>
            </w:r>
          </w:p>
        </w:tc>
        <w:tc>
          <w:tcPr>
            <w:tcW w:w="7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3</w:t>
            </w:r>
          </w:p>
        </w:tc>
        <w:tc>
          <w:tcPr>
            <w:tcW w:w="66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6</w:t>
            </w:r>
          </w:p>
        </w:tc>
        <w:tc>
          <w:tcPr>
            <w:tcW w:w="77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0</w:t>
            </w:r>
          </w:p>
        </w:tc>
        <w:tc>
          <w:tcPr>
            <w:tcW w:w="8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2</w:t>
            </w:r>
          </w:p>
        </w:tc>
      </w:tr>
    </w:tbl>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64" w:name="_Toc21821"/>
      <w:bookmarkStart w:id="65" w:name="_Toc28745"/>
      <w:bookmarkStart w:id="66" w:name="_Toc4383"/>
      <w:bookmarkStart w:id="67" w:name="_Toc16308"/>
      <w:bookmarkStart w:id="68" w:name="_Toc21596"/>
      <w:bookmarkStart w:id="69" w:name="_Toc19021"/>
      <w:bookmarkStart w:id="70" w:name="_Toc24556"/>
      <w:bookmarkStart w:id="71" w:name="_Toc19322"/>
      <w:r>
        <w:rPr>
          <w:rFonts w:ascii="Times New Roman" w:hAnsi="Times New Roman" w:eastAsia="方正仿宋_GBK" w:cs="Times New Roman"/>
          <w:color w:val="000000" w:themeColor="text1"/>
          <w:sz w:val="32"/>
          <w:szCs w:val="32"/>
          <w14:textFill>
            <w14:solidFill>
              <w14:schemeClr w14:val="tx1"/>
            </w14:solidFill>
          </w14:textFill>
        </w:rPr>
        <w:t>根据保障公共卫生安全需要，配置和更新专业公共卫生机构实验室检测、救治、卫生应急和信息化设施设备。承担重大传染病救治和紧急医学救援任务的医疗机构要加强ECMO（体外膜肺氧合）、移动CT、移动手术室、呼吸机、监护仪、负压救护车、负压担架、背囊化装备等设备配置，完善PCR（聚合酶链式反应）等检验检测仪器配置。加强救护车、应急指挥车、专业救援车、队员运输车和</w:t>
      </w:r>
      <w:r>
        <w:rPr>
          <w:rFonts w:hint="eastAsia" w:ascii="Times New Roman" w:hAnsi="Times New Roman" w:eastAsia="方正仿宋_GBK" w:cs="Times New Roman"/>
          <w:color w:val="000000" w:themeColor="text1"/>
          <w:sz w:val="32"/>
          <w:szCs w:val="32"/>
          <w14:textFill>
            <w14:solidFill>
              <w14:schemeClr w14:val="tx1"/>
            </w14:solidFill>
          </w14:textFill>
        </w:rPr>
        <w:t>卫星通信</w:t>
      </w:r>
      <w:r>
        <w:rPr>
          <w:rFonts w:ascii="Times New Roman" w:hAnsi="Times New Roman" w:eastAsia="方正仿宋_GBK" w:cs="Times New Roman"/>
          <w:color w:val="000000" w:themeColor="text1"/>
          <w:sz w:val="32"/>
          <w:szCs w:val="32"/>
          <w14:textFill>
            <w14:solidFill>
              <w14:schemeClr w14:val="tx1"/>
            </w14:solidFill>
          </w14:textFill>
        </w:rPr>
        <w:t>等应急救援工具和设备配置。到2025年，急救车辆数量达到每万人1辆，</w:t>
      </w:r>
      <w:r>
        <w:rPr>
          <w:rFonts w:hint="eastAsia" w:ascii="Times New Roman" w:hAnsi="Times New Roman" w:eastAsia="方正仿宋_GBK" w:cs="Times New Roman"/>
          <w:color w:val="000000" w:themeColor="text1"/>
          <w:sz w:val="32"/>
          <w:szCs w:val="32"/>
          <w14:textFill>
            <w14:solidFill>
              <w14:schemeClr w14:val="tx1"/>
            </w14:solidFill>
          </w14:textFill>
        </w:rPr>
        <w:t>负压救护车不少于10辆，</w:t>
      </w:r>
      <w:r>
        <w:rPr>
          <w:rFonts w:ascii="Times New Roman" w:hAnsi="Times New Roman" w:eastAsia="方正仿宋_GBK" w:cs="Times New Roman"/>
          <w:color w:val="000000" w:themeColor="text1"/>
          <w:sz w:val="32"/>
          <w:szCs w:val="32"/>
          <w14:textFill>
            <w14:solidFill>
              <w14:schemeClr w14:val="tx1"/>
            </w14:solidFill>
          </w14:textFill>
        </w:rPr>
        <w:t>急救平均反应时间≤16分钟，实现院前急救网络医院</w:t>
      </w:r>
      <w:r>
        <w:rPr>
          <w:rFonts w:hint="eastAsia" w:ascii="Times New Roman" w:hAnsi="Times New Roman" w:eastAsia="方正仿宋_GBK" w:cs="Times New Roman"/>
          <w:color w:val="000000" w:themeColor="text1"/>
          <w:sz w:val="32"/>
          <w:szCs w:val="32"/>
          <w14:textFill>
            <w14:solidFill>
              <w14:schemeClr w14:val="tx1"/>
            </w14:solidFill>
          </w14:textFill>
        </w:rPr>
        <w:t>接诊</w:t>
      </w:r>
      <w:r>
        <w:rPr>
          <w:rFonts w:ascii="Times New Roman" w:hAnsi="Times New Roman" w:eastAsia="方正仿宋_GBK" w:cs="Times New Roman"/>
          <w:color w:val="000000" w:themeColor="text1"/>
          <w:sz w:val="32"/>
          <w:szCs w:val="32"/>
          <w14:textFill>
            <w14:solidFill>
              <w14:schemeClr w14:val="tx1"/>
            </w14:solidFill>
          </w14:textFill>
        </w:rPr>
        <w:t>覆盖率100%。</w:t>
      </w:r>
      <w:bookmarkEnd w:id="64"/>
      <w:bookmarkEnd w:id="6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72" w:name="_Toc15608"/>
      <w:bookmarkStart w:id="73" w:name="_Toc25867"/>
      <w:r>
        <w:rPr>
          <w:rFonts w:ascii="Times New Roman" w:hAnsi="Times New Roman" w:eastAsia="方正楷体_GBK" w:cs="Times New Roman"/>
          <w:color w:val="000000" w:themeColor="text1"/>
          <w:sz w:val="32"/>
          <w:szCs w:val="32"/>
          <w14:textFill>
            <w14:solidFill>
              <w14:schemeClr w14:val="tx1"/>
            </w14:solidFill>
          </w14:textFill>
        </w:rPr>
        <w:t>（五）技术配置</w:t>
      </w:r>
      <w:bookmarkEnd w:id="66"/>
      <w:bookmarkEnd w:id="67"/>
      <w:bookmarkEnd w:id="68"/>
      <w:bookmarkEnd w:id="69"/>
      <w:bookmarkEnd w:id="70"/>
      <w:bookmarkEnd w:id="71"/>
      <w:bookmarkEnd w:id="72"/>
      <w:bookmarkEnd w:id="73"/>
    </w:p>
    <w:bookmarkEnd w:id="47"/>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强化医疗机构主体责任，加强医疗技术临床应用准入和分类分级管理，完善医疗技术临床应用负面清单管理，开展医疗技术临床应用评估。加强对临床专科建设发展的规划引导和支持，发挥其示范、引领、带动和辐射作用。到2025年，力争市级、国家级重点学科（专科）在现有基础上有新增。</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74" w:name="_Toc24515"/>
      <w:bookmarkStart w:id="75" w:name="_Toc20080"/>
      <w:bookmarkStart w:id="76" w:name="_Toc7480"/>
      <w:bookmarkStart w:id="77" w:name="_Toc8337"/>
      <w:bookmarkStart w:id="78" w:name="_Toc13408"/>
      <w:bookmarkStart w:id="79" w:name="_Toc24980"/>
      <w:bookmarkStart w:id="80" w:name="_Toc18710"/>
      <w:bookmarkStart w:id="81" w:name="_Toc913"/>
      <w:r>
        <w:rPr>
          <w:rFonts w:ascii="Times New Roman" w:hAnsi="Times New Roman" w:eastAsia="方正楷体_GBK" w:cs="Times New Roman"/>
          <w:color w:val="000000" w:themeColor="text1"/>
          <w:sz w:val="32"/>
          <w:szCs w:val="32"/>
          <w14:textFill>
            <w14:solidFill>
              <w14:schemeClr w14:val="tx1"/>
            </w14:solidFill>
          </w14:textFill>
        </w:rPr>
        <w:t>（六）信息资源配置</w:t>
      </w:r>
      <w:bookmarkEnd w:id="74"/>
      <w:bookmarkEnd w:id="75"/>
      <w:bookmarkEnd w:id="76"/>
      <w:bookmarkEnd w:id="77"/>
      <w:bookmarkEnd w:id="78"/>
      <w:bookmarkEnd w:id="79"/>
      <w:bookmarkEnd w:id="80"/>
      <w:bookmarkEnd w:id="81"/>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加强信息化基础建设，夯实卫生健康信息基础，开展卫生信息系统上</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云</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，加快信息系统互联互通，深化健康数据共享程度，完善</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互联网+医疗</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应用，拓展公共卫生系统功能，推进健康信息管理。优化完善全区健康医疗大数据平台，推进电子健康档案在线查询和规范使用，推动二级以上公立医疗机构间电子病历、检查检验结果、医学影像资料等共享互认。</w:t>
      </w:r>
    </w:p>
    <w:p>
      <w:pPr>
        <w:pStyle w:val="19"/>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jc w:val="both"/>
        <w:rPr>
          <w:rFonts w:ascii="Times New Roman" w:eastAsia="方正黑体_GBK"/>
          <w:color w:val="000000" w:themeColor="text1"/>
          <w:sz w:val="32"/>
          <w:szCs w:val="32"/>
          <w14:textFill>
            <w14:solidFill>
              <w14:schemeClr w14:val="tx1"/>
            </w14:solidFill>
          </w14:textFill>
        </w:rPr>
      </w:pPr>
      <w:bookmarkStart w:id="82" w:name="_Toc15174"/>
      <w:bookmarkStart w:id="83" w:name="_Toc26966"/>
      <w:r>
        <w:rPr>
          <w:rFonts w:ascii="Times New Roman" w:eastAsia="方正黑体_GBK"/>
          <w:color w:val="000000" w:themeColor="text1"/>
          <w:sz w:val="32"/>
          <w:szCs w:val="32"/>
          <w14:textFill>
            <w14:solidFill>
              <w14:schemeClr w14:val="tx1"/>
            </w14:solidFill>
          </w14:textFill>
        </w:rPr>
        <w:t>四、构建</w:t>
      </w:r>
      <w:r>
        <w:rPr>
          <w:rFonts w:hint="eastAsia" w:ascii="Times New Roman" w:eastAsia="方正黑体_GBK"/>
          <w:color w:val="000000" w:themeColor="text1"/>
          <w:sz w:val="32"/>
          <w:szCs w:val="32"/>
          <w14:textFill>
            <w14:solidFill>
              <w14:schemeClr w14:val="tx1"/>
            </w14:solidFill>
          </w14:textFill>
        </w:rPr>
        <w:t>完善的</w:t>
      </w:r>
      <w:r>
        <w:rPr>
          <w:rFonts w:ascii="Times New Roman" w:eastAsia="方正黑体_GBK"/>
          <w:color w:val="000000" w:themeColor="text1"/>
          <w:sz w:val="32"/>
          <w:szCs w:val="32"/>
          <w14:textFill>
            <w14:solidFill>
              <w14:schemeClr w14:val="tx1"/>
            </w14:solidFill>
          </w14:textFill>
        </w:rPr>
        <w:t>公共卫生体系</w:t>
      </w:r>
      <w:bookmarkEnd w:id="82"/>
      <w:bookmarkEnd w:id="83"/>
    </w:p>
    <w:p>
      <w:pPr>
        <w:keepNext w:val="0"/>
        <w:keepLines w:val="0"/>
        <w:pageBreakBefore w:val="0"/>
        <w:widowControl w:val="0"/>
        <w:pBdr>
          <w:top w:val="none" w:color="auto" w:sz="0" w:space="1"/>
          <w:left w:val="none" w:color="auto" w:sz="0" w:space="4"/>
          <w:bottom w:val="none" w:color="auto" w:sz="0" w:space="4"/>
          <w:right w:val="none" w:color="auto" w:sz="0" w:space="4"/>
        </w:pBdr>
        <w:kinsoku/>
        <w:wordWrap/>
        <w:overflowPunct/>
        <w:topLinePunct w:val="0"/>
        <w:autoSpaceDE/>
        <w:autoSpaceDN/>
        <w:bidi w:val="0"/>
        <w:adjustRightInd/>
        <w:snapToGrid/>
        <w:spacing w:line="52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84" w:name="_Toc29532"/>
      <w:bookmarkStart w:id="85" w:name="_Toc17410"/>
      <w:r>
        <w:rPr>
          <w:rFonts w:ascii="Times New Roman" w:hAnsi="Times New Roman" w:eastAsia="方正楷体_GBK" w:cs="Times New Roman"/>
          <w:color w:val="000000" w:themeColor="text1"/>
          <w:sz w:val="32"/>
          <w:szCs w:val="32"/>
          <w14:textFill>
            <w14:solidFill>
              <w14:schemeClr w14:val="tx1"/>
            </w14:solidFill>
          </w14:textFill>
        </w:rPr>
        <w:t>（一）功能定位</w:t>
      </w:r>
      <w:bookmarkEnd w:id="84"/>
      <w:bookmarkEnd w:id="8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1.疾病预防控制体系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以疾病预防控制机构和专科疾病防治机构为骨干，医疗机构为依托，基层医疗卫生机构为网底，承担重大疾病监测预警、检验检测、调查处置、综合干预等任务，筑牢重大疾病防控的第一道防线。</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2.传染病和突发公共卫生事件监测预警和应急响应体系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以疾病预防控制机构为主体，以医院和基层医疗卫生机构等为哨点，以信息化和大数据技术为支撑，建立相关部门之间监测预警机制，实现传染病疫情早发现、早报告、早隔离、早处置，巩固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联防联控、群防群控、平急结合</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长效机制。</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xml:space="preserve">3.传染病和突发公共卫生事件救治体系    </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主要包括传染病救治机构以及依托医疗卫生机构建立的紧急医学救援基地，承担传染病疫情和突发公共卫生事件发生时患者转运和集中救治任务，着力提高收治率和治愈率、降低感染率和病亡率。</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86" w:name="_Toc21734"/>
      <w:bookmarkStart w:id="87" w:name="_Toc16071"/>
      <w:bookmarkStart w:id="88" w:name="_Toc24580"/>
      <w:r>
        <w:rPr>
          <w:rFonts w:ascii="Times New Roman" w:hAnsi="Times New Roman" w:eastAsia="方正仿宋_GBK" w:cs="Times New Roman"/>
          <w:color w:val="000000" w:themeColor="text1"/>
          <w:sz w:val="32"/>
          <w:szCs w:val="32"/>
          <w14:textFill>
            <w14:solidFill>
              <w14:schemeClr w14:val="tx1"/>
            </w14:solidFill>
          </w14:textFill>
        </w:rPr>
        <w:t>4.中医药应急防控救治体系</w:t>
      </w:r>
      <w:bookmarkEnd w:id="86"/>
      <w:bookmarkEnd w:id="87"/>
      <w:bookmarkEnd w:id="88"/>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89" w:name="_Toc21745"/>
      <w:bookmarkStart w:id="90" w:name="_Toc32222"/>
      <w:bookmarkStart w:id="91" w:name="_Toc5082"/>
      <w:r>
        <w:rPr>
          <w:rFonts w:ascii="Times New Roman" w:hAnsi="Times New Roman" w:eastAsia="方正仿宋_GBK" w:cs="Times New Roman"/>
          <w:color w:val="000000" w:themeColor="text1"/>
          <w:sz w:val="32"/>
          <w:szCs w:val="32"/>
          <w14:textFill>
            <w14:solidFill>
              <w14:schemeClr w14:val="tx1"/>
            </w14:solidFill>
          </w14:textFill>
        </w:rPr>
        <w:t>以中医疫病防治队伍和紧急医学救援队伍、</w:t>
      </w:r>
      <w:r>
        <w:rPr>
          <w:rFonts w:hint="eastAsia" w:ascii="Times New Roman" w:hAnsi="Times New Roman" w:eastAsia="方正仿宋_GBK" w:cs="Times New Roman"/>
          <w:color w:val="000000" w:themeColor="text1"/>
          <w:sz w:val="32"/>
          <w:szCs w:val="32"/>
          <w14:textFill>
            <w14:solidFill>
              <w14:schemeClr w14:val="tx1"/>
            </w14:solidFill>
          </w14:textFill>
        </w:rPr>
        <w:t>区</w:t>
      </w:r>
      <w:r>
        <w:rPr>
          <w:rFonts w:ascii="Times New Roman" w:hAnsi="Times New Roman" w:eastAsia="方正仿宋_GBK" w:cs="Times New Roman"/>
          <w:color w:val="000000" w:themeColor="text1"/>
          <w:sz w:val="32"/>
          <w:szCs w:val="32"/>
          <w14:textFill>
            <w14:solidFill>
              <w14:schemeClr w14:val="tx1"/>
            </w14:solidFill>
          </w14:textFill>
        </w:rPr>
        <w:t>中医院感染性疾病科等为主体，防控、救治、康复有效衔接，在新发、突发传染病疫情防治和公共卫生事件应急处置</w:t>
      </w:r>
      <w:r>
        <w:rPr>
          <w:rFonts w:hint="eastAsia" w:ascii="Times New Roman" w:hAnsi="Times New Roman" w:eastAsia="方正仿宋_GBK" w:cs="Times New Roman"/>
          <w:color w:val="000000" w:themeColor="text1"/>
          <w:sz w:val="32"/>
          <w:szCs w:val="32"/>
          <w14:textFill>
            <w14:solidFill>
              <w14:schemeClr w14:val="tx1"/>
            </w14:solidFill>
          </w14:textFill>
        </w:rPr>
        <w:t>中</w:t>
      </w:r>
      <w:r>
        <w:rPr>
          <w:rFonts w:ascii="Times New Roman" w:hAnsi="Times New Roman" w:eastAsia="方正仿宋_GBK" w:cs="Times New Roman"/>
          <w:color w:val="000000" w:themeColor="text1"/>
          <w:sz w:val="32"/>
          <w:szCs w:val="32"/>
          <w14:textFill>
            <w14:solidFill>
              <w14:schemeClr w14:val="tx1"/>
            </w14:solidFill>
          </w14:textFill>
        </w:rPr>
        <w:t>发挥独特作用。</w:t>
      </w:r>
      <w:bookmarkEnd w:id="89"/>
      <w:bookmarkEnd w:id="90"/>
      <w:bookmarkEnd w:id="91"/>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92" w:name="_Toc26730"/>
      <w:bookmarkStart w:id="93" w:name="_Toc11483"/>
      <w:r>
        <w:rPr>
          <w:rFonts w:ascii="Times New Roman" w:hAnsi="Times New Roman" w:eastAsia="方正楷体_GBK" w:cs="Times New Roman"/>
          <w:color w:val="000000" w:themeColor="text1"/>
          <w:sz w:val="32"/>
          <w:szCs w:val="32"/>
          <w14:textFill>
            <w14:solidFill>
              <w14:schemeClr w14:val="tx1"/>
            </w14:solidFill>
          </w14:textFill>
        </w:rPr>
        <w:t>（二）</w:t>
      </w:r>
      <w:bookmarkEnd w:id="92"/>
      <w:r>
        <w:rPr>
          <w:rFonts w:ascii="Times New Roman" w:hAnsi="Times New Roman" w:eastAsia="方正楷体_GBK" w:cs="Times New Roman"/>
          <w:color w:val="000000" w:themeColor="text1"/>
          <w:sz w:val="32"/>
          <w:szCs w:val="32"/>
          <w14:textFill>
            <w14:solidFill>
              <w14:schemeClr w14:val="tx1"/>
            </w14:solidFill>
          </w14:textFill>
        </w:rPr>
        <w:t>建设现代化基本预防控制体系</w:t>
      </w:r>
      <w:bookmarkEnd w:id="9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1.完善公共卫生服务网络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完善以区疾控中心、</w:t>
      </w:r>
      <w:r>
        <w:rPr>
          <w:rFonts w:hint="eastAsia" w:ascii="Times New Roman" w:hAnsi="Times New Roman" w:eastAsia="方正仿宋_GBK" w:cs="Times New Roman"/>
          <w:color w:val="000000" w:themeColor="text1"/>
          <w:sz w:val="32"/>
          <w:szCs w:val="32"/>
          <w14:textFill>
            <w14:solidFill>
              <w14:schemeClr w14:val="tx1"/>
            </w14:solidFill>
          </w14:textFill>
        </w:rPr>
        <w:t>区</w:t>
      </w:r>
      <w:r>
        <w:rPr>
          <w:rFonts w:ascii="Times New Roman" w:hAnsi="Times New Roman" w:eastAsia="方正仿宋_GBK" w:cs="Times New Roman"/>
          <w:color w:val="000000" w:themeColor="text1"/>
          <w:sz w:val="32"/>
          <w:szCs w:val="32"/>
          <w14:textFill>
            <w14:solidFill>
              <w14:schemeClr w14:val="tx1"/>
            </w14:solidFill>
          </w14:textFill>
        </w:rPr>
        <w:t>妇幼保健院、区精神卫生中心为核心，区级以上公立医院为支撑，基层医疗卫生机构为网底的三级公共卫生服务网络。围绕</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防、治、管</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三个环节，进一步统筹疾控机构、区级医疗机构、基层医疗卫生单位三方力量，建立分工协作、优势互补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三位一体</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的疾病防控体系。强化区疾控中心疾病预防控制和健康管理的组织实施、技术指导、监测评估、流行病学调查、应急处置等职能，加强疾控机构对医疗卫生机构疾控工作的技术指导和监督考核。</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2.加强区疾控中心能力建设</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全面启动区</w:t>
      </w:r>
      <w:r>
        <w:rPr>
          <w:rFonts w:hint="eastAsia" w:ascii="Times New Roman" w:hAnsi="Times New Roman" w:eastAsia="方正仿宋_GBK" w:cs="Times New Roman"/>
          <w:color w:val="000000" w:themeColor="text1"/>
          <w:sz w:val="32"/>
          <w:szCs w:val="32"/>
          <w14:textFill>
            <w14:solidFill>
              <w14:schemeClr w14:val="tx1"/>
            </w14:solidFill>
          </w14:textFill>
        </w:rPr>
        <w:t>疾病预防控制</w:t>
      </w:r>
      <w:r>
        <w:rPr>
          <w:rFonts w:ascii="Times New Roman" w:hAnsi="Times New Roman" w:eastAsia="方正仿宋_GBK" w:cs="Times New Roman"/>
          <w:color w:val="000000" w:themeColor="text1"/>
          <w:sz w:val="32"/>
          <w:szCs w:val="32"/>
          <w14:textFill>
            <w14:solidFill>
              <w14:schemeClr w14:val="tx1"/>
            </w14:solidFill>
          </w14:textFill>
        </w:rPr>
        <w:t>中心建设，按照编制科学配备疾病预防控制中心专业人员，推进区疾控中心创建等级疾控中心工作，提升疾病预防控制机构能力，强化疾病预防控制机构的流行病学调查、实验室检测、应急处置等职能。加强疾病预防控制机构实验室能力建设，做好仪器设备配备、检测人员配置和培训、生物安全等相关工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3.强化疾病预防控制人才建设</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疾控人才队伍建设，建立适应现代化疾控体系的人才培养使用机制。到2025年，每千人口疾病预防控制机构人员数达到0.18人。加强疾病预防控制机构骨干人才培养，到2025年，所有新入职的公共卫生医师上岗前均经过规范化培训。</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94" w:name="_Toc11527"/>
      <w:bookmarkStart w:id="95" w:name="_Toc11190"/>
      <w:r>
        <w:rPr>
          <w:rFonts w:ascii="Times New Roman" w:hAnsi="Times New Roman" w:eastAsia="方正楷体_GBK" w:cs="Times New Roman"/>
          <w:color w:val="000000" w:themeColor="text1"/>
          <w:sz w:val="32"/>
          <w:szCs w:val="32"/>
          <w14:textFill>
            <w14:solidFill>
              <w14:schemeClr w14:val="tx1"/>
            </w14:solidFill>
          </w14:textFill>
        </w:rPr>
        <w:t>（三）</w:t>
      </w:r>
      <w:bookmarkEnd w:id="94"/>
      <w:r>
        <w:rPr>
          <w:rFonts w:ascii="Times New Roman" w:hAnsi="Times New Roman" w:eastAsia="方正楷体_GBK" w:cs="Times New Roman"/>
          <w:color w:val="000000" w:themeColor="text1"/>
          <w:sz w:val="32"/>
          <w:szCs w:val="32"/>
          <w14:textFill>
            <w14:solidFill>
              <w14:schemeClr w14:val="tx1"/>
            </w14:solidFill>
          </w14:textFill>
        </w:rPr>
        <w:t>健全传染病和突发公共卫生事件救治体系</w:t>
      </w:r>
      <w:bookmarkEnd w:id="9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1.健全传染病和突发公共卫生事件医疗救治网络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突出平急转换，全面加强公立医院传染病救治能力建设，加强我区传染病医疗救治网络建设，二级及以上综合医院（含中医医院）设置感染性疾病科，并在相对独立的区域规范设置发热门诊和留观室，全面提高应对传染病疫情的医疗救治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扩大传染病集中收治容量，完成重庆市第九人民医院感染科改扩建工程，适度增加传染病床位，提高传染病检测和诊治能力。按照编制床位的2%—5%设置重症监护病床。二级以上综合医院（含区中医院）感染性疾病科应配置一定数量的负压病房（2—10间，2—20张床位）和至少1间负压手术室。</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开展社区卫生服务中心、镇（中心）卫生院发热门诊（诊室）、肠道门诊（诊室）和预防接种门诊规范化建设。到2025年，社区卫生服务中心和乡镇卫生院设置发热门诊（诊室、哨点）的比例达到100%。推进区天生街道、歇马街道社区卫生服务中心发热门诊改建项目、区中医院碚峡路院区发热门诊及病房改建工程项目，着力推进静观、柳荫片区规范化发热门诊（诊室）建设。</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2.提升传染病和突发公共卫生事件监测预警能力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加强重大传染病防治，加强传染病和健康危害因素监测预警，完善传染病监测系统，提升传染病检测</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一锤定音</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能力和突发传染病防控快速响应能力，到2025年，法定传染病报告率达到98%以上。加强突发公共卫生事件监测、风险评估和预警能力建设，完善公共卫生风险监测与预警、信息报送与公开、应急处置与救援全链条响应机制，动态调整突发公共卫生事件应急预案，实现对突发公共卫生事件精准有效处置。到2025年，突发公共卫生事件及突发事件紧急医学救援及时、规范、有效处置率达到100%，信息报告完整。</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3.优化急救网络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加快推进区卫生应急指挥中心建设，开展区域卫生应急联合演练、队伍分类模块训练，推进卫生应急标准化建设。提升全区120 调度指挥效率，加强院前急救培训，推进院前急救体系建设。依托九院、区中医院等医疗机构建立急救网络，负责服务区域内伤病员的现场急救、转运和医院内医疗救治。完善急诊科设置。镇（中心）卫生院和社区卫生服务中心设置急诊科或急诊室，二级及以上综合医院（含中医医院）设置急诊科。</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4.提升紧急医学救援能力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完善全区突发事件紧急医学救援力量布局，根据我区地理区域、交通状况和灾害事故特点等情况，建设紧急医学救援站点，建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设</w:t>
      </w:r>
      <w:r>
        <w:rPr>
          <w:rFonts w:ascii="Times New Roman" w:hAnsi="Times New Roman" w:eastAsia="方正仿宋_GBK" w:cs="Times New Roman"/>
          <w:color w:val="000000" w:themeColor="text1"/>
          <w:sz w:val="32"/>
          <w:szCs w:val="32"/>
          <w14:textFill>
            <w14:solidFill>
              <w14:schemeClr w14:val="tx1"/>
            </w14:solidFill>
          </w14:textFill>
        </w:rPr>
        <w:t>快速反应小分队，引导各级各类医疗卫生机构建立应急医疗队，有效提升第一时间的现场医学救援处置能力和伤员接收救治能力。到2025年，紧急医学救援及时、规范、有效处置率达到100%，信息报告完整率、及时率达到100%。</w:t>
      </w:r>
      <w:bookmarkStart w:id="96" w:name="_Toc27604"/>
      <w:bookmarkStart w:id="97" w:name="_Toc2339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（四）提升中医药应急防治能力</w:t>
      </w:r>
      <w:bookmarkEnd w:id="96"/>
      <w:bookmarkEnd w:id="9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1.推进建立中西医协作长效机制</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综合医院、专科医院、妇幼保健院中医临床科室和中药房建设，推动中医药人员第一时间全面参与突发公共卫生事件应急处置，探索建立中西医临床协作长效机制，充实公共卫生队伍中的中医药人员力量，推动中医药人员第一时间全面参与公共卫生应急处置和中医药防治举措全面融入应急预案和技术方案。</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2.提升中医疫病防治能力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依托区中医院，布局建设全区中医疫病防治中心，加强区中医院中医特色专科建设，</w:t>
      </w:r>
      <w:r>
        <w:rPr>
          <w:rFonts w:hint="eastAsia" w:ascii="Times New Roman" w:hAnsi="Times New Roman" w:eastAsia="方正仿宋_GBK" w:cs="Times New Roman"/>
          <w:color w:val="000000" w:themeColor="text1"/>
          <w:sz w:val="32"/>
          <w:szCs w:val="32"/>
          <w14:textFill>
            <w14:solidFill>
              <w14:schemeClr w14:val="tx1"/>
            </w14:solidFill>
          </w14:textFill>
        </w:rPr>
        <w:t>推进国家区域医疗中心（区中医院蔡家院区）一期项目建设，</w:t>
      </w:r>
      <w:r>
        <w:rPr>
          <w:rFonts w:ascii="Times New Roman" w:hAnsi="Times New Roman" w:eastAsia="方正仿宋_GBK" w:cs="Times New Roman"/>
          <w:color w:val="000000" w:themeColor="text1"/>
          <w:sz w:val="32"/>
          <w:szCs w:val="32"/>
          <w14:textFill>
            <w14:solidFill>
              <w14:schemeClr w14:val="tx1"/>
            </w14:solidFill>
          </w14:textFill>
        </w:rPr>
        <w:t>积极创建中医疾病救治基地、中医紧急医学救援基地、区域中医医疗中心，申报中西医协同旗舰项目、国家重大疑难疾病中西医临床协作试点。</w:t>
      </w:r>
      <w:bookmarkStart w:id="98" w:name="_Toc21544"/>
      <w:bookmarkStart w:id="99" w:name="_Toc14864"/>
    </w:p>
    <w:bookmarkEnd w:id="98"/>
    <w:tbl>
      <w:tblPr>
        <w:tblStyle w:val="14"/>
        <w:tblW w:w="840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00" w:type="dxa"/>
            <w:tcBorders>
              <w:top w:val="nil"/>
              <w:left w:val="nil"/>
              <w:bottom w:val="single" w:color="auto" w:sz="4" w:space="0"/>
              <w:right w:val="nil"/>
            </w:tcBorders>
          </w:tcPr>
          <w:p>
            <w:pPr>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专栏3  疾控体系和传染病医疗救治体系建设项目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400" w:type="dxa"/>
            <w:tcBorders>
              <w:top w:val="single" w:color="auto" w:sz="4" w:space="0"/>
            </w:tcBorders>
          </w:tcPr>
          <w:p>
            <w:pPr>
              <w:spacing w:line="570" w:lineRule="exact"/>
              <w:ind w:firstLine="560" w:firstLineChars="200"/>
              <w:rPr>
                <w:rFonts w:ascii="Times New Roman" w:hAnsi="Times New Roman" w:eastAsia="方正仿宋_GBK" w:cs="Times New Roman"/>
                <w:bCs/>
                <w:color w:val="000000" w:themeColor="text1"/>
                <w:sz w:val="28"/>
                <w:szCs w:val="28"/>
                <w14:textFill>
                  <w14:solidFill>
                    <w14:schemeClr w14:val="tx1"/>
                  </w14:solidFill>
                </w14:textFill>
              </w:rPr>
            </w:pPr>
            <w:r>
              <w:rPr>
                <w:rFonts w:ascii="Times New Roman" w:hAnsi="Times New Roman" w:eastAsia="方正仿宋_GBK" w:cs="Times New Roman"/>
                <w:bCs/>
                <w:color w:val="000000" w:themeColor="text1"/>
                <w:sz w:val="28"/>
                <w:szCs w:val="28"/>
                <w14:textFill>
                  <w14:solidFill>
                    <w14:schemeClr w14:val="tx1"/>
                  </w14:solidFill>
                </w14:textFill>
              </w:rPr>
              <w:t>1.区疾控中心基础设施建设工程。完成区疾控中心建设；加强实验室建设，配齐设备配备。</w:t>
            </w:r>
          </w:p>
          <w:p>
            <w:pPr>
              <w:spacing w:line="570" w:lineRule="exact"/>
              <w:ind w:firstLine="560" w:firstLineChars="200"/>
              <w:rPr>
                <w:rFonts w:ascii="Times New Roman" w:hAnsi="Times New Roman" w:eastAsia="方正仿宋_GBK" w:cs="Times New Roman"/>
                <w:bCs/>
                <w:color w:val="000000" w:themeColor="text1"/>
                <w:sz w:val="28"/>
                <w:szCs w:val="28"/>
                <w14:textFill>
                  <w14:solidFill>
                    <w14:schemeClr w14:val="tx1"/>
                  </w14:solidFill>
                </w14:textFill>
              </w:rPr>
            </w:pPr>
            <w:r>
              <w:rPr>
                <w:rFonts w:ascii="Times New Roman" w:hAnsi="Times New Roman" w:eastAsia="方正仿宋_GBK" w:cs="Times New Roman"/>
                <w:bCs/>
                <w:color w:val="000000" w:themeColor="text1"/>
                <w:sz w:val="28"/>
                <w:szCs w:val="28"/>
                <w14:textFill>
                  <w14:solidFill>
                    <w14:schemeClr w14:val="tx1"/>
                  </w14:solidFill>
                </w14:textFill>
              </w:rPr>
              <w:t>2.等级疾控中心创建。推进区疾控中心等级疾控中心创建工作。</w:t>
            </w:r>
          </w:p>
          <w:p>
            <w:pPr>
              <w:spacing w:line="570" w:lineRule="exact"/>
              <w:ind w:firstLine="560" w:firstLineChars="200"/>
              <w:rPr>
                <w:rFonts w:ascii="Times New Roman" w:hAnsi="Times New Roman" w:eastAsia="方正仿宋_GBK" w:cs="Times New Roman"/>
                <w:bCs/>
                <w:color w:val="000000" w:themeColor="text1"/>
                <w:sz w:val="28"/>
                <w:szCs w:val="28"/>
                <w14:textFill>
                  <w14:solidFill>
                    <w14:schemeClr w14:val="tx1"/>
                  </w14:solidFill>
                </w14:textFill>
              </w:rPr>
            </w:pPr>
            <w:r>
              <w:rPr>
                <w:rFonts w:ascii="Times New Roman" w:hAnsi="Times New Roman" w:eastAsia="方正仿宋_GBK" w:cs="Times New Roman"/>
                <w:bCs/>
                <w:color w:val="000000" w:themeColor="text1"/>
                <w:sz w:val="28"/>
                <w:szCs w:val="28"/>
                <w14:textFill>
                  <w14:solidFill>
                    <w14:schemeClr w14:val="tx1"/>
                  </w14:solidFill>
                </w14:textFill>
              </w:rPr>
              <w:t>3.</w:t>
            </w:r>
            <w:r>
              <w:rPr>
                <w:rFonts w:ascii="Times New Roman" w:hAnsi="Times New Roman" w:eastAsia="方正仿宋_GBK" w:cs="Times New Roman"/>
                <w:bCs/>
                <w:color w:val="000000" w:themeColor="text1"/>
                <w:spacing w:val="-14"/>
                <w:sz w:val="28"/>
                <w:szCs w:val="28"/>
                <w14:textFill>
                  <w14:solidFill>
                    <w14:schemeClr w14:val="tx1"/>
                  </w14:solidFill>
                </w14:textFill>
              </w:rPr>
              <w:t>传染病救治网络建设。完成市第九人民医院感染科改扩建项目。</w:t>
            </w:r>
          </w:p>
          <w:p>
            <w:pPr>
              <w:spacing w:line="570" w:lineRule="exact"/>
              <w:ind w:firstLine="560" w:firstLineChars="200"/>
              <w:rPr>
                <w:rFonts w:ascii="Times New Roman" w:hAnsi="Times New Roman" w:eastAsia="方正仿宋_GBK" w:cs="Times New Roman"/>
                <w:bCs/>
                <w:color w:val="000000" w:themeColor="text1"/>
                <w:sz w:val="28"/>
                <w:szCs w:val="28"/>
                <w14:textFill>
                  <w14:solidFill>
                    <w14:schemeClr w14:val="tx1"/>
                  </w14:solidFill>
                </w14:textFill>
              </w:rPr>
            </w:pPr>
            <w:r>
              <w:rPr>
                <w:rFonts w:ascii="Times New Roman" w:hAnsi="Times New Roman" w:eastAsia="方正仿宋_GBK" w:cs="Times New Roman"/>
                <w:bCs/>
                <w:color w:val="000000" w:themeColor="text1"/>
                <w:sz w:val="28"/>
                <w:szCs w:val="28"/>
                <w14:textFill>
                  <w14:solidFill>
                    <w14:schemeClr w14:val="tx1"/>
                  </w14:solidFill>
                </w14:textFill>
              </w:rPr>
              <w:t>4.传染病救治能力提升。</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方正仿宋_GBK" w:cs="Times New Roman"/>
                <w:bCs/>
                <w:color w:val="000000" w:themeColor="text1"/>
                <w:sz w:val="28"/>
                <w:szCs w:val="28"/>
                <w14:textFill>
                  <w14:solidFill>
                    <w14:schemeClr w14:val="tx1"/>
                  </w14:solidFill>
                </w14:textFill>
              </w:rPr>
              <w:t>区天生街道、歇马街道社区卫生服务中心发热门诊改建项目；</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方正仿宋_GBK" w:cs="Times New Roman"/>
                <w:bCs/>
                <w:color w:val="000000" w:themeColor="text1"/>
                <w:sz w:val="28"/>
                <w:szCs w:val="28"/>
                <w14:textFill>
                  <w14:solidFill>
                    <w14:schemeClr w14:val="tx1"/>
                  </w14:solidFill>
                </w14:textFill>
              </w:rPr>
              <w:t>区中医院碚峡路院区发热门诊及病房改建工程项目；推进静观、柳荫片区规范化发热门诊（诊室）建设。到2025年，社区卫生服务中心和镇（中心）卫生院规范化设置发热门诊（诊室、哨点）。</w:t>
            </w:r>
          </w:p>
          <w:p>
            <w:pPr>
              <w:spacing w:line="570" w:lineRule="exact"/>
              <w:ind w:firstLine="560" w:firstLineChars="200"/>
              <w:rPr>
                <w:rFonts w:ascii="Times New Roman" w:hAnsi="Times New Roman" w:eastAsia="方正仿宋_GBK" w:cs="Times New Roman"/>
                <w:color w:val="000000" w:themeColor="text1"/>
                <w14:textFill>
                  <w14:solidFill>
                    <w14:schemeClr w14:val="tx1"/>
                  </w14:solidFill>
                </w14:textFill>
              </w:rPr>
            </w:pPr>
            <w:r>
              <w:rPr>
                <w:rFonts w:ascii="Times New Roman" w:hAnsi="Times New Roman" w:eastAsia="方正仿宋_GBK" w:cs="Times New Roman"/>
                <w:bCs/>
                <w:color w:val="000000" w:themeColor="text1"/>
                <w:sz w:val="28"/>
                <w:szCs w:val="28"/>
                <w14:textFill>
                  <w14:solidFill>
                    <w14:schemeClr w14:val="tx1"/>
                  </w14:solidFill>
                </w14:textFill>
              </w:rPr>
              <w:t>5.应急技能提升工程。加快推进卫生应急指挥中心建设，推进卫生应急标准化建设；加强院前急救培训，推进院前急救体系建设。</w:t>
            </w:r>
          </w:p>
        </w:tc>
      </w:tr>
    </w:tbl>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pPr>
      <w:bookmarkStart w:id="100" w:name="_Toc6280"/>
      <w:r>
        <w:rPr>
          <w:rFonts w:ascii="Times New Roman" w:hAnsi="Times New Roman" w:eastAsia="方正楷体_GBK" w:cs="Times New Roman"/>
          <w:bCs/>
          <w:color w:val="000000" w:themeColor="text1"/>
          <w:sz w:val="32"/>
          <w:szCs w:val="32"/>
          <w14:textFill>
            <w14:solidFill>
              <w14:schemeClr w14:val="tx1"/>
            </w14:solidFill>
          </w14:textFill>
        </w:rPr>
        <w:t>（五）创新应急物资储备和社会动员</w:t>
      </w:r>
      <w:bookmarkEnd w:id="99"/>
      <w:bookmarkEnd w:id="10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1.完善应急物资储备机制</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建立平战结合的公共卫生应急物资储备机制，形成区级储备为核心、街镇储备为支撑、社区储备为补充、家庭储备为前端的区域应急物资储备体系，保障医疗防护物资及时有效供应。</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2.创新全民参与的社会动员机制</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爱国卫生组织机构建设，健全区—镇（街道）—村（社区）三级的爱国卫生工作网络，镇（街道）、村（社区）、机关、企事业单位明确专（兼）职的爱国卫生工作人员，推动爱国卫生各项工作落实到城乡基层。</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将爱国卫生运动与传染病、慢性病防控等紧密结合，利用爱国卫生各类活动，大力开展公共卫生知识科普。推进公众卫生应急技能提升行动，加强市级公众卫生应急技能培训示范基地建设。依托镇人民政府（街道办事处）、村（居）民委员会、村（社区）公共卫生委员会等基层组织及机关、企事业单位，促进爱国卫生运动融入基层治理，发挥工会、共青团、妇联等群团组织作用，完善社会力量参与机制，形成自上而下行政动员与自下而上主动参与相结合的群众动员机制。</w:t>
      </w:r>
      <w:bookmarkStart w:id="101" w:name="_Toc15525"/>
    </w:p>
    <w:p>
      <w:pPr>
        <w:pStyle w:val="19"/>
        <w:widowControl w:val="0"/>
        <w:pBdr>
          <w:top w:val="none" w:color="auto" w:sz="0" w:space="1"/>
          <w:left w:val="none" w:color="auto" w:sz="0" w:space="4"/>
          <w:bottom w:val="none" w:color="auto" w:sz="0" w:space="4"/>
          <w:right w:val="none" w:color="auto" w:sz="0" w:space="4"/>
        </w:pBdr>
        <w:spacing w:line="560" w:lineRule="exact"/>
        <w:ind w:firstLine="640" w:firstLineChars="200"/>
        <w:jc w:val="both"/>
        <w:rPr>
          <w:rFonts w:ascii="Times New Roman" w:eastAsia="方正黑体_GBK"/>
          <w:bCs/>
          <w:color w:val="000000" w:themeColor="text1"/>
          <w:sz w:val="32"/>
          <w:szCs w:val="32"/>
          <w14:textFill>
            <w14:solidFill>
              <w14:schemeClr w14:val="tx1"/>
            </w14:solidFill>
          </w14:textFill>
        </w:rPr>
      </w:pPr>
      <w:bookmarkStart w:id="102" w:name="_Toc18874"/>
      <w:r>
        <w:rPr>
          <w:rFonts w:ascii="Times New Roman" w:eastAsia="方正黑体_GBK"/>
          <w:bCs/>
          <w:color w:val="000000" w:themeColor="text1"/>
          <w:sz w:val="32"/>
          <w:szCs w:val="32"/>
          <w14:textFill>
            <w14:solidFill>
              <w14:schemeClr w14:val="tx1"/>
            </w14:solidFill>
          </w14:textFill>
        </w:rPr>
        <w:t>五、建设高质量医疗服务体系</w:t>
      </w:r>
      <w:bookmarkEnd w:id="101"/>
      <w:bookmarkEnd w:id="10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03" w:name="_Toc1396"/>
      <w:bookmarkStart w:id="104" w:name="_Toc21699"/>
      <w:r>
        <w:rPr>
          <w:rFonts w:ascii="Times New Roman" w:hAnsi="Times New Roman" w:eastAsia="方正楷体_GBK" w:cs="Times New Roman"/>
          <w:bCs/>
          <w:color w:val="000000" w:themeColor="text1"/>
          <w:sz w:val="32"/>
          <w:szCs w:val="32"/>
          <w14:textFill>
            <w14:solidFill>
              <w14:schemeClr w14:val="tx1"/>
            </w14:solidFill>
          </w14:textFill>
        </w:rPr>
        <w:t>（一）功能定位</w:t>
      </w:r>
      <w:bookmarkEnd w:id="103"/>
      <w:bookmarkEnd w:id="104"/>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1.基层医疗服务体系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基层医疗机构包括镇（中心）卫生院、社区卫生服务中心（站）、村卫生室、医务室、门诊部和诊所等，主要提供预防、保健、健康教育、疾病管理，为居民建立健康档案，常见病、多发病的诊疗以及部分疾病的康复、护理，接收医院转诊患者，向医院转诊超出自身救治服务能力患者等基本医疗卫生服务。</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2.医疗服务体系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公立医院是医疗服务体系的主体。主要提供疾病诊治，特别是急危重症和疑难病症的诊疗、突发事件医疗处置和救援，以及健康教育等医疗卫生服务，并开展医学教育、医疗卫生人员培训、医学科学研究，以及对基层医疗卫生机构的业务指导等工作。强化公立医院主体地位和指导作用，坚持维护公益性，发挥其在基本医疗服务提供，危急重症和疑难病症诊疗、医学教育和科研、基层卫生人员培训等方面的骨干作用。</w:t>
      </w:r>
      <w:bookmarkStart w:id="105" w:name="_Toc24069"/>
      <w:bookmarkStart w:id="106" w:name="_Toc25693"/>
      <w:r>
        <w:rPr>
          <w:rFonts w:ascii="Times New Roman" w:hAnsi="Times New Roman" w:eastAsia="方正仿宋_GBK" w:cs="Times New Roman"/>
          <w:color w:val="000000" w:themeColor="text1"/>
          <w:sz w:val="32"/>
          <w:szCs w:val="32"/>
          <w14:textFill>
            <w14:solidFill>
              <w14:schemeClr w14:val="tx1"/>
            </w14:solidFill>
          </w14:textFill>
        </w:rPr>
        <w:t>区办医院主要向我区居民提供高水平的综合性或专科医疗服务，接受下级医院转诊，根据需要对病情稳定、已过急性期患者及时进行转诊，并承担人才培养、科研等任务，以及相应公共卫生和较大突发事件紧急医疗救援任务。</w:t>
      </w:r>
      <w:bookmarkEnd w:id="105"/>
      <w:bookmarkEnd w:id="10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07" w:name="_Toc3708"/>
      <w:bookmarkStart w:id="108" w:name="_Toc12302"/>
      <w:r>
        <w:rPr>
          <w:rFonts w:ascii="Times New Roman" w:hAnsi="Times New Roman" w:eastAsia="方正楷体_GBK" w:cs="Times New Roman"/>
          <w:bCs/>
          <w:color w:val="000000" w:themeColor="text1"/>
          <w:sz w:val="32"/>
          <w:szCs w:val="32"/>
          <w14:textFill>
            <w14:solidFill>
              <w14:schemeClr w14:val="tx1"/>
            </w14:solidFill>
          </w14:textFill>
        </w:rPr>
        <w:t>（二）夯实基层医疗卫生服务网底</w:t>
      </w:r>
      <w:bookmarkEnd w:id="107"/>
      <w:bookmarkEnd w:id="108"/>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1.优化基层医疗卫生健康服务体系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建成新型基层医疗卫生健康服务体系。优化基层医疗卫生机构功能，提高常见病、多发病、慢性病门诊、住院诊疗服务和传染病防控能力，提高公共卫生服务和健康管理服务水平。推动基层医疗卫生机构等级评审、社区医院和农村区域医疗卫生服务中心建设，抓好</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优质服务基层行</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专项行动。加快甲级镇（中心）卫生院创建步伐，规划建设西部基层医疗卫生服务示范机构5个，积极推进村卫生室产权公有和紧密型乡村一体化管理。</w:t>
      </w:r>
      <w:r>
        <w:rPr>
          <w:rFonts w:hint="eastAsia" w:ascii="Times New Roman" w:hAnsi="Times New Roman" w:eastAsia="方正仿宋_GBK" w:cs="Times New Roman"/>
          <w:color w:val="000000" w:themeColor="text1"/>
          <w:sz w:val="32"/>
          <w:szCs w:val="32"/>
          <w14:textFill>
            <w14:solidFill>
              <w14:schemeClr w14:val="tx1"/>
            </w14:solidFill>
          </w14:textFill>
        </w:rPr>
        <w:t>推进</w:t>
      </w:r>
      <w:r>
        <w:rPr>
          <w:rFonts w:ascii="Times New Roman" w:hAnsi="Times New Roman" w:eastAsia="方正仿宋_GBK" w:cs="Times New Roman"/>
          <w:color w:val="000000" w:themeColor="text1"/>
          <w:sz w:val="32"/>
          <w:szCs w:val="32"/>
          <w14:textFill>
            <w14:solidFill>
              <w14:schemeClr w14:val="tx1"/>
            </w14:solidFill>
          </w14:textFill>
        </w:rPr>
        <w:t>三圣镇卫生院、金刀峡镇卫生院、静观医院、天府镇卫生院等基层医疗卫生机构新建或者改扩建任务，将静观医院</w:t>
      </w:r>
      <w:r>
        <w:rPr>
          <w:rFonts w:hint="eastAsia" w:ascii="Times New Roman" w:hAnsi="Times New Roman" w:eastAsia="方正仿宋_GBK" w:cs="Times New Roman"/>
          <w:color w:val="000000" w:themeColor="text1"/>
          <w:sz w:val="32"/>
          <w:szCs w:val="32"/>
          <w14:textFill>
            <w14:solidFill>
              <w14:schemeClr w14:val="tx1"/>
            </w14:solidFill>
          </w14:textFill>
        </w:rPr>
        <w:t>、蔡家医院</w:t>
      </w:r>
      <w:r>
        <w:rPr>
          <w:rFonts w:ascii="Times New Roman" w:hAnsi="Times New Roman" w:eastAsia="方正仿宋_GBK" w:cs="Times New Roman"/>
          <w:color w:val="000000" w:themeColor="text1"/>
          <w:sz w:val="32"/>
          <w:szCs w:val="32"/>
          <w14:textFill>
            <w14:solidFill>
              <w14:schemeClr w14:val="tx1"/>
            </w14:solidFill>
          </w14:textFill>
        </w:rPr>
        <w:t>建成农村区域医疗卫生服务中心。</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2.完善城市社区医疗卫生网络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按照打造</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15分钟基本医疗卫生服务圈</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目标，优化完善城市基层医疗卫生机构设置布局，提高服务供给可及性。开展标准化社区卫生服务中心建设，每个建制街道或3—10万人规划设置1个政府举办的标准化社区卫生服务中心，完善房屋、设备、床位、人员等资源配备，加强住院病房、信息化等基础设施建设，健全临床、公共卫生和医技等科室设置。完成北泉、东阳、复兴、蔡家等4个社区医院创建任务。完成城南片区社区卫生服务中心、东阳街道社区卫生服务中心新建任务，完成歇马、天生等社区卫生服务中心发热门诊改造。</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3.完善乡村医疗卫生网络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优化行政村卫生室设置，1个行政村只设置1个标准化村卫生室。人口低于800人或服务半径较小的行政村可与相邻行政村联合设置标准化村卫生室；人口在2500人以上或服务半径较大的行政村可适当增设行政村卫生室的分室。到2025年，每个村卫生室配备不少于1名</w:t>
      </w:r>
      <w:r>
        <w:rPr>
          <w:rFonts w:hint="eastAsia" w:ascii="Times New Roman" w:hAnsi="Times New Roman" w:eastAsia="方正仿宋_GBK" w:cs="Times New Roman"/>
          <w:color w:val="000000" w:themeColor="text1"/>
          <w:sz w:val="32"/>
          <w:szCs w:val="32"/>
          <w14:textFill>
            <w14:solidFill>
              <w14:schemeClr w14:val="tx1"/>
            </w14:solidFill>
          </w14:textFill>
        </w:rPr>
        <w:t>合格</w:t>
      </w:r>
      <w:r>
        <w:rPr>
          <w:rFonts w:ascii="Times New Roman" w:hAnsi="Times New Roman" w:eastAsia="方正仿宋_GBK" w:cs="Times New Roman"/>
          <w:color w:val="000000" w:themeColor="text1"/>
          <w:sz w:val="32"/>
          <w:szCs w:val="32"/>
          <w14:textFill>
            <w14:solidFill>
              <w14:schemeClr w14:val="tx1"/>
            </w14:solidFill>
          </w14:textFill>
        </w:rPr>
        <w:t>乡村医生。新创四星级村卫生室2个、五星级村卫生室1个。开展乡村医生全员轮训，提升村卫生室医疗卫生服务质量。</w:t>
      </w:r>
      <w:bookmarkStart w:id="109" w:name="_Toc32029"/>
      <w:r>
        <w:rPr>
          <w:rFonts w:ascii="Times New Roman" w:hAnsi="Times New Roman" w:eastAsia="方正仿宋_GBK" w:cs="Times New Roman"/>
          <w:color w:val="000000" w:themeColor="text1"/>
          <w:sz w:val="32"/>
          <w:szCs w:val="32"/>
          <w14:textFill>
            <w14:solidFill>
              <w14:schemeClr w14:val="tx1"/>
            </w14:solidFill>
          </w14:textFill>
        </w:rPr>
        <w:t>到2025年，100%的村卫生室达到《村卫生室服务能力标准》基本标准。</w:t>
      </w:r>
    </w:p>
    <w:tbl>
      <w:tblPr>
        <w:tblStyle w:val="1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Borders>
              <w:top w:val="nil"/>
              <w:left w:val="nil"/>
              <w:bottom w:val="single" w:color="auto" w:sz="4" w:space="0"/>
              <w:right w:val="nil"/>
            </w:tcBorders>
          </w:tcPr>
          <w:p>
            <w:pPr>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专栏4 基层医疗卫生服务体系建设项目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Borders>
              <w:top w:val="single" w:color="auto" w:sz="4" w:space="0"/>
            </w:tcBorders>
          </w:tcPr>
          <w:p>
            <w:pPr>
              <w:spacing w:line="570" w:lineRule="exact"/>
              <w:ind w:firstLine="56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1.基层医疗卫生服务示范机构建设。静观医院、</w:t>
            </w:r>
            <w:r>
              <w:rPr>
                <w:rFonts w:hint="eastAsia" w:ascii="Times New Roman" w:hAnsi="Times New Roman" w:eastAsia="仿宋" w:cs="Times New Roman"/>
                <w:bCs/>
                <w:color w:val="000000" w:themeColor="text1"/>
                <w:sz w:val="28"/>
                <w:szCs w:val="28"/>
                <w14:textFill>
                  <w14:solidFill>
                    <w14:schemeClr w14:val="tx1"/>
                  </w14:solidFill>
                </w14:textFill>
              </w:rPr>
              <w:t>蔡家医院</w:t>
            </w:r>
            <w:r>
              <w:rPr>
                <w:rFonts w:ascii="Times New Roman" w:hAnsi="Times New Roman" w:eastAsia="仿宋" w:cs="Times New Roman"/>
                <w:bCs/>
                <w:color w:val="000000" w:themeColor="text1"/>
                <w:sz w:val="28"/>
                <w:szCs w:val="28"/>
                <w14:textFill>
                  <w14:solidFill>
                    <w14:schemeClr w14:val="tx1"/>
                  </w14:solidFill>
                </w14:textFill>
              </w:rPr>
              <w:t>建成农村区域医疗卫生服务中心；推进北泉、东阳、复兴、蔡家等4个社区医院创建任务。</w:t>
            </w:r>
            <w:r>
              <w:rPr>
                <w:rFonts w:ascii="Times New Roman" w:hAnsi="Times New Roman" w:eastAsia="仿宋" w:cs="Times New Roman"/>
                <w:bCs/>
                <w:color w:val="000000" w:themeColor="text1"/>
                <w:sz w:val="28"/>
                <w:szCs w:val="28"/>
                <w14:textFill>
                  <w14:solidFill>
                    <w14:schemeClr w14:val="tx1"/>
                  </w14:solidFill>
                </w14:textFill>
              </w:rPr>
              <w:br w:type="textWrapping"/>
            </w:r>
            <w:r>
              <w:rPr>
                <w:rFonts w:ascii="Times New Roman" w:hAnsi="Times New Roman" w:eastAsia="仿宋" w:cs="Times New Roman"/>
                <w:bCs/>
                <w:color w:val="000000" w:themeColor="text1"/>
                <w:sz w:val="28"/>
                <w:szCs w:val="28"/>
                <w14:textFill>
                  <w14:solidFill>
                    <w14:schemeClr w14:val="tx1"/>
                  </w14:solidFill>
                </w14:textFill>
              </w:rPr>
              <w:t xml:space="preserve">    2.基层医疗卫生机构基础设施建设工程。</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仿宋" w:cs="Times New Roman"/>
                <w:bCs/>
                <w:color w:val="000000" w:themeColor="text1"/>
                <w:sz w:val="28"/>
                <w:szCs w:val="28"/>
                <w14:textFill>
                  <w14:solidFill>
                    <w14:schemeClr w14:val="tx1"/>
                  </w14:solidFill>
                </w14:textFill>
              </w:rPr>
              <w:t>城南片区、东阳街道社区卫生服务中心新建任务，</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仿宋" w:cs="Times New Roman"/>
                <w:bCs/>
                <w:color w:val="000000" w:themeColor="text1"/>
                <w:sz w:val="28"/>
                <w:szCs w:val="28"/>
                <w14:textFill>
                  <w14:solidFill>
                    <w14:schemeClr w14:val="tx1"/>
                  </w14:solidFill>
                </w14:textFill>
              </w:rPr>
              <w:t>澄江、三圣镇卫生院新建工程；</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仿宋" w:cs="Times New Roman"/>
                <w:bCs/>
                <w:color w:val="000000" w:themeColor="text1"/>
                <w:sz w:val="28"/>
                <w:szCs w:val="28"/>
                <w14:textFill>
                  <w14:solidFill>
                    <w14:schemeClr w14:val="tx1"/>
                  </w14:solidFill>
                </w14:textFill>
              </w:rPr>
              <w:t>天府镇卫生院、蔡家医院改扩建工程；</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仿宋" w:cs="Times New Roman"/>
                <w:bCs/>
                <w:color w:val="000000" w:themeColor="text1"/>
                <w:sz w:val="28"/>
                <w:szCs w:val="28"/>
                <w14:textFill>
                  <w14:solidFill>
                    <w14:schemeClr w14:val="tx1"/>
                  </w14:solidFill>
                </w14:textFill>
              </w:rPr>
              <w:t>静观医院</w:t>
            </w:r>
            <w:r>
              <w:rPr>
                <w:rFonts w:hint="eastAsia" w:ascii="Times New Roman" w:hAnsi="Times New Roman" w:eastAsia="仿宋" w:cs="Times New Roman"/>
                <w:bCs/>
                <w:color w:val="000000" w:themeColor="text1"/>
                <w:sz w:val="28"/>
                <w:szCs w:val="28"/>
                <w14:textFill>
                  <w14:solidFill>
                    <w14:schemeClr w14:val="tx1"/>
                  </w14:solidFill>
                </w14:textFill>
              </w:rPr>
              <w:t>、</w:t>
            </w:r>
            <w:r>
              <w:rPr>
                <w:rFonts w:ascii="Times New Roman" w:hAnsi="Times New Roman" w:eastAsia="仿宋" w:cs="Times New Roman"/>
                <w:bCs/>
                <w:color w:val="000000" w:themeColor="text1"/>
                <w:sz w:val="28"/>
                <w:szCs w:val="28"/>
                <w14:textFill>
                  <w14:solidFill>
                    <w14:schemeClr w14:val="tx1"/>
                  </w14:solidFill>
                </w14:textFill>
              </w:rPr>
              <w:t>金刀峡镇卫生院迁建工程。支持社区卫生服务中心和乡镇卫生院加强基础设施建设和设备配置，服务能力达到《社区卫生服务中心服务能力标准》和《乡镇卫生院服务能力标准》基本标准。</w:t>
            </w:r>
            <w:r>
              <w:rPr>
                <w:rFonts w:ascii="Times New Roman" w:hAnsi="Times New Roman" w:eastAsia="仿宋" w:cs="Times New Roman"/>
                <w:bCs/>
                <w:color w:val="000000" w:themeColor="text1"/>
                <w:sz w:val="28"/>
                <w:szCs w:val="28"/>
                <w14:textFill>
                  <w14:solidFill>
                    <w14:schemeClr w14:val="tx1"/>
                  </w14:solidFill>
                </w14:textFill>
              </w:rPr>
              <w:br w:type="textWrapping"/>
            </w:r>
            <w:r>
              <w:rPr>
                <w:rFonts w:ascii="Times New Roman" w:hAnsi="Times New Roman" w:eastAsia="仿宋" w:cs="Times New Roman"/>
                <w:bCs/>
                <w:color w:val="000000" w:themeColor="text1"/>
                <w:sz w:val="28"/>
                <w:szCs w:val="28"/>
                <w14:textFill>
                  <w14:solidFill>
                    <w14:schemeClr w14:val="tx1"/>
                  </w14:solidFill>
                </w14:textFill>
              </w:rPr>
              <w:t>　　3.村卫生室建设。到2025年，每个村卫生室配备不少于1名</w:t>
            </w:r>
            <w:r>
              <w:rPr>
                <w:rFonts w:hint="eastAsia" w:ascii="Times New Roman" w:hAnsi="Times New Roman" w:eastAsia="仿宋" w:cs="Times New Roman"/>
                <w:bCs/>
                <w:color w:val="000000" w:themeColor="text1"/>
                <w:sz w:val="28"/>
                <w:szCs w:val="28"/>
                <w14:textFill>
                  <w14:solidFill>
                    <w14:schemeClr w14:val="tx1"/>
                  </w14:solidFill>
                </w14:textFill>
              </w:rPr>
              <w:t>合格</w:t>
            </w:r>
            <w:r>
              <w:rPr>
                <w:rFonts w:ascii="Times New Roman" w:hAnsi="Times New Roman" w:eastAsia="仿宋" w:cs="Times New Roman"/>
                <w:bCs/>
                <w:color w:val="000000" w:themeColor="text1"/>
                <w:sz w:val="28"/>
                <w:szCs w:val="28"/>
                <w14:textFill>
                  <w14:solidFill>
                    <w14:schemeClr w14:val="tx1"/>
                  </w14:solidFill>
                </w14:textFill>
              </w:rPr>
              <w:t>乡村医生。新创四星级村卫生室2个、五星级村卫生室1个。</w:t>
            </w:r>
          </w:p>
        </w:tc>
      </w:tr>
    </w:tbl>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10" w:name="_Toc27840"/>
      <w:r>
        <w:rPr>
          <w:rFonts w:ascii="Times New Roman" w:hAnsi="Times New Roman" w:eastAsia="方正楷体_GBK" w:cs="Times New Roman"/>
          <w:bCs/>
          <w:color w:val="000000" w:themeColor="text1"/>
          <w:sz w:val="32"/>
          <w:szCs w:val="32"/>
          <w14:textFill>
            <w14:solidFill>
              <w14:schemeClr w14:val="tx1"/>
            </w14:solidFill>
          </w14:textFill>
        </w:rPr>
        <w:t>（三）推动公立医院高质量发展</w:t>
      </w:r>
      <w:bookmarkEnd w:id="109"/>
      <w:bookmarkEnd w:id="11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1.构建公立医院高质量发展新体系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构建公立医院高质量发展新体系，打造国家级和市级高水平医院，发挥公立医院在城市医疗集团中的牵头作用。加快建设区域医疗中心和中医药传承创新中心。加大重点公立医院扶持力度，加快补齐专科短板，鼓励区属医院与市内外高水平医疗集团合作建设专科医院，提升整体医疗水平和辐射力，加强国家级</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输入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型医院布局，建设在全市、全国有影响力和辐射力较强的品牌专科医院，吸引更多周边区县患者到北碚就医。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2.完善公立医院布局</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期间，设置市办二级医院1所（市第十三人民医院）。</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期间，规划建设3所区属公立医院。市第九人民医院、区中医院、区妇幼保健院。形成功能比较健全的区属公立医院体系。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设置其他公立医院8所，包括：区第二精神卫生中心、四川省总工会重庆北温泉工人疗养院、四川省总工会重庆五指山工人疗养院、西南大学医院、天府矿务局职工总医院、中国人民解放军第六九</w:t>
      </w:r>
      <w:r>
        <w:rPr>
          <w:rFonts w:hint="eastAsia" w:ascii="Times New Roman" w:hAnsi="Times New Roman" w:eastAsia="方正仿宋_GBK" w:cs="Times New Roman"/>
          <w:color w:val="000000" w:themeColor="text1"/>
          <w:sz w:val="32"/>
          <w:szCs w:val="32"/>
          <w14:textFill>
            <w14:solidFill>
              <w14:schemeClr w14:val="tx1"/>
            </w14:solidFill>
          </w14:textFill>
        </w:rPr>
        <w:t>〇</w:t>
      </w:r>
      <w:r>
        <w:rPr>
          <w:rFonts w:ascii="Times New Roman" w:hAnsi="Times New Roman" w:eastAsia="方正仿宋_GBK" w:cs="Times New Roman"/>
          <w:color w:val="000000" w:themeColor="text1"/>
          <w:sz w:val="32"/>
          <w:szCs w:val="32"/>
          <w14:textFill>
            <w14:solidFill>
              <w14:schemeClr w14:val="tx1"/>
            </w14:solidFill>
          </w14:textFill>
        </w:rPr>
        <w:t>五工厂职工医院、重庆市戒毒管理局中心医院、重庆市戒毒康复所戒毒医院。</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加快补齐专科短板，鼓励区属医院与国内外高水平医疗集团合作建设专科医院，加强国家级</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输入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型医院布局，</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十四五</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期间力争引进三甲医院1家，争创重庆市第二中医院，提升我区整体医疗水平和辐射力。</w:t>
      </w:r>
      <w:bookmarkStart w:id="111" w:name="_Toc23432"/>
    </w:p>
    <w:bookmarkEnd w:id="111"/>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12" w:name="_Toc10990"/>
      <w:bookmarkStart w:id="113" w:name="_Toc7133"/>
      <w:r>
        <w:rPr>
          <w:rFonts w:ascii="Times New Roman" w:hAnsi="Times New Roman" w:eastAsia="方正楷体_GBK" w:cs="Times New Roman"/>
          <w:bCs/>
          <w:color w:val="000000" w:themeColor="text1"/>
          <w:sz w:val="32"/>
          <w:szCs w:val="32"/>
          <w14:textFill>
            <w14:solidFill>
              <w14:schemeClr w14:val="tx1"/>
            </w14:solidFill>
          </w14:textFill>
        </w:rPr>
        <w:t>（四）深入推进</w:t>
      </w:r>
      <w:r>
        <w:rPr>
          <w:rFonts w:hint="eastAsia" w:ascii="Times New Roman" w:hAnsi="Times New Roman" w:eastAsia="方正楷体_GBK" w:cs="Times New Roman"/>
          <w:bCs/>
          <w:color w:val="000000" w:themeColor="text1"/>
          <w:sz w:val="32"/>
          <w:szCs w:val="32"/>
          <w14:textFill>
            <w14:solidFill>
              <w14:schemeClr w14:val="tx1"/>
            </w14:solidFill>
          </w14:textFill>
        </w:rPr>
        <w:t>“</w:t>
      </w:r>
      <w:r>
        <w:rPr>
          <w:rFonts w:ascii="Times New Roman" w:hAnsi="Times New Roman" w:eastAsia="方正楷体_GBK" w:cs="Times New Roman"/>
          <w:bCs/>
          <w:color w:val="000000" w:themeColor="text1"/>
          <w:sz w:val="32"/>
          <w:szCs w:val="32"/>
          <w14:textFill>
            <w14:solidFill>
              <w14:schemeClr w14:val="tx1"/>
            </w14:solidFill>
          </w14:textFill>
        </w:rPr>
        <w:t>美丽医院</w:t>
      </w:r>
      <w:r>
        <w:rPr>
          <w:rFonts w:hint="eastAsia" w:ascii="Times New Roman" w:hAnsi="Times New Roman" w:eastAsia="方正楷体_GBK" w:cs="Times New Roman"/>
          <w:bCs/>
          <w:color w:val="000000" w:themeColor="text1"/>
          <w:sz w:val="32"/>
          <w:szCs w:val="32"/>
          <w14:textFill>
            <w14:solidFill>
              <w14:schemeClr w14:val="tx1"/>
            </w14:solidFill>
          </w14:textFill>
        </w:rPr>
        <w:t>”</w:t>
      </w:r>
      <w:r>
        <w:rPr>
          <w:rFonts w:ascii="Times New Roman" w:hAnsi="Times New Roman" w:eastAsia="方正楷体_GBK" w:cs="Times New Roman"/>
          <w:bCs/>
          <w:color w:val="000000" w:themeColor="text1"/>
          <w:sz w:val="32"/>
          <w:szCs w:val="32"/>
          <w14:textFill>
            <w14:solidFill>
              <w14:schemeClr w14:val="tx1"/>
            </w14:solidFill>
          </w14:textFill>
        </w:rPr>
        <w:t>建设</w:t>
      </w:r>
      <w:bookmarkEnd w:id="112"/>
      <w:bookmarkEnd w:id="11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1.全面</w:t>
      </w:r>
      <w:r>
        <w:rPr>
          <w:rFonts w:hint="eastAsia" w:ascii="Times New Roman" w:hAnsi="Times New Roman" w:eastAsia="方正仿宋_GBK" w:cs="Times New Roman"/>
          <w:color w:val="000000" w:themeColor="text1"/>
          <w:sz w:val="32"/>
          <w:szCs w:val="32"/>
          <w14:textFill>
            <w14:solidFill>
              <w14:schemeClr w14:val="tx1"/>
            </w14:solidFill>
          </w14:textFill>
        </w:rPr>
        <w:t>推进“</w:t>
      </w:r>
      <w:r>
        <w:rPr>
          <w:rFonts w:ascii="Times New Roman" w:hAnsi="Times New Roman" w:eastAsia="方正仿宋_GBK" w:cs="Times New Roman"/>
          <w:color w:val="000000" w:themeColor="text1"/>
          <w:sz w:val="32"/>
          <w:szCs w:val="32"/>
          <w14:textFill>
            <w14:solidFill>
              <w14:schemeClr w14:val="tx1"/>
            </w14:solidFill>
          </w14:textFill>
        </w:rPr>
        <w:t>美丽医院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建设</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全面推进</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美丽医院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建设，继续加大投入，改善患者的就医体验，到2025年，全区所有三级公立医院全部建成</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美丽医院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，二级公立医院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美丽医院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建设有序推进。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2.聚焦</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环境美</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，提档升级就医环境</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加强基础设施建设，完成市第十三人民医院蔡家院区、市第九人民医院两江分院、</w:t>
      </w:r>
      <w:r>
        <w:rPr>
          <w:rFonts w:hint="eastAsia" w:ascii="Times New Roman" w:hAnsi="Times New Roman" w:eastAsia="方正仿宋_GBK" w:cs="Times New Roman"/>
          <w:color w:val="000000" w:themeColor="text1"/>
          <w:sz w:val="32"/>
          <w:szCs w:val="32"/>
          <w14:textFill>
            <w14:solidFill>
              <w14:schemeClr w14:val="tx1"/>
            </w14:solidFill>
          </w14:textFill>
        </w:rPr>
        <w:t>广州中医药大学第一附属医院重庆医院建设项目一期工程</w:t>
      </w:r>
      <w:r>
        <w:rPr>
          <w:rFonts w:ascii="Times New Roman" w:hAnsi="Times New Roman" w:eastAsia="方正仿宋_GBK" w:cs="Times New Roman"/>
          <w:color w:val="000000" w:themeColor="text1"/>
          <w:sz w:val="32"/>
          <w:szCs w:val="32"/>
          <w14:textFill>
            <w14:solidFill>
              <w14:schemeClr w14:val="tx1"/>
            </w14:solidFill>
          </w14:textFill>
        </w:rPr>
        <w:t>等重点项目建设任务，加大院内环境整治和绿化，加强医疗废水废物规范化管理，加强能耗监测。建成一批全国节约型公共机构示范单位、能效领跑者、节水示范单位、无烟医疗机构、绿色医院、生态文明示范医院。</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3.聚焦</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服务美</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，持续改善医疗服务</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发挥政府主导作用，充分发挥多部门联动机制，加大对国家医学中心重要承载地建设的支持力度。加大重点公立医院扶持力度，推动公立医院高质量发展，切实提升</w:t>
      </w:r>
      <w:r>
        <w:rPr>
          <w:rFonts w:hint="eastAsia" w:ascii="Times New Roman" w:hAnsi="Times New Roman" w:eastAsia="方正仿宋_GBK" w:cs="Times New Roman"/>
          <w:color w:val="000000" w:themeColor="text1"/>
          <w:sz w:val="32"/>
          <w:szCs w:val="32"/>
          <w14:textFill>
            <w14:solidFill>
              <w14:schemeClr w14:val="tx1"/>
            </w14:solidFill>
          </w14:textFill>
        </w:rPr>
        <w:t>市第九人民医院</w:t>
      </w:r>
      <w:r>
        <w:rPr>
          <w:rFonts w:ascii="Times New Roman" w:hAnsi="Times New Roman" w:eastAsia="方正仿宋_GBK" w:cs="Times New Roman"/>
          <w:color w:val="000000" w:themeColor="text1"/>
          <w:sz w:val="32"/>
          <w:szCs w:val="32"/>
          <w14:textFill>
            <w14:solidFill>
              <w14:schemeClr w14:val="tx1"/>
            </w14:solidFill>
          </w14:textFill>
        </w:rPr>
        <w:t>、区中医院内涵，实施医疗质量、患者体验、医院管理、临床科研提升行动，推动公立医院加强管理、坚持公益性、提高服务质量和效率，切实提升医疗服务能力。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4.聚焦</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人文美</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，稳步提升人文环境</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坚持人民至上、生命至上，以患者为中心，建设特色鲜明的医院文化。坚持以患者和医务人员为中心，优化改善便民服务设施，注重医院文化建设，改善患者就医感受和医务人员执业感受，构建和谐医患关系。</w:t>
      </w:r>
    </w:p>
    <w:tbl>
      <w:tblPr>
        <w:tblStyle w:val="1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Borders>
              <w:top w:val="nil"/>
              <w:left w:val="nil"/>
              <w:bottom w:val="single" w:color="auto" w:sz="4" w:space="0"/>
              <w:right w:val="nil"/>
            </w:tcBorders>
          </w:tcPr>
          <w:p>
            <w:pPr>
              <w:pStyle w:val="19"/>
              <w:widowControl w:val="0"/>
              <w:spacing w:line="560" w:lineRule="exact"/>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专栏5 公立医院高质量发展项目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Borders>
              <w:top w:val="single" w:color="auto" w:sz="4" w:space="0"/>
            </w:tcBorders>
          </w:tcPr>
          <w:p>
            <w:pPr>
              <w:spacing w:line="56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1.优质医疗资源扩容。完成市第十三人民医院蔡家院区、市第九人民医院两江分院、</w:t>
            </w:r>
            <w:r>
              <w:rPr>
                <w:rFonts w:hint="eastAsia" w:ascii="Times New Roman" w:hAnsi="Times New Roman" w:eastAsia="仿宋" w:cs="Times New Roman"/>
                <w:bCs/>
                <w:color w:val="000000" w:themeColor="text1"/>
                <w:sz w:val="28"/>
                <w:szCs w:val="28"/>
                <w14:textFill>
                  <w14:solidFill>
                    <w14:schemeClr w14:val="tx1"/>
                  </w14:solidFill>
                </w14:textFill>
              </w:rPr>
              <w:t>广州中医药大学第一附属医院重庆医院建设项目一期工程</w:t>
            </w:r>
            <w:r>
              <w:rPr>
                <w:rFonts w:ascii="Times New Roman" w:hAnsi="Times New Roman" w:eastAsia="仿宋" w:cs="Times New Roman"/>
                <w:bCs/>
                <w:color w:val="000000" w:themeColor="text1"/>
                <w:sz w:val="28"/>
                <w:szCs w:val="28"/>
                <w14:textFill>
                  <w14:solidFill>
                    <w14:schemeClr w14:val="tx1"/>
                  </w14:solidFill>
                </w14:textFill>
              </w:rPr>
              <w:t>等重点项目建设任务。</w:t>
            </w:r>
          </w:p>
          <w:p>
            <w:pPr>
              <w:spacing w:line="56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2.公立医院内涵提升。切实提升</w:t>
            </w:r>
            <w:r>
              <w:rPr>
                <w:rFonts w:hint="eastAsia" w:ascii="Times New Roman" w:hAnsi="Times New Roman" w:eastAsia="仿宋" w:cs="Times New Roman"/>
                <w:bCs/>
                <w:color w:val="000000" w:themeColor="text1"/>
                <w:sz w:val="28"/>
                <w:szCs w:val="28"/>
                <w14:textFill>
                  <w14:solidFill>
                    <w14:schemeClr w14:val="tx1"/>
                  </w14:solidFill>
                </w14:textFill>
              </w:rPr>
              <w:t>市第九人民医院</w:t>
            </w:r>
            <w:r>
              <w:rPr>
                <w:rFonts w:ascii="Times New Roman" w:hAnsi="Times New Roman" w:eastAsia="仿宋" w:cs="Times New Roman"/>
                <w:bCs/>
                <w:color w:val="000000" w:themeColor="text1"/>
                <w:sz w:val="28"/>
                <w:szCs w:val="28"/>
                <w14:textFill>
                  <w14:solidFill>
                    <w14:schemeClr w14:val="tx1"/>
                  </w14:solidFill>
                </w14:textFill>
              </w:rPr>
              <w:t>、区中医院内涵，加强优势学科和重点专科建设。</w:t>
            </w:r>
          </w:p>
          <w:p>
            <w:pPr>
              <w:spacing w:line="560" w:lineRule="exact"/>
              <w:ind w:firstLine="56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3.美丽医院建设。实施医院医疗质量、患者体验、医院管理、临床科研提升行动，加强专科建设，提升诊疗救治能力水平。到2025年，全区所有三级公立医院全部建成</w:t>
            </w:r>
            <w:r>
              <w:rPr>
                <w:rFonts w:hint="eastAsia" w:ascii="Times New Roman" w:hAnsi="Times New Roman" w:eastAsia="仿宋" w:cs="Times New Roman"/>
                <w:bCs/>
                <w:color w:val="000000" w:themeColor="text1"/>
                <w:sz w:val="28"/>
                <w:szCs w:val="28"/>
                <w14:textFill>
                  <w14:solidFill>
                    <w14:schemeClr w14:val="tx1"/>
                  </w14:solidFill>
                </w14:textFill>
              </w:rPr>
              <w:t>“</w:t>
            </w:r>
            <w:r>
              <w:rPr>
                <w:rFonts w:ascii="Times New Roman" w:hAnsi="Times New Roman" w:eastAsia="仿宋" w:cs="Times New Roman"/>
                <w:bCs/>
                <w:color w:val="000000" w:themeColor="text1"/>
                <w:sz w:val="28"/>
                <w:szCs w:val="28"/>
                <w14:textFill>
                  <w14:solidFill>
                    <w14:schemeClr w14:val="tx1"/>
                  </w14:solidFill>
                </w14:textFill>
              </w:rPr>
              <w:t>美丽医院</w:t>
            </w:r>
            <w:r>
              <w:rPr>
                <w:rFonts w:hint="eastAsia" w:ascii="Times New Roman" w:hAnsi="Times New Roman" w:eastAsia="仿宋" w:cs="Times New Roman"/>
                <w:bCs/>
                <w:color w:val="000000" w:themeColor="text1"/>
                <w:sz w:val="28"/>
                <w:szCs w:val="28"/>
                <w14:textFill>
                  <w14:solidFill>
                    <w14:schemeClr w14:val="tx1"/>
                  </w14:solidFill>
                </w14:textFill>
              </w:rPr>
              <w:t>”</w:t>
            </w:r>
            <w:r>
              <w:rPr>
                <w:rFonts w:ascii="Times New Roman" w:hAnsi="Times New Roman" w:eastAsia="仿宋" w:cs="Times New Roman"/>
                <w:bCs/>
                <w:color w:val="000000" w:themeColor="text1"/>
                <w:sz w:val="28"/>
                <w:szCs w:val="28"/>
                <w14:textFill>
                  <w14:solidFill>
                    <w14:schemeClr w14:val="tx1"/>
                  </w14:solidFill>
                </w14:textFill>
              </w:rPr>
              <w:t>。</w:t>
            </w:r>
          </w:p>
        </w:tc>
      </w:tr>
    </w:tbl>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14" w:name="_Toc2678"/>
      <w:bookmarkStart w:id="115" w:name="_Toc11326"/>
      <w:r>
        <w:rPr>
          <w:rFonts w:ascii="Times New Roman" w:hAnsi="Times New Roman" w:eastAsia="方正楷体_GBK" w:cs="Times New Roman"/>
          <w:bCs/>
          <w:color w:val="000000" w:themeColor="text1"/>
          <w:sz w:val="32"/>
          <w:szCs w:val="32"/>
          <w14:textFill>
            <w14:solidFill>
              <w14:schemeClr w14:val="tx1"/>
            </w14:solidFill>
          </w14:textFill>
        </w:rPr>
        <w:t>（五）促进社会办医协调发展</w:t>
      </w:r>
      <w:bookmarkEnd w:id="114"/>
      <w:bookmarkEnd w:id="11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鼓励社会力量提供医疗服务，支持社会力量举办非营利性医疗机构，推进和实现非营利性民营医院与公立医院同等待遇。鼓励社会资本设置独立的医学检验、医学影像、病理诊断等专业性机构。鼓励社会办医疗机构建设养老服务设施、在养老机构设立医疗点或提供面向养老机构的远程医疗服务。鼓励引导社会资本在母婴照护、养老、康复、护理和安宁疗护等供给缺口大的领域增加投入。加强对社会办医疗机构规范化管理和质量控制。</w:t>
      </w:r>
    </w:p>
    <w:p>
      <w:pPr>
        <w:pStyle w:val="19"/>
        <w:widowControl w:val="0"/>
        <w:pBdr>
          <w:top w:val="none" w:color="auto" w:sz="0" w:space="1"/>
          <w:left w:val="none" w:color="auto" w:sz="0" w:space="4"/>
          <w:bottom w:val="none" w:color="auto" w:sz="0" w:space="4"/>
          <w:right w:val="none" w:color="auto" w:sz="0" w:space="4"/>
        </w:pBdr>
        <w:spacing w:line="560" w:lineRule="exact"/>
        <w:ind w:firstLine="640" w:firstLineChars="200"/>
        <w:jc w:val="both"/>
        <w:rPr>
          <w:rFonts w:ascii="Times New Roman" w:eastAsia="方正黑体_GBK"/>
          <w:bCs/>
          <w:color w:val="000000" w:themeColor="text1"/>
          <w:sz w:val="32"/>
          <w:szCs w:val="32"/>
          <w14:textFill>
            <w14:solidFill>
              <w14:schemeClr w14:val="tx1"/>
            </w14:solidFill>
          </w14:textFill>
        </w:rPr>
      </w:pPr>
      <w:bookmarkStart w:id="116" w:name="_Toc28579"/>
      <w:bookmarkStart w:id="117" w:name="_Toc21455"/>
      <w:bookmarkStart w:id="118" w:name="_Toc30345"/>
      <w:bookmarkStart w:id="119" w:name="_Toc6564"/>
      <w:bookmarkStart w:id="120" w:name="_Toc1830"/>
      <w:bookmarkStart w:id="121" w:name="_Toc6684"/>
      <w:r>
        <w:rPr>
          <w:rFonts w:ascii="Times New Roman" w:eastAsia="方正黑体_GBK"/>
          <w:bCs/>
          <w:color w:val="000000" w:themeColor="text1"/>
          <w:sz w:val="32"/>
          <w:szCs w:val="32"/>
          <w14:textFill>
            <w14:solidFill>
              <w14:schemeClr w14:val="tx1"/>
            </w14:solidFill>
          </w14:textFill>
        </w:rPr>
        <w:t>六、健全特色鲜明的中医药服务体系</w:t>
      </w:r>
      <w:bookmarkEnd w:id="116"/>
      <w:bookmarkEnd w:id="11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22" w:name="_Toc7880"/>
      <w:bookmarkStart w:id="123" w:name="_Toc14561"/>
      <w:r>
        <w:rPr>
          <w:rFonts w:ascii="Times New Roman" w:hAnsi="Times New Roman" w:eastAsia="方正楷体_GBK" w:cs="Times New Roman"/>
          <w:bCs/>
          <w:color w:val="000000" w:themeColor="text1"/>
          <w:sz w:val="32"/>
          <w:szCs w:val="32"/>
          <w14:textFill>
            <w14:solidFill>
              <w14:schemeClr w14:val="tx1"/>
            </w14:solidFill>
          </w14:textFill>
        </w:rPr>
        <w:t>（一）功能定位</w:t>
      </w:r>
      <w:bookmarkEnd w:id="12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24" w:name="_Toc20065"/>
      <w:bookmarkStart w:id="125" w:name="_Toc13950"/>
      <w:bookmarkStart w:id="126" w:name="_Toc24714"/>
      <w:r>
        <w:rPr>
          <w:rFonts w:ascii="Times New Roman" w:hAnsi="Times New Roman" w:eastAsia="方正仿宋_GBK" w:cs="Times New Roman"/>
          <w:color w:val="000000" w:themeColor="text1"/>
          <w:sz w:val="32"/>
          <w:szCs w:val="32"/>
          <w14:textFill>
            <w14:solidFill>
              <w14:schemeClr w14:val="tx1"/>
            </w14:solidFill>
          </w14:textFill>
        </w:rPr>
        <w:t>中医医疗服务体系主要包括中医类医疗卫生机构和其他医疗卫生机构中医类科室，主要提供中医药预防、治疗、康复、保健、研发等服务。</w:t>
      </w:r>
      <w:bookmarkEnd w:id="124"/>
      <w:bookmarkEnd w:id="125"/>
      <w:bookmarkEnd w:id="12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27" w:name="_Toc15394"/>
      <w:r>
        <w:rPr>
          <w:rFonts w:ascii="Times New Roman" w:hAnsi="Times New Roman" w:eastAsia="方正楷体_GBK" w:cs="Times New Roman"/>
          <w:bCs/>
          <w:color w:val="000000" w:themeColor="text1"/>
          <w:sz w:val="32"/>
          <w:szCs w:val="32"/>
          <w14:textFill>
            <w14:solidFill>
              <w14:schemeClr w14:val="tx1"/>
            </w14:solidFill>
          </w14:textFill>
        </w:rPr>
        <w:t>（二）完善中医药医疗服务体系</w:t>
      </w:r>
      <w:bookmarkEnd w:id="123"/>
      <w:bookmarkEnd w:id="12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到2025年，以区中医院为龙头，以综合医院中医科为补充，以镇（中心）卫生院、社区卫生服务中心和村卫生室为基础，覆盖</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区、街镇、村（社区）三级中医药</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服务网络更加完善。积极创建中医疾病救治基地、中医紧急医学救援基地，申报</w:t>
      </w:r>
      <w:r>
        <w:rPr>
          <w:rFonts w:hint="eastAsia" w:ascii="Times New Roman" w:hAnsi="Times New Roman" w:eastAsia="方正仿宋_GBK" w:cs="Times New Roman"/>
          <w:color w:val="000000" w:themeColor="text1"/>
          <w:sz w:val="32"/>
          <w:szCs w:val="32"/>
          <w14:textFill>
            <w14:solidFill>
              <w14:schemeClr w14:val="tx1"/>
            </w14:solidFill>
          </w14:textFill>
        </w:rPr>
        <w:t>市第九人民医院</w:t>
      </w:r>
      <w:r>
        <w:rPr>
          <w:rFonts w:ascii="Times New Roman" w:hAnsi="Times New Roman" w:eastAsia="方正仿宋_GBK" w:cs="Times New Roman"/>
          <w:color w:val="000000" w:themeColor="text1"/>
          <w:sz w:val="32"/>
          <w:szCs w:val="32"/>
          <w14:textFill>
            <w14:solidFill>
              <w14:schemeClr w14:val="tx1"/>
            </w14:solidFill>
          </w14:textFill>
        </w:rPr>
        <w:t>中西医协同旗舰项目、国家重大疑难疾病中西医临床协作试点，完成</w:t>
      </w:r>
      <w:r>
        <w:rPr>
          <w:rFonts w:hint="eastAsia" w:ascii="Times New Roman" w:hAnsi="Times New Roman" w:eastAsia="方正仿宋_GBK" w:cs="Times New Roman"/>
          <w:color w:val="000000" w:themeColor="text1"/>
          <w:sz w:val="32"/>
          <w:szCs w:val="32"/>
          <w14:textFill>
            <w14:solidFill>
              <w14:schemeClr w14:val="tx1"/>
            </w14:solidFill>
          </w14:textFill>
        </w:rPr>
        <w:t>广州中医药大学第一附属医院重庆医院建设项目一期工程</w:t>
      </w:r>
      <w:r>
        <w:rPr>
          <w:rFonts w:ascii="Times New Roman" w:hAnsi="Times New Roman" w:eastAsia="方正仿宋_GBK" w:cs="Times New Roman"/>
          <w:color w:val="000000" w:themeColor="text1"/>
          <w:sz w:val="32"/>
          <w:szCs w:val="32"/>
          <w14:textFill>
            <w14:solidFill>
              <w14:schemeClr w14:val="tx1"/>
            </w14:solidFill>
          </w14:textFill>
        </w:rPr>
        <w:t>建设，实现优质中医资源扩容。</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综合医院、专科医院、妇幼保健院中医药服务能力，加快中西医结合发展，推进中西医结合医院建设。深化镇（中心）卫生院、社区卫生服务中心中医综合服务区建设，积极争取精品中医馆建设项目。完善基层触角，推动村卫生室、社区卫生服务站，开展中药饮片、中成药、中医非药物疗法运用，鼓励开展针灸、火罐、推拿等适宜技术服务。到2025年，实现社区卫生服务中心和乡镇卫生院设置中医馆、配备中医医师全覆盖，所有乡村医生掌握4种以上中医药适宜技术。</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28" w:name="_Toc23410"/>
      <w:bookmarkStart w:id="129" w:name="_Toc4023"/>
      <w:r>
        <w:rPr>
          <w:rFonts w:ascii="Times New Roman" w:hAnsi="Times New Roman" w:eastAsia="方正楷体_GBK" w:cs="Times New Roman"/>
          <w:bCs/>
          <w:color w:val="000000" w:themeColor="text1"/>
          <w:sz w:val="32"/>
          <w:szCs w:val="32"/>
          <w14:textFill>
            <w14:solidFill>
              <w14:schemeClr w14:val="tx1"/>
            </w14:solidFill>
          </w14:textFill>
        </w:rPr>
        <w:t>（三）促进中医药传承创新发展</w:t>
      </w:r>
      <w:bookmarkEnd w:id="128"/>
      <w:bookmarkEnd w:id="129"/>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30" w:name="_Toc26922"/>
      <w:r>
        <w:rPr>
          <w:rFonts w:ascii="Times New Roman" w:hAnsi="Times New Roman" w:eastAsia="方正仿宋_GBK" w:cs="Times New Roman"/>
          <w:color w:val="000000" w:themeColor="text1"/>
          <w:sz w:val="32"/>
          <w:szCs w:val="32"/>
          <w14:textFill>
            <w14:solidFill>
              <w14:schemeClr w14:val="tx1"/>
            </w14:solidFill>
          </w14:textFill>
        </w:rPr>
        <w:t>发挥区中医院国家中医药传承创新工程项目引领作用，集中布局中医药传统技艺服务中心、中医重点专科病区等，打造专科专病集群，形成优势病种临床诊疗方案和特色性技术项目，持续提升辐射带动能力。鼓励举办只提供传统中医药服务的中医门诊部和中医诊所，引导向规模化、多层次方向发展。落实鼓励中医药应用政策，推进中医药工作室（站）建设。</w:t>
      </w:r>
      <w:bookmarkEnd w:id="130"/>
      <w:bookmarkStart w:id="131" w:name="_Toc15577"/>
    </w:p>
    <w:p>
      <w:pPr>
        <w:spacing w:line="56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bookmarkStart w:id="132" w:name="_Toc14136"/>
      <w:r>
        <w:rPr>
          <w:rFonts w:ascii="Times New Roman" w:hAnsi="Times New Roman" w:eastAsia="仿宋" w:cs="Times New Roman"/>
          <w:bCs/>
          <w:color w:val="000000" w:themeColor="text1"/>
          <w:kern w:val="0"/>
          <w:sz w:val="28"/>
          <w:szCs w:val="28"/>
          <w14:textFill>
            <w14:solidFill>
              <w14:schemeClr w14:val="tx1"/>
            </w14:solidFill>
          </w14:textFill>
        </w:rPr>
        <w:t>专栏</w:t>
      </w:r>
      <w:bookmarkEnd w:id="131"/>
      <w:r>
        <w:rPr>
          <w:rFonts w:ascii="Times New Roman" w:hAnsi="Times New Roman" w:eastAsia="仿宋" w:cs="Times New Roman"/>
          <w:bCs/>
          <w:color w:val="000000" w:themeColor="text1"/>
          <w:kern w:val="0"/>
          <w:sz w:val="28"/>
          <w:szCs w:val="28"/>
          <w14:textFill>
            <w14:solidFill>
              <w14:schemeClr w14:val="tx1"/>
            </w14:solidFill>
          </w14:textFill>
        </w:rPr>
        <w:t>6 中医药服务体系建设项目</w:t>
      </w:r>
      <w:bookmarkEnd w:id="132"/>
    </w:p>
    <w:tbl>
      <w:tblPr>
        <w:tblStyle w:val="14"/>
        <w:tblW w:w="8328"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32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67" w:hRule="atLeast"/>
          <w:jc w:val="center"/>
        </w:trPr>
        <w:tc>
          <w:tcPr>
            <w:tcW w:w="8328" w:type="dxa"/>
            <w:vAlign w:val="center"/>
          </w:tcPr>
          <w:p>
            <w:pPr>
              <w:spacing w:line="57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1.提升中医药服务能力。加强区中医院中医特色专科建设，积极创建中医疾病救治基地、中医紧急医学救援基地、区域中医医疗中心，申报中西医协同旗舰项目、国家重大疑难疾病中西医临床协作试点。</w:t>
            </w:r>
          </w:p>
          <w:p>
            <w:pPr>
              <w:spacing w:line="570" w:lineRule="exact"/>
              <w:ind w:firstLine="560" w:firstLineChars="200"/>
              <w:rPr>
                <w:rFonts w:ascii="Times New Roman" w:hAnsi="Times New Roman" w:eastAsia="仿宋" w:cs="Times New Roman"/>
                <w:bCs/>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2.基础设施建设工程。改造区中医院碚峡路院区发热门诊及病房，启动</w:t>
            </w:r>
            <w:r>
              <w:rPr>
                <w:rFonts w:hint="eastAsia" w:ascii="Times New Roman" w:hAnsi="Times New Roman" w:eastAsia="仿宋" w:cs="Times New Roman"/>
                <w:bCs/>
                <w:color w:val="000000" w:themeColor="text1"/>
                <w:sz w:val="28"/>
                <w:szCs w:val="28"/>
                <w14:textFill>
                  <w14:solidFill>
                    <w14:schemeClr w14:val="tx1"/>
                  </w14:solidFill>
                </w14:textFill>
              </w:rPr>
              <w:t>广州中医药大学第一附属医院重庆医院建设项目一期工程</w:t>
            </w:r>
            <w:r>
              <w:rPr>
                <w:rFonts w:ascii="Times New Roman" w:hAnsi="Times New Roman" w:eastAsia="仿宋" w:cs="Times New Roman"/>
                <w:bCs/>
                <w:color w:val="000000" w:themeColor="text1"/>
                <w:sz w:val="28"/>
                <w:szCs w:val="28"/>
                <w14:textFill>
                  <w14:solidFill>
                    <w14:schemeClr w14:val="tx1"/>
                  </w14:solidFill>
                </w14:textFill>
              </w:rPr>
              <w:t>项目。完成市第九人民医院中西医结合康复楼建设。</w:t>
            </w:r>
          </w:p>
          <w:p>
            <w:pPr>
              <w:spacing w:line="570" w:lineRule="exact"/>
              <w:ind w:firstLine="560" w:firstLineChars="200"/>
              <w:rPr>
                <w:rFonts w:ascii="Times New Roman" w:hAnsi="Times New Roman" w:eastAsia="仿宋" w:cs="Times New Roman"/>
                <w:bCs/>
                <w:color w:val="000000" w:themeColor="text1"/>
                <w:kern w:val="0"/>
                <w:sz w:val="30"/>
                <w:szCs w:val="30"/>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3.基层中医药服务体系。</w:t>
            </w:r>
            <w:r>
              <w:rPr>
                <w:rFonts w:hint="eastAsia" w:ascii="Times New Roman" w:hAnsi="Times New Roman" w:eastAsia="仿宋" w:cs="Times New Roman"/>
                <w:bCs/>
                <w:color w:val="000000" w:themeColor="text1"/>
                <w:sz w:val="28"/>
                <w:szCs w:val="28"/>
                <w14:textFill>
                  <w14:solidFill>
                    <w14:schemeClr w14:val="tx1"/>
                  </w14:solidFill>
                </w14:textFill>
              </w:rPr>
              <w:t>推进</w:t>
            </w:r>
            <w:r>
              <w:rPr>
                <w:rFonts w:ascii="Times New Roman" w:hAnsi="Times New Roman" w:eastAsia="仿宋" w:cs="Times New Roman"/>
                <w:bCs/>
                <w:color w:val="000000" w:themeColor="text1"/>
                <w:sz w:val="28"/>
                <w:szCs w:val="28"/>
                <w14:textFill>
                  <w14:solidFill>
                    <w14:schemeClr w14:val="tx1"/>
                  </w14:solidFill>
                </w14:textFill>
              </w:rPr>
              <w:t>社区卫生服务中心中医综合服务区建设，推进静观医院、朝阳社区卫生服务中心精品中医馆建设，推广中医馆信息平台运用。</w:t>
            </w:r>
          </w:p>
        </w:tc>
      </w:tr>
    </w:tbl>
    <w:p>
      <w:pPr>
        <w:pStyle w:val="19"/>
        <w:widowControl w:val="0"/>
        <w:pBdr>
          <w:top w:val="none" w:color="auto" w:sz="0" w:space="1"/>
          <w:left w:val="none" w:color="auto" w:sz="0" w:space="4"/>
          <w:bottom w:val="none" w:color="auto" w:sz="0" w:space="4"/>
          <w:right w:val="none" w:color="auto" w:sz="0" w:space="4"/>
        </w:pBdr>
        <w:spacing w:line="560" w:lineRule="exact"/>
        <w:ind w:firstLine="640" w:firstLineChars="200"/>
        <w:jc w:val="both"/>
        <w:rPr>
          <w:rFonts w:ascii="Times New Roman" w:eastAsia="方正黑体_GBK"/>
          <w:bCs/>
          <w:color w:val="000000" w:themeColor="text1"/>
          <w:sz w:val="32"/>
          <w:szCs w:val="32"/>
          <w14:textFill>
            <w14:solidFill>
              <w14:schemeClr w14:val="tx1"/>
            </w14:solidFill>
          </w14:textFill>
        </w:rPr>
      </w:pPr>
      <w:bookmarkStart w:id="133" w:name="_Toc30940"/>
      <w:r>
        <w:rPr>
          <w:rFonts w:ascii="Times New Roman" w:eastAsia="方正黑体_GBK"/>
          <w:bCs/>
          <w:color w:val="000000" w:themeColor="text1"/>
          <w:sz w:val="32"/>
          <w:szCs w:val="32"/>
          <w14:textFill>
            <w14:solidFill>
              <w14:schemeClr w14:val="tx1"/>
            </w14:solidFill>
          </w14:textFill>
        </w:rPr>
        <w:t>七、优化全方位全周期健康服务体系</w:t>
      </w:r>
      <w:bookmarkEnd w:id="118"/>
      <w:bookmarkEnd w:id="119"/>
      <w:bookmarkEnd w:id="120"/>
      <w:bookmarkEnd w:id="121"/>
      <w:bookmarkEnd w:id="133"/>
      <w:bookmarkStart w:id="134" w:name="_Toc21258"/>
      <w:bookmarkStart w:id="135" w:name="_Toc29409"/>
      <w:bookmarkStart w:id="136" w:name="_Toc74297512"/>
      <w:bookmarkStart w:id="137" w:name="_Toc74605605"/>
      <w:bookmarkStart w:id="138" w:name="_Toc74297323"/>
      <w:bookmarkStart w:id="139" w:name="_Toc74605475"/>
      <w:bookmarkStart w:id="140" w:name="_Toc22347"/>
      <w:bookmarkStart w:id="141" w:name="_Toc74605476"/>
      <w:bookmarkStart w:id="142" w:name="_Toc74605606"/>
      <w:bookmarkStart w:id="143" w:name="_Toc74297324"/>
      <w:bookmarkStart w:id="144" w:name="_Toc7429751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45" w:name="_Toc15411"/>
      <w:bookmarkStart w:id="146" w:name="_Toc24059"/>
      <w:r>
        <w:rPr>
          <w:rFonts w:ascii="Times New Roman" w:hAnsi="Times New Roman" w:eastAsia="方正楷体_GBK" w:cs="Times New Roman"/>
          <w:bCs/>
          <w:color w:val="000000" w:themeColor="text1"/>
          <w:sz w:val="32"/>
          <w:szCs w:val="32"/>
          <w14:textFill>
            <w14:solidFill>
              <w14:schemeClr w14:val="tx1"/>
            </w14:solidFill>
          </w14:textFill>
        </w:rPr>
        <w:t>（一）功能定位</w:t>
      </w:r>
      <w:bookmarkEnd w:id="134"/>
      <w:bookmarkEnd w:id="135"/>
      <w:bookmarkEnd w:id="145"/>
      <w:bookmarkEnd w:id="14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47" w:name="_Toc5168"/>
      <w:bookmarkStart w:id="148" w:name="_Toc31801"/>
      <w:r>
        <w:rPr>
          <w:rFonts w:ascii="Times New Roman" w:hAnsi="Times New Roman" w:eastAsia="方正仿宋_GBK" w:cs="Times New Roman"/>
          <w:color w:val="000000" w:themeColor="text1"/>
          <w:sz w:val="32"/>
          <w:szCs w:val="32"/>
          <w14:textFill>
            <w14:solidFill>
              <w14:schemeClr w14:val="tx1"/>
            </w14:solidFill>
          </w14:textFill>
        </w:rPr>
        <w:t>将妇幼保健、健康教育、精神卫生、职业健康等传统的专业公共卫生机构，以及老年健康、普惠托</w:t>
      </w:r>
      <w:r>
        <w:rPr>
          <w:rFonts w:hint="eastAsia" w:ascii="Times New Roman" w:hAnsi="Times New Roman" w:eastAsia="方正仿宋_GBK" w:cs="Times New Roman"/>
          <w:color w:val="000000" w:themeColor="text1"/>
          <w:sz w:val="32"/>
          <w:szCs w:val="32"/>
          <w14:textFill>
            <w14:solidFill>
              <w14:schemeClr w14:val="tx1"/>
            </w14:solidFill>
          </w14:textFill>
        </w:rPr>
        <w:t>育</w:t>
      </w:r>
      <w:r>
        <w:rPr>
          <w:rFonts w:ascii="Times New Roman" w:hAnsi="Times New Roman" w:eastAsia="方正仿宋_GBK" w:cs="Times New Roman"/>
          <w:color w:val="000000" w:themeColor="text1"/>
          <w:sz w:val="32"/>
          <w:szCs w:val="32"/>
          <w14:textFill>
            <w14:solidFill>
              <w14:schemeClr w14:val="tx1"/>
            </w14:solidFill>
          </w14:textFill>
        </w:rPr>
        <w:t>等新型服务机构，纳入全方位全周期健康服务体系。</w:t>
      </w:r>
      <w:bookmarkEnd w:id="147"/>
      <w:bookmarkEnd w:id="148"/>
      <w:bookmarkStart w:id="149" w:name="_Toc27052"/>
      <w:bookmarkStart w:id="150" w:name="_Toc11824"/>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51" w:name="_Toc30295"/>
      <w:bookmarkStart w:id="152" w:name="_Toc2499"/>
      <w:r>
        <w:rPr>
          <w:rFonts w:ascii="Times New Roman" w:hAnsi="Times New Roman" w:eastAsia="方正仿宋_GBK" w:cs="Times New Roman"/>
          <w:color w:val="000000" w:themeColor="text1"/>
          <w:sz w:val="32"/>
          <w:szCs w:val="32"/>
          <w14:textFill>
            <w14:solidFill>
              <w14:schemeClr w14:val="tx1"/>
            </w14:solidFill>
          </w14:textFill>
        </w:rPr>
        <w:t>1.普惠托育机构</w:t>
      </w:r>
      <w:bookmarkEnd w:id="149"/>
      <w:bookmarkEnd w:id="150"/>
      <w:bookmarkEnd w:id="151"/>
      <w:bookmarkEnd w:id="15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53" w:name="_Toc25480"/>
      <w:bookmarkStart w:id="154" w:name="_Toc30603"/>
      <w:r>
        <w:rPr>
          <w:rFonts w:ascii="Times New Roman" w:hAnsi="Times New Roman" w:eastAsia="方正仿宋_GBK" w:cs="Times New Roman"/>
          <w:color w:val="000000" w:themeColor="text1"/>
          <w:sz w:val="32"/>
          <w:szCs w:val="32"/>
          <w14:textFill>
            <w14:solidFill>
              <w14:schemeClr w14:val="tx1"/>
            </w14:solidFill>
          </w14:textFill>
        </w:rPr>
        <w:t>承担家庭科学养育指导和0-3岁婴幼儿照护，促进婴幼儿健康发展。</w:t>
      </w:r>
      <w:bookmarkEnd w:id="153"/>
      <w:bookmarkEnd w:id="154"/>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55" w:name="_Toc13107"/>
      <w:bookmarkStart w:id="156" w:name="_Toc9378"/>
      <w:bookmarkStart w:id="157" w:name="_Toc28851"/>
      <w:bookmarkStart w:id="158" w:name="_Toc9837"/>
      <w:r>
        <w:rPr>
          <w:rFonts w:ascii="Times New Roman" w:hAnsi="Times New Roman" w:eastAsia="方正仿宋_GBK" w:cs="Times New Roman"/>
          <w:color w:val="000000" w:themeColor="text1"/>
          <w:sz w:val="32"/>
          <w:szCs w:val="32"/>
          <w14:textFill>
            <w14:solidFill>
              <w14:schemeClr w14:val="tx1"/>
            </w14:solidFill>
          </w14:textFill>
        </w:rPr>
        <w:t>2.妇幼保健机构</w:t>
      </w:r>
      <w:bookmarkEnd w:id="155"/>
      <w:bookmarkEnd w:id="156"/>
      <w:bookmarkEnd w:id="157"/>
      <w:bookmarkEnd w:id="158"/>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59" w:name="_Toc22688"/>
      <w:bookmarkStart w:id="160" w:name="_Toc11816"/>
      <w:r>
        <w:rPr>
          <w:rFonts w:ascii="Times New Roman" w:hAnsi="Times New Roman" w:eastAsia="方正仿宋_GBK" w:cs="Times New Roman"/>
          <w:color w:val="000000" w:themeColor="text1"/>
          <w:sz w:val="32"/>
          <w:szCs w:val="32"/>
          <w14:textFill>
            <w14:solidFill>
              <w14:schemeClr w14:val="tx1"/>
            </w14:solidFill>
          </w14:textFill>
        </w:rPr>
        <w:t>以孕产保健、儿童保健、妇女保健和出生缺陷防治为中心，以必要的临床诊疗技术为支撑提供妇幼健康服务，承担我区妇幼健康业务管理和技术支持工作，实施妇幼公共卫生项目，提高妇女儿童健康水平。</w:t>
      </w:r>
      <w:bookmarkEnd w:id="159"/>
      <w:bookmarkEnd w:id="16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61" w:name="_Toc31271"/>
      <w:bookmarkStart w:id="162" w:name="_Toc1694"/>
      <w:bookmarkStart w:id="163" w:name="_Toc16125"/>
      <w:bookmarkStart w:id="164" w:name="_Toc2061"/>
      <w:r>
        <w:rPr>
          <w:rFonts w:ascii="Times New Roman" w:hAnsi="Times New Roman" w:eastAsia="方正仿宋_GBK" w:cs="Times New Roman"/>
          <w:color w:val="000000" w:themeColor="text1"/>
          <w:sz w:val="32"/>
          <w:szCs w:val="32"/>
          <w14:textFill>
            <w14:solidFill>
              <w14:schemeClr w14:val="tx1"/>
            </w14:solidFill>
          </w14:textFill>
        </w:rPr>
        <w:t>3.老年健康服务机构</w:t>
      </w:r>
      <w:bookmarkEnd w:id="161"/>
      <w:bookmarkEnd w:id="162"/>
      <w:bookmarkEnd w:id="163"/>
      <w:bookmarkEnd w:id="164"/>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65" w:name="_Toc27521"/>
      <w:bookmarkStart w:id="166" w:name="_Toc12104"/>
      <w:r>
        <w:rPr>
          <w:rFonts w:ascii="Times New Roman" w:hAnsi="Times New Roman" w:eastAsia="方正仿宋_GBK" w:cs="Times New Roman"/>
          <w:color w:val="000000" w:themeColor="text1"/>
          <w:sz w:val="32"/>
          <w:szCs w:val="32"/>
          <w14:textFill>
            <w14:solidFill>
              <w14:schemeClr w14:val="tx1"/>
            </w14:solidFill>
          </w14:textFill>
        </w:rPr>
        <w:t>以设置老年医学科的综合性医院和老年医院为主体，以疾病预防控制机构、基层医疗卫生机构、护理院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中心、站</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、安宁疗护机构等为基础，承担为老年人提供健康教育、预防保健、疾病诊治、康复护理、长期照护、安宁疗护等综合连续老年健康服务。</w:t>
      </w:r>
      <w:bookmarkEnd w:id="165"/>
      <w:bookmarkEnd w:id="16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67" w:name="_Toc15485"/>
      <w:bookmarkStart w:id="168" w:name="_Toc17667"/>
      <w:bookmarkStart w:id="169" w:name="_Toc17814"/>
      <w:bookmarkStart w:id="170" w:name="_Toc21300"/>
      <w:r>
        <w:rPr>
          <w:rFonts w:ascii="Times New Roman" w:hAnsi="Times New Roman" w:eastAsia="方正仿宋_GBK" w:cs="Times New Roman"/>
          <w:color w:val="000000" w:themeColor="text1"/>
          <w:sz w:val="32"/>
          <w:szCs w:val="32"/>
          <w14:textFill>
            <w14:solidFill>
              <w14:schemeClr w14:val="tx1"/>
            </w14:solidFill>
          </w14:textFill>
        </w:rPr>
        <w:t>4.职业健康机构</w:t>
      </w:r>
      <w:bookmarkEnd w:id="167"/>
      <w:bookmarkEnd w:id="168"/>
      <w:bookmarkEnd w:id="169"/>
      <w:bookmarkEnd w:id="17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71" w:name="_Toc26435"/>
      <w:bookmarkStart w:id="172" w:name="_Toc28726"/>
      <w:r>
        <w:rPr>
          <w:rFonts w:ascii="Times New Roman" w:hAnsi="Times New Roman" w:eastAsia="方正仿宋_GBK" w:cs="Times New Roman"/>
          <w:color w:val="000000" w:themeColor="text1"/>
          <w:sz w:val="32"/>
          <w:szCs w:val="32"/>
          <w14:textFill>
            <w14:solidFill>
              <w14:schemeClr w14:val="tx1"/>
            </w14:solidFill>
          </w14:textFill>
        </w:rPr>
        <w:t>依托具备职业病诊断救治条件的综合医院和负有职业病诊断职责的</w:t>
      </w:r>
      <w:r>
        <w:rPr>
          <w:rFonts w:hint="eastAsia" w:ascii="Times New Roman" w:hAnsi="Times New Roman" w:eastAsia="方正仿宋_GBK" w:cs="Times New Roman"/>
          <w:color w:val="000000" w:themeColor="text1"/>
          <w:sz w:val="32"/>
          <w:szCs w:val="32"/>
          <w14:textFill>
            <w14:solidFill>
              <w14:schemeClr w14:val="tx1"/>
            </w14:solidFill>
          </w14:textFill>
        </w:rPr>
        <w:t>专业机构</w:t>
      </w:r>
      <w:r>
        <w:rPr>
          <w:rFonts w:ascii="Times New Roman" w:hAnsi="Times New Roman" w:eastAsia="方正仿宋_GBK" w:cs="Times New Roman"/>
          <w:color w:val="000000" w:themeColor="text1"/>
          <w:sz w:val="32"/>
          <w:szCs w:val="32"/>
          <w14:textFill>
            <w14:solidFill>
              <w14:schemeClr w14:val="tx1"/>
            </w14:solidFill>
          </w14:textFill>
        </w:rPr>
        <w:t>，承担我区职业病诊断救治工作。承担区内的重点职业病和职业病危害因素监测、职业健康风险评估、职业病防治情况统计和调查分析、职业健康检查、职业病报告、应急处置、职业健康宣传教育与健康促进等技术支撑任务。</w:t>
      </w:r>
      <w:bookmarkEnd w:id="171"/>
      <w:bookmarkEnd w:id="17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73" w:name="_Toc32142"/>
      <w:bookmarkStart w:id="174" w:name="_Toc10029"/>
      <w:bookmarkStart w:id="175" w:name="_Toc5964"/>
      <w:bookmarkStart w:id="176" w:name="_Toc12719"/>
      <w:r>
        <w:rPr>
          <w:rFonts w:ascii="Times New Roman" w:hAnsi="Times New Roman" w:eastAsia="方正仿宋_GBK" w:cs="Times New Roman"/>
          <w:color w:val="000000" w:themeColor="text1"/>
          <w:sz w:val="32"/>
          <w:szCs w:val="32"/>
          <w14:textFill>
            <w14:solidFill>
              <w14:schemeClr w14:val="tx1"/>
            </w14:solidFill>
          </w14:textFill>
        </w:rPr>
        <w:t>5.健康教育机构</w:t>
      </w:r>
      <w:bookmarkEnd w:id="173"/>
      <w:bookmarkEnd w:id="174"/>
      <w:bookmarkEnd w:id="175"/>
      <w:bookmarkEnd w:id="17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77" w:name="_Toc19483"/>
      <w:bookmarkStart w:id="178" w:name="_Toc16495"/>
      <w:bookmarkStart w:id="179" w:name="_Toc30821"/>
      <w:r>
        <w:rPr>
          <w:rFonts w:ascii="Times New Roman" w:hAnsi="Times New Roman" w:eastAsia="方正仿宋_GBK" w:cs="Times New Roman"/>
          <w:color w:val="000000" w:themeColor="text1"/>
          <w:sz w:val="32"/>
          <w:szCs w:val="32"/>
          <w14:textFill>
            <w14:solidFill>
              <w14:schemeClr w14:val="tx1"/>
            </w14:solidFill>
          </w14:textFill>
        </w:rPr>
        <w:t>承担健康教育与健康促进、新闻宣传等职责，负责我区医疗卫生、机关、学校等机构业务指导、人员培训、健康危险因素和健康素养监测与评估等职能。</w:t>
      </w:r>
      <w:bookmarkEnd w:id="177"/>
      <w:bookmarkEnd w:id="178"/>
      <w:bookmarkEnd w:id="179"/>
      <w:bookmarkStart w:id="180" w:name="_Toc29676"/>
      <w:bookmarkStart w:id="181" w:name="_Toc12949"/>
      <w:bookmarkStart w:id="182" w:name="_Toc11311"/>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83" w:name="_Toc25739"/>
      <w:r>
        <w:rPr>
          <w:rFonts w:ascii="Times New Roman" w:hAnsi="Times New Roman" w:eastAsia="方正仿宋_GBK" w:cs="Times New Roman"/>
          <w:color w:val="000000" w:themeColor="text1"/>
          <w:sz w:val="32"/>
          <w:szCs w:val="32"/>
          <w14:textFill>
            <w14:solidFill>
              <w14:schemeClr w14:val="tx1"/>
            </w14:solidFill>
          </w14:textFill>
        </w:rPr>
        <w:t>6.康复医疗服务机构</w:t>
      </w:r>
      <w:bookmarkEnd w:id="180"/>
      <w:bookmarkEnd w:id="181"/>
      <w:bookmarkEnd w:id="182"/>
      <w:bookmarkEnd w:id="18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84" w:name="_Toc20801"/>
      <w:bookmarkStart w:id="185" w:name="_Toc24976"/>
      <w:r>
        <w:rPr>
          <w:rFonts w:ascii="Times New Roman" w:hAnsi="Times New Roman" w:eastAsia="方正仿宋_GBK" w:cs="Times New Roman"/>
          <w:color w:val="000000" w:themeColor="text1"/>
          <w:sz w:val="32"/>
          <w:szCs w:val="32"/>
          <w14:textFill>
            <w14:solidFill>
              <w14:schemeClr w14:val="tx1"/>
            </w14:solidFill>
          </w14:textFill>
        </w:rPr>
        <w:t>以康复医院康复医学科为主体，以基层医疗机构等为基础，</w:t>
      </w:r>
      <w:r>
        <w:rPr>
          <w:rFonts w:hint="eastAsia" w:ascii="Times New Roman" w:hAnsi="Times New Roman" w:eastAsia="方正仿宋_GBK" w:cs="Times New Roman"/>
          <w:color w:val="000000" w:themeColor="text1"/>
          <w:sz w:val="32"/>
          <w:szCs w:val="32"/>
          <w14:textFill>
            <w14:solidFill>
              <w14:schemeClr w14:val="tx1"/>
            </w14:solidFill>
          </w14:textFill>
        </w:rPr>
        <w:t>完善康复医疗服务网络，</w:t>
      </w:r>
      <w:r>
        <w:rPr>
          <w:rFonts w:ascii="Times New Roman" w:hAnsi="Times New Roman" w:eastAsia="方正仿宋_GBK" w:cs="Times New Roman"/>
          <w:color w:val="000000" w:themeColor="text1"/>
          <w:sz w:val="32"/>
          <w:szCs w:val="32"/>
          <w14:textFill>
            <w14:solidFill>
              <w14:schemeClr w14:val="tx1"/>
            </w14:solidFill>
          </w14:textFill>
        </w:rPr>
        <w:t>以康复需求为服务对象，运用治疗手段，改善患者功能障碍，提高生活自理能力，提升生存质量。</w:t>
      </w:r>
      <w:bookmarkEnd w:id="184"/>
      <w:bookmarkEnd w:id="18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86" w:name="_Toc15134"/>
      <w:bookmarkStart w:id="187" w:name="_Toc6311"/>
      <w:bookmarkStart w:id="188" w:name="_Toc23704"/>
      <w:bookmarkStart w:id="189" w:name="_Toc8187"/>
      <w:r>
        <w:rPr>
          <w:rFonts w:ascii="Times New Roman" w:hAnsi="Times New Roman" w:eastAsia="方正仿宋_GBK" w:cs="Times New Roman"/>
          <w:color w:val="000000" w:themeColor="text1"/>
          <w:sz w:val="32"/>
          <w:szCs w:val="32"/>
          <w14:textFill>
            <w14:solidFill>
              <w14:schemeClr w14:val="tx1"/>
            </w14:solidFill>
          </w14:textFill>
        </w:rPr>
        <w:t>7.心理健康与精神卫生机构</w:t>
      </w:r>
      <w:bookmarkEnd w:id="186"/>
      <w:bookmarkEnd w:id="187"/>
      <w:bookmarkEnd w:id="188"/>
      <w:bookmarkEnd w:id="189"/>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190" w:name="_Toc14205"/>
      <w:bookmarkStart w:id="191" w:name="_Toc7882"/>
      <w:r>
        <w:rPr>
          <w:rFonts w:ascii="Times New Roman" w:hAnsi="Times New Roman" w:eastAsia="方正仿宋_GBK" w:cs="Times New Roman"/>
          <w:color w:val="000000" w:themeColor="text1"/>
          <w:sz w:val="32"/>
          <w:szCs w:val="32"/>
          <w14:textFill>
            <w14:solidFill>
              <w14:schemeClr w14:val="tx1"/>
            </w14:solidFill>
          </w14:textFill>
        </w:rPr>
        <w:t>承担精神心理卫生技术管理和指导职能，负责精神疾病医疗、预防、医学康复、健康教育、信息收集和防治技术培训、指导、管理，以及心理治疗、心理咨询等心理健康服务。基层医疗卫生机构主要承担基层精神疾病患者管理和居家康复指导、居民心理健康指导等任务。</w:t>
      </w:r>
      <w:bookmarkEnd w:id="190"/>
      <w:bookmarkEnd w:id="191"/>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92" w:name="_Toc9983"/>
      <w:bookmarkStart w:id="193" w:name="_Toc3881"/>
      <w:bookmarkStart w:id="194" w:name="_Toc27811"/>
      <w:bookmarkStart w:id="195" w:name="_Toc19615"/>
      <w:r>
        <w:rPr>
          <w:rFonts w:ascii="Times New Roman" w:hAnsi="Times New Roman" w:eastAsia="方正楷体_GBK" w:cs="Times New Roman"/>
          <w:bCs/>
          <w:color w:val="000000" w:themeColor="text1"/>
          <w:sz w:val="32"/>
          <w:szCs w:val="32"/>
          <w14:textFill>
            <w14:solidFill>
              <w14:schemeClr w14:val="tx1"/>
            </w14:solidFill>
          </w14:textFill>
        </w:rPr>
        <w:t>（二）完善普惠托育服务</w:t>
      </w:r>
      <w:bookmarkEnd w:id="136"/>
      <w:bookmarkEnd w:id="137"/>
      <w:bookmarkEnd w:id="138"/>
      <w:bookmarkEnd w:id="139"/>
      <w:r>
        <w:rPr>
          <w:rFonts w:ascii="Times New Roman" w:hAnsi="Times New Roman" w:eastAsia="方正楷体_GBK" w:cs="Times New Roman"/>
          <w:bCs/>
          <w:color w:val="000000" w:themeColor="text1"/>
          <w:sz w:val="32"/>
          <w:szCs w:val="32"/>
          <w14:textFill>
            <w14:solidFill>
              <w14:schemeClr w14:val="tx1"/>
            </w14:solidFill>
          </w14:textFill>
        </w:rPr>
        <w:t>网络</w:t>
      </w:r>
      <w:bookmarkEnd w:id="140"/>
      <w:bookmarkEnd w:id="192"/>
      <w:bookmarkEnd w:id="193"/>
      <w:bookmarkEnd w:id="194"/>
      <w:bookmarkEnd w:id="19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托育服务网络主要包括区域综合托育中心、托育服务机构、托儿所</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幼儿园托班、社区托育点、单位托育点等。完善全区普惠托育服务体系，满足家庭科学育养指导和0—3岁婴幼儿照护需求，促进婴幼儿健康发展。</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积极开展婴幼儿照护服务示范机构创建，推进托育机构服务规范化。完善行业准入、管理运营、从业人员资质、质量评估、安全监管等方面的标准和规范，扩大托育服务供给力度。鼓励和支持政府、用人单位和社会力量，发展普惠托育服务，形成全日托、半日托、计时托和临时托等多种形式的服务网络，构建完善</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家庭为主、托育补充</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婴幼儿照护服务体系。完成设置1000个托位的区公立示范性综合托育服务中心建设任务，在就业人群密集的产业聚集区域，如两江新区蔡家智慧新城、两江新区水土高新技术产业园、西部科学城北碚片区和女职工集中的用人单位建立婴幼儿照护服务机构。2023年，托</w:t>
      </w:r>
      <w:r>
        <w:rPr>
          <w:rFonts w:hint="eastAsia" w:ascii="Times New Roman" w:hAnsi="Times New Roman" w:eastAsia="方正仿宋_GBK" w:cs="Times New Roman"/>
          <w:color w:val="000000" w:themeColor="text1"/>
          <w:sz w:val="32"/>
          <w:szCs w:val="32"/>
          <w14:textFill>
            <w14:solidFill>
              <w14:schemeClr w14:val="tx1"/>
            </w14:solidFill>
          </w14:textFill>
        </w:rPr>
        <w:t>育</w:t>
      </w:r>
      <w:r>
        <w:rPr>
          <w:rFonts w:ascii="Times New Roman" w:hAnsi="Times New Roman" w:eastAsia="方正仿宋_GBK" w:cs="Times New Roman"/>
          <w:color w:val="000000" w:themeColor="text1"/>
          <w:sz w:val="32"/>
          <w:szCs w:val="32"/>
          <w14:textFill>
            <w14:solidFill>
              <w14:schemeClr w14:val="tx1"/>
            </w14:solidFill>
          </w14:textFill>
        </w:rPr>
        <w:t>结合、以点带面的托育服务模式初步形成。到2025年，多元化、多样化、覆盖城乡的婴幼儿照护服务体系基本形成，每千人口拥有3岁以下婴幼儿托位数达到4.5个，其中普惠托位数不少于2.7个。</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196" w:name="_Toc21281"/>
      <w:bookmarkStart w:id="197" w:name="_Toc16779"/>
      <w:bookmarkStart w:id="198" w:name="_Toc30300"/>
      <w:bookmarkStart w:id="199" w:name="_Toc28793"/>
      <w:bookmarkStart w:id="200" w:name="_Toc20154"/>
      <w:r>
        <w:rPr>
          <w:rFonts w:ascii="Times New Roman" w:hAnsi="Times New Roman" w:eastAsia="方正楷体_GBK" w:cs="Times New Roman"/>
          <w:bCs/>
          <w:color w:val="000000" w:themeColor="text1"/>
          <w:sz w:val="32"/>
          <w:szCs w:val="32"/>
          <w14:textFill>
            <w14:solidFill>
              <w14:schemeClr w14:val="tx1"/>
            </w14:solidFill>
          </w14:textFill>
        </w:rPr>
        <w:t>（三）健全妇幼健康服务</w:t>
      </w:r>
      <w:bookmarkEnd w:id="141"/>
      <w:bookmarkEnd w:id="142"/>
      <w:bookmarkEnd w:id="143"/>
      <w:bookmarkEnd w:id="144"/>
      <w:r>
        <w:rPr>
          <w:rFonts w:ascii="Times New Roman" w:hAnsi="Times New Roman" w:eastAsia="方正楷体_GBK" w:cs="Times New Roman"/>
          <w:bCs/>
          <w:color w:val="000000" w:themeColor="text1"/>
          <w:sz w:val="32"/>
          <w:szCs w:val="32"/>
          <w14:textFill>
            <w14:solidFill>
              <w14:schemeClr w14:val="tx1"/>
            </w14:solidFill>
          </w14:textFill>
        </w:rPr>
        <w:t>网络</w:t>
      </w:r>
      <w:bookmarkEnd w:id="196"/>
      <w:bookmarkEnd w:id="197"/>
      <w:bookmarkEnd w:id="198"/>
      <w:bookmarkEnd w:id="199"/>
      <w:bookmarkEnd w:id="20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以区妇幼保健院为核心，以综合医院妇产科、儿科为骨干，以基层医疗卫生机构为基础，夯实全区妇幼健康服务网络。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01" w:name="_Toc762"/>
      <w:bookmarkStart w:id="202" w:name="_Toc937"/>
      <w:r>
        <w:rPr>
          <w:rFonts w:ascii="Times New Roman" w:hAnsi="Times New Roman" w:eastAsia="方正仿宋_GBK" w:cs="Times New Roman"/>
          <w:color w:val="000000" w:themeColor="text1"/>
          <w:sz w:val="32"/>
          <w:szCs w:val="32"/>
          <w14:textFill>
            <w14:solidFill>
              <w14:schemeClr w14:val="tx1"/>
            </w14:solidFill>
          </w14:textFill>
        </w:rPr>
        <w:t>1.</w:t>
      </w:r>
      <w:bookmarkEnd w:id="201"/>
      <w:r>
        <w:rPr>
          <w:rFonts w:ascii="Times New Roman" w:hAnsi="Times New Roman" w:eastAsia="方正仿宋_GBK" w:cs="Times New Roman"/>
          <w:color w:val="000000" w:themeColor="text1"/>
          <w:sz w:val="32"/>
          <w:szCs w:val="32"/>
          <w14:textFill>
            <w14:solidFill>
              <w14:schemeClr w14:val="tx1"/>
            </w14:solidFill>
          </w14:textFill>
        </w:rPr>
        <w:t>加强妇幼保健体系建设</w:t>
      </w:r>
      <w:bookmarkEnd w:id="20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加强妇幼体系建设，实施妇幼保健服务保障工程和妇幼服务能力提升项目，规范公共场所母婴设施建设。加强区妇幼保健院能力建设，完成区妇幼保健院建设项目。</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03" w:name="_Toc31129"/>
      <w:bookmarkStart w:id="204" w:name="_Toc25596"/>
      <w:r>
        <w:rPr>
          <w:rFonts w:ascii="Times New Roman" w:hAnsi="Times New Roman" w:eastAsia="方正仿宋_GBK" w:cs="Times New Roman"/>
          <w:color w:val="000000" w:themeColor="text1"/>
          <w:sz w:val="32"/>
          <w:szCs w:val="32"/>
          <w14:textFill>
            <w14:solidFill>
              <w14:schemeClr w14:val="tx1"/>
            </w14:solidFill>
          </w14:textFill>
        </w:rPr>
        <w:t>2.巩固危重孕产妇和新生儿救治网络</w:t>
      </w:r>
      <w:bookmarkEnd w:id="203"/>
      <w:bookmarkEnd w:id="204"/>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加强孕产妇和新生儿危急重症救治能力建设，依托区妇幼保健院、</w:t>
      </w:r>
      <w:r>
        <w:rPr>
          <w:rFonts w:hint="eastAsia" w:ascii="Times New Roman" w:hAnsi="Times New Roman" w:eastAsia="方正仿宋_GBK" w:cs="Times New Roman"/>
          <w:color w:val="000000" w:themeColor="text1"/>
          <w:sz w:val="32"/>
          <w:szCs w:val="32"/>
          <w14:textFill>
            <w14:solidFill>
              <w14:schemeClr w14:val="tx1"/>
            </w14:solidFill>
          </w14:textFill>
        </w:rPr>
        <w:t>市第九人民医院</w:t>
      </w:r>
      <w:r>
        <w:rPr>
          <w:rFonts w:ascii="Times New Roman" w:hAnsi="Times New Roman" w:eastAsia="方正仿宋_GBK" w:cs="Times New Roman"/>
          <w:color w:val="000000" w:themeColor="text1"/>
          <w:sz w:val="32"/>
          <w:szCs w:val="32"/>
          <w14:textFill>
            <w14:solidFill>
              <w14:schemeClr w14:val="tx1"/>
            </w14:solidFill>
          </w14:textFill>
        </w:rPr>
        <w:t>、区中医院等救治能力较强的综合医院，建立危重孕产妇和新生儿救治中心。完善出生缺陷综合防治体系，畅通筛查转诊双向转诊通道，完善助产技术标准，持续减少非医学需要的剖宫产。</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05" w:name="_Toc31537"/>
      <w:bookmarkStart w:id="206" w:name="_Toc12996"/>
      <w:r>
        <w:rPr>
          <w:rFonts w:ascii="Times New Roman" w:hAnsi="Times New Roman" w:eastAsia="方正仿宋_GBK" w:cs="Times New Roman"/>
          <w:color w:val="000000" w:themeColor="text1"/>
          <w:sz w:val="32"/>
          <w:szCs w:val="32"/>
          <w14:textFill>
            <w14:solidFill>
              <w14:schemeClr w14:val="tx1"/>
            </w14:solidFill>
          </w14:textFill>
        </w:rPr>
        <w:t>3.强化儿童健康服务网络</w:t>
      </w:r>
      <w:bookmarkEnd w:id="205"/>
      <w:bookmarkEnd w:id="20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儿童医疗卫生服务资源统筹利用，健全儿童医疗服务网络。以区妇幼保健院为龙头，以镇（中心）卫生院、社区卫生服务中心为纽带，以村卫生室、社区卫生服务站为基础，夯实基层儿童保健服务网络，实现每个镇（中心）卫生院和社区卫生服务中心均有全科医生提供规范的儿童基本医疗服务，有医师专职从事儿童保健服务。</w:t>
      </w:r>
      <w:bookmarkStart w:id="207" w:name="_Toc74605477"/>
      <w:bookmarkStart w:id="208" w:name="_Toc20975"/>
      <w:bookmarkStart w:id="209" w:name="_Toc24060"/>
      <w:bookmarkStart w:id="210" w:name="_Toc31084"/>
      <w:bookmarkStart w:id="211" w:name="_Toc74605607"/>
      <w:bookmarkStart w:id="212" w:name="_Toc74297514"/>
      <w:bookmarkStart w:id="213" w:name="_Toc74297325"/>
      <w:r>
        <w:rPr>
          <w:rFonts w:ascii="Times New Roman" w:hAnsi="Times New Roman" w:eastAsia="方正仿宋_GBK" w:cs="Times New Roman"/>
          <w:color w:val="000000" w:themeColor="text1"/>
          <w:sz w:val="32"/>
          <w:szCs w:val="32"/>
          <w14:textFill>
            <w14:solidFill>
              <w14:schemeClr w14:val="tx1"/>
            </w14:solidFill>
          </w14:textFill>
        </w:rPr>
        <w:t>依托</w:t>
      </w:r>
      <w:r>
        <w:rPr>
          <w:rFonts w:hint="eastAsia" w:ascii="Times New Roman" w:hAnsi="Times New Roman" w:eastAsia="方正仿宋_GBK" w:cs="Times New Roman"/>
          <w:color w:val="000000" w:themeColor="text1"/>
          <w:sz w:val="32"/>
          <w:szCs w:val="32"/>
          <w14:textFill>
            <w14:solidFill>
              <w14:schemeClr w14:val="tx1"/>
            </w14:solidFill>
          </w14:textFill>
        </w:rPr>
        <w:t>市第九人民医院</w:t>
      </w:r>
      <w:r>
        <w:rPr>
          <w:rFonts w:ascii="Times New Roman" w:hAnsi="Times New Roman" w:eastAsia="方正仿宋_GBK" w:cs="Times New Roman"/>
          <w:color w:val="000000" w:themeColor="text1"/>
          <w:sz w:val="32"/>
          <w:szCs w:val="32"/>
          <w14:textFill>
            <w14:solidFill>
              <w14:schemeClr w14:val="tx1"/>
            </w14:solidFill>
          </w14:textFill>
        </w:rPr>
        <w:t>打造具有西部乃至全国影响力的儿童睡眠障碍临床诊疗及研究中心。</w:t>
      </w:r>
      <w:bookmarkStart w:id="214" w:name="_Toc31198"/>
      <w:bookmarkStart w:id="215" w:name="_Toc901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（四）构建老年健康服务</w:t>
      </w:r>
      <w:bookmarkEnd w:id="207"/>
      <w:bookmarkEnd w:id="208"/>
      <w:bookmarkEnd w:id="209"/>
      <w:bookmarkEnd w:id="210"/>
      <w:bookmarkEnd w:id="211"/>
      <w:bookmarkEnd w:id="212"/>
      <w:bookmarkEnd w:id="213"/>
      <w:bookmarkEnd w:id="214"/>
      <w:r>
        <w:rPr>
          <w:rFonts w:ascii="Times New Roman" w:hAnsi="Times New Roman" w:eastAsia="方正楷体_GBK" w:cs="Times New Roman"/>
          <w:bCs/>
          <w:color w:val="000000" w:themeColor="text1"/>
          <w:sz w:val="32"/>
          <w:szCs w:val="32"/>
          <w14:textFill>
            <w14:solidFill>
              <w14:schemeClr w14:val="tx1"/>
            </w14:solidFill>
          </w14:textFill>
        </w:rPr>
        <w:t>体系</w:t>
      </w:r>
      <w:bookmarkEnd w:id="21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1.完善老年健康服务网络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以市十三人民医院（市老年病医院）和设置老年医学科的综合医院为主体，以疾控中心、基层医疗卫生机构、护理院（中心、站）、安宁疗护机构等为基础，构建全区老年健康服务网络，为老年人提供健康教育、预防保健、疾病诊治、康复护理、长期照护、安宁疗护等综合连续服务。发挥市</w:t>
      </w:r>
      <w:r>
        <w:rPr>
          <w:rFonts w:hint="eastAsia" w:ascii="Times New Roman" w:hAnsi="Times New Roman" w:eastAsia="方正仿宋_GBK" w:cs="Times New Roman"/>
          <w:color w:val="000000" w:themeColor="text1"/>
          <w:sz w:val="32"/>
          <w:szCs w:val="32"/>
          <w14:textFill>
            <w14:solidFill>
              <w14:schemeClr w14:val="tx1"/>
            </w14:solidFill>
          </w14:textFill>
        </w:rPr>
        <w:t>第</w:t>
      </w:r>
      <w:r>
        <w:rPr>
          <w:rFonts w:ascii="Times New Roman" w:hAnsi="Times New Roman" w:eastAsia="方正仿宋_GBK" w:cs="Times New Roman"/>
          <w:color w:val="000000" w:themeColor="text1"/>
          <w:sz w:val="32"/>
          <w:szCs w:val="32"/>
          <w14:textFill>
            <w14:solidFill>
              <w14:schemeClr w14:val="tx1"/>
            </w14:solidFill>
          </w14:textFill>
        </w:rPr>
        <w:t>九人民医院、</w:t>
      </w:r>
      <w:r>
        <w:rPr>
          <w:rFonts w:hint="eastAsia" w:ascii="Times New Roman" w:hAnsi="Times New Roman" w:eastAsia="方正仿宋_GBK" w:cs="Times New Roman"/>
          <w:color w:val="000000" w:themeColor="text1"/>
          <w:sz w:val="32"/>
          <w:szCs w:val="32"/>
          <w14:textFill>
            <w14:solidFill>
              <w14:schemeClr w14:val="tx1"/>
            </w14:solidFill>
          </w14:textFill>
        </w:rPr>
        <w:t>区</w:t>
      </w:r>
      <w:r>
        <w:rPr>
          <w:rFonts w:ascii="Times New Roman" w:hAnsi="Times New Roman" w:eastAsia="方正仿宋_GBK" w:cs="Times New Roman"/>
          <w:color w:val="000000" w:themeColor="text1"/>
          <w:sz w:val="32"/>
          <w:szCs w:val="32"/>
          <w14:textFill>
            <w14:solidFill>
              <w14:schemeClr w14:val="tx1"/>
            </w14:solidFill>
          </w14:textFill>
        </w:rPr>
        <w:t>中医院三甲医院优势，开设或加强老年医学科建设，增加老年病床位数量，到2025年，设置老年医疗护理床位达到供需平衡，更好满足高龄失能失智老年人护理服务需求。</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2.提升多病共治服务能力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加快市十三人民医院（市老年病医院）建设，加强</w:t>
      </w:r>
      <w:r>
        <w:rPr>
          <w:rFonts w:hint="eastAsia" w:ascii="Times New Roman" w:hAnsi="Times New Roman" w:eastAsia="方正仿宋_GBK" w:cs="Times New Roman"/>
          <w:color w:val="000000" w:themeColor="text1"/>
          <w:sz w:val="32"/>
          <w:szCs w:val="32"/>
          <w14:textFill>
            <w14:solidFill>
              <w14:schemeClr w14:val="tx1"/>
            </w14:solidFill>
          </w14:textFill>
        </w:rPr>
        <w:t>市第九人民医院</w:t>
      </w:r>
      <w:r>
        <w:rPr>
          <w:rFonts w:ascii="Times New Roman" w:hAnsi="Times New Roman" w:eastAsia="方正仿宋_GBK" w:cs="Times New Roman"/>
          <w:color w:val="000000" w:themeColor="text1"/>
          <w:sz w:val="32"/>
          <w:szCs w:val="32"/>
          <w14:textFill>
            <w14:solidFill>
              <w14:schemeClr w14:val="tx1"/>
            </w14:solidFill>
          </w14:textFill>
        </w:rPr>
        <w:t>老年医学科、区中医院老年医学科建设，到2025年，我区二级以上综合性医院老年医学科设置比例不低于55%；推动综合医院老年医学科和老年医院从以疾病为中心的单病种医疗模式向以患者为中心的多病共治模式转变。</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3.完善长期照护和安宁疗护服务网络</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依托社区卫生服务中心、镇（中心）卫生院规划建设一批社区（镇）医养结合服务中心，重点为社区（镇）失能、失智老年人提供长期护理服务。鼓励有条件的基层医疗卫生机构设立家庭病床、日间护理中心或</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呼叫中心</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等。鼓励社会力量举办护理院（中心、站），鼓励有条件的社区卫生服务中心（站）和镇（中心）卫生院设立安宁疗护病床。认真落实养老机构设置医疗机构行政审批的相关政策，推进养老机构与医疗机构融合发展，鼓励养老机构根据服务需求和自身能力，申请开办老年病医院、康复医院、护理院（中心、站）、中医医院和临终关怀机构等。</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216" w:name="_Toc74297515"/>
      <w:bookmarkStart w:id="217" w:name="_Toc74605478"/>
      <w:bookmarkStart w:id="218" w:name="_Toc74605608"/>
      <w:bookmarkStart w:id="219" w:name="_Toc74297326"/>
      <w:bookmarkStart w:id="220" w:name="_Toc12206"/>
      <w:bookmarkStart w:id="221" w:name="_Toc24504"/>
      <w:bookmarkStart w:id="222" w:name="_Toc22009"/>
      <w:bookmarkStart w:id="223" w:name="_Toc28645"/>
      <w:bookmarkStart w:id="224" w:name="_Toc8973"/>
      <w:r>
        <w:rPr>
          <w:rFonts w:ascii="Times New Roman" w:hAnsi="Times New Roman" w:eastAsia="方正楷体_GBK" w:cs="Times New Roman"/>
          <w:bCs/>
          <w:color w:val="000000" w:themeColor="text1"/>
          <w:sz w:val="32"/>
          <w:szCs w:val="32"/>
          <w14:textFill>
            <w14:solidFill>
              <w14:schemeClr w14:val="tx1"/>
            </w14:solidFill>
          </w14:textFill>
        </w:rPr>
        <w:t>（五）完善职业病防治</w:t>
      </w:r>
      <w:bookmarkEnd w:id="216"/>
      <w:bookmarkEnd w:id="217"/>
      <w:bookmarkEnd w:id="218"/>
      <w:bookmarkEnd w:id="219"/>
      <w:r>
        <w:rPr>
          <w:rFonts w:ascii="Times New Roman" w:hAnsi="Times New Roman" w:eastAsia="方正楷体_GBK" w:cs="Times New Roman"/>
          <w:bCs/>
          <w:color w:val="000000" w:themeColor="text1"/>
          <w:sz w:val="32"/>
          <w:szCs w:val="32"/>
          <w14:textFill>
            <w14:solidFill>
              <w14:schemeClr w14:val="tx1"/>
            </w14:solidFill>
          </w14:textFill>
        </w:rPr>
        <w:t>网络</w:t>
      </w:r>
      <w:bookmarkEnd w:id="220"/>
      <w:bookmarkEnd w:id="221"/>
      <w:bookmarkEnd w:id="222"/>
      <w:bookmarkEnd w:id="223"/>
      <w:bookmarkEnd w:id="224"/>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健全职业病防治网络，加强重点职业病监测和职业健康风险评估。提升医疗卫生机构职业病报告、职业健康检查和职业病诊断、鉴定、救治能力。持续开展专项治理，加强职业病危害源头管控。全面实施职业健康保护行动。加强人员配置，配齐职业卫生、放射卫生、检测检验、工程技术、临床医学等相关专业技术人员。</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依托具备职业病诊断救治条件的综合医院和负有职业病诊断职责的</w:t>
      </w:r>
      <w:r>
        <w:rPr>
          <w:rFonts w:hint="eastAsia" w:ascii="Times New Roman" w:hAnsi="Times New Roman" w:eastAsia="方正仿宋_GBK" w:cs="Times New Roman"/>
          <w:color w:val="000000" w:themeColor="text1"/>
          <w:sz w:val="32"/>
          <w:szCs w:val="32"/>
          <w14:textFill>
            <w14:solidFill>
              <w14:schemeClr w14:val="tx1"/>
            </w14:solidFill>
          </w14:textFill>
        </w:rPr>
        <w:t>专业机构</w:t>
      </w:r>
      <w:r>
        <w:rPr>
          <w:rFonts w:ascii="Times New Roman" w:hAnsi="Times New Roman" w:eastAsia="方正仿宋_GBK" w:cs="Times New Roman"/>
          <w:color w:val="000000" w:themeColor="text1"/>
          <w:sz w:val="32"/>
          <w:szCs w:val="32"/>
          <w14:textFill>
            <w14:solidFill>
              <w14:schemeClr w14:val="tx1"/>
            </w14:solidFill>
          </w14:textFill>
        </w:rPr>
        <w:t>，承担我区职业病诊断救治工作。鼓励尘肺病等职业患者数量多的镇（街道），依托镇（中心）卫生院、社区卫生服务中心，提升救治能力，开展职业病患者康复工作。</w:t>
      </w:r>
      <w:bookmarkStart w:id="225" w:name="_Toc75018885"/>
      <w:r>
        <w:rPr>
          <w:rFonts w:ascii="Times New Roman" w:hAnsi="Times New Roman" w:eastAsia="方正仿宋_GBK" w:cs="Times New Roman"/>
          <w:color w:val="000000" w:themeColor="text1"/>
          <w:sz w:val="32"/>
          <w:szCs w:val="32"/>
          <w14:textFill>
            <w14:solidFill>
              <w14:schemeClr w14:val="tx1"/>
            </w14:solidFill>
          </w14:textFill>
        </w:rPr>
        <w:t xml:space="preserve"> </w:t>
      </w:r>
      <w:bookmarkStart w:id="226" w:name="_Toc10598"/>
      <w:bookmarkStart w:id="227" w:name="_Toc13002"/>
      <w:bookmarkStart w:id="228" w:name="_Toc1048"/>
      <w:bookmarkStart w:id="229" w:name="_Toc5993"/>
      <w:bookmarkStart w:id="230" w:name="_Toc21555"/>
      <w:r>
        <w:rPr>
          <w:rFonts w:ascii="Times New Roman" w:hAnsi="Times New Roman" w:eastAsia="仿宋" w:cs="Times New Roman"/>
          <w:color w:val="000000" w:themeColor="text1"/>
          <w:sz w:val="32"/>
          <w:szCs w:val="32"/>
          <w14:textFill>
            <w14:solidFill>
              <w14:schemeClr w14:val="tx1"/>
            </w14:solidFill>
          </w14:textFill>
        </w:rPr>
        <w:t xml:space="preserve">   </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（六）健全康复与健康教育</w:t>
      </w:r>
      <w:bookmarkEnd w:id="225"/>
      <w:r>
        <w:rPr>
          <w:rFonts w:ascii="Times New Roman" w:hAnsi="Times New Roman" w:eastAsia="方正楷体_GBK" w:cs="Times New Roman"/>
          <w:bCs/>
          <w:color w:val="000000" w:themeColor="text1"/>
          <w:sz w:val="32"/>
          <w:szCs w:val="32"/>
          <w14:textFill>
            <w14:solidFill>
              <w14:schemeClr w14:val="tx1"/>
            </w14:solidFill>
          </w14:textFill>
        </w:rPr>
        <w:t>网络</w:t>
      </w:r>
      <w:bookmarkEnd w:id="226"/>
      <w:bookmarkEnd w:id="227"/>
      <w:bookmarkEnd w:id="228"/>
      <w:bookmarkEnd w:id="229"/>
      <w:bookmarkEnd w:id="23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1.发展康复医疗体系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综合医院的康复（医学）科建设，完成市第九人民医院中西医康复楼建设，支持和引导社会力量举办规模化、连锁化的康复医疗中心。鼓励有条件的基层医疗卫生机构根据需要开设康复医疗门诊、增加康复医疗床位。加强康复医疗人才培养，逐步建立数量合理、素质优良的康复医疗专业队伍。</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2.加强健康教育服务体系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建设</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基层</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两级健康教育网络。建设一批健康教育服务基地，鼓励各级各类医院、专业公共卫生机构和基层医疗卫生机构设立健康教育科（室）。动员引导社会力量参与健康知识普及工作，充分发挥全媒体在健康科普知识发布和传播中的积极作用。</w:t>
      </w:r>
      <w:bookmarkStart w:id="231" w:name="_Toc74297517"/>
      <w:bookmarkStart w:id="232" w:name="_Toc74605610"/>
      <w:bookmarkStart w:id="233" w:name="_Toc74297328"/>
      <w:bookmarkStart w:id="234" w:name="_Toc74605480"/>
      <w:bookmarkStart w:id="235" w:name="_Toc75018886"/>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bCs/>
          <w:color w:val="000000" w:themeColor="text1"/>
          <w:sz w:val="32"/>
          <w:szCs w:val="32"/>
          <w14:textFill>
            <w14:solidFill>
              <w14:schemeClr w14:val="tx1"/>
            </w14:solidFill>
          </w14:textFill>
        </w:rPr>
      </w:pPr>
      <w:bookmarkStart w:id="236" w:name="_Toc8119"/>
      <w:bookmarkStart w:id="237" w:name="_Toc8796"/>
      <w:bookmarkStart w:id="238" w:name="_Toc7267"/>
      <w:bookmarkStart w:id="239" w:name="_Toc14047"/>
      <w:bookmarkStart w:id="240" w:name="_Toc24993"/>
      <w:r>
        <w:rPr>
          <w:rFonts w:ascii="Times New Roman" w:hAnsi="Times New Roman" w:eastAsia="方正楷体_GBK" w:cs="Times New Roman"/>
          <w:bCs/>
          <w:color w:val="000000" w:themeColor="text1"/>
          <w:sz w:val="32"/>
          <w:szCs w:val="32"/>
          <w14:textFill>
            <w14:solidFill>
              <w14:schemeClr w14:val="tx1"/>
            </w14:solidFill>
          </w14:textFill>
        </w:rPr>
        <w:t>（七）优化心理健康和精神卫生服务</w:t>
      </w:r>
      <w:bookmarkEnd w:id="231"/>
      <w:bookmarkEnd w:id="232"/>
      <w:bookmarkEnd w:id="233"/>
      <w:bookmarkEnd w:id="234"/>
      <w:bookmarkEnd w:id="235"/>
      <w:bookmarkStart w:id="241" w:name="_Toc74297329"/>
      <w:bookmarkStart w:id="242" w:name="_Toc75018887"/>
      <w:bookmarkStart w:id="243" w:name="_Toc74605481"/>
      <w:bookmarkStart w:id="244" w:name="_Toc74297518"/>
      <w:bookmarkStart w:id="245" w:name="_Toc74605611"/>
      <w:r>
        <w:rPr>
          <w:rFonts w:ascii="Times New Roman" w:hAnsi="Times New Roman" w:eastAsia="方正楷体_GBK" w:cs="Times New Roman"/>
          <w:bCs/>
          <w:color w:val="000000" w:themeColor="text1"/>
          <w:sz w:val="32"/>
          <w:szCs w:val="32"/>
          <w14:textFill>
            <w14:solidFill>
              <w14:schemeClr w14:val="tx1"/>
            </w14:solidFill>
          </w14:textFill>
        </w:rPr>
        <w:t>网络</w:t>
      </w:r>
      <w:bookmarkEnd w:id="236"/>
      <w:bookmarkEnd w:id="237"/>
      <w:bookmarkEnd w:id="238"/>
      <w:bookmarkEnd w:id="239"/>
      <w:bookmarkEnd w:id="24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46" w:name="_Toc21237"/>
      <w:bookmarkStart w:id="247" w:name="_Toc32233"/>
      <w:r>
        <w:rPr>
          <w:rFonts w:ascii="Times New Roman" w:hAnsi="Times New Roman" w:eastAsia="方正仿宋_GBK" w:cs="Times New Roman"/>
          <w:color w:val="000000" w:themeColor="text1"/>
          <w:sz w:val="32"/>
          <w:szCs w:val="32"/>
          <w14:textFill>
            <w14:solidFill>
              <w14:schemeClr w14:val="tx1"/>
            </w14:solidFill>
          </w14:textFill>
        </w:rPr>
        <w:t>1.加强精神卫生服务机构建设</w:t>
      </w:r>
      <w:bookmarkEnd w:id="246"/>
      <w:bookmarkEnd w:id="247"/>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以区精神卫生中心为主体，综合性医院精神科为辅助，基层医疗卫生机构和精神疾病社区康复机构为基础，统筹优化精神专科医疗资源规划与布局，健全精神卫生服务体系。实施精神卫生中心标准化建设工程，完成区精神卫生中心综合楼改扩建项目，依托区精神卫生中心建立全区精神卫生工作培训基地。</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48" w:name="_Toc3021"/>
      <w:bookmarkStart w:id="249" w:name="_Toc29915"/>
      <w:r>
        <w:rPr>
          <w:rFonts w:ascii="Times New Roman" w:hAnsi="Times New Roman" w:eastAsia="方正仿宋_GBK" w:cs="Times New Roman"/>
          <w:color w:val="000000" w:themeColor="text1"/>
          <w:sz w:val="32"/>
          <w:szCs w:val="32"/>
          <w14:textFill>
            <w14:solidFill>
              <w14:schemeClr w14:val="tx1"/>
            </w14:solidFill>
          </w14:textFill>
        </w:rPr>
        <w:t>2.加强精神卫生服务能力建设</w:t>
      </w:r>
      <w:bookmarkEnd w:id="248"/>
      <w:bookmarkEnd w:id="249"/>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加强精神卫生专业人员配置，每个甲级社区卫生服务中心和甲级乡镇卫生院均配备1名精神科医师，每个乡镇（街道）每80名严重精神障碍患者至少配备1名专职精神疾病防治人员。</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充分发挥西南大学及专业机构专业优势，积极促进北碚精神卫生中心和西南大学心理学部合作；加强绵阳市第三人民医院与北碚区精神卫生中心的交流与合作。强化基层医疗卫生机构精神（心理）科设置，所有甲级社区卫生服务中心和甲级乡镇卫生院均设置精神（心理）科。</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50" w:name="_Toc26780"/>
      <w:bookmarkStart w:id="251" w:name="_Toc12921"/>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ascii="Times New Roman" w:hAnsi="Times New Roman" w:eastAsia="方正仿宋_GBK" w:cs="Times New Roman"/>
          <w:color w:val="000000" w:themeColor="text1"/>
          <w:sz w:val="32"/>
          <w:szCs w:val="32"/>
          <w14:textFill>
            <w14:solidFill>
              <w14:schemeClr w14:val="tx1"/>
            </w14:solidFill>
          </w14:textFill>
        </w:rPr>
        <w:t>.建立覆盖城乡的心理健康服务网络</w:t>
      </w:r>
      <w:bookmarkEnd w:id="250"/>
      <w:bookmarkEnd w:id="251"/>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52" w:name="_Toc29356"/>
      <w:r>
        <w:rPr>
          <w:rFonts w:ascii="Times New Roman" w:hAnsi="Times New Roman" w:eastAsia="方正仿宋_GBK" w:cs="Times New Roman"/>
          <w:color w:val="000000" w:themeColor="text1"/>
          <w:sz w:val="32"/>
          <w:szCs w:val="32"/>
          <w14:textFill>
            <w14:solidFill>
              <w14:schemeClr w14:val="tx1"/>
            </w14:solidFill>
          </w14:textFill>
        </w:rPr>
        <w:t>加强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区—镇（街道）—村（社区）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三级社会心理服务网络建设。建立区级心理健康服务中心，50%以上的镇（街道）依托综治中心等单位建立社会心理服务站或工作站，村（社区）心理辅导室或社会心理服务场所建成率达到30%以上。85%的中小学设立心理辅导室，学前教育机构普遍开展家长心理健康教育，党政机关和企事业单位普遍为员工提供心理健康服务，公安、司法行政系统在监管场所普遍设立心理服务机构，100%的精神卫生中心和60%的二级以上综合医院开设心理门诊。</w:t>
      </w:r>
      <w:bookmarkStart w:id="253" w:name="_Toc2406"/>
      <w:bookmarkStart w:id="254" w:name="_Toc6424"/>
      <w:bookmarkStart w:id="255" w:name="_Toc11253"/>
      <w:r>
        <w:rPr>
          <w:rFonts w:ascii="Times New Roman" w:hAnsi="Times New Roman" w:eastAsia="方正仿宋_GBK" w:cs="Times New Roman"/>
          <w:color w:val="000000" w:themeColor="text1"/>
          <w:sz w:val="32"/>
          <w:szCs w:val="32"/>
          <w14:textFill>
            <w14:solidFill>
              <w14:schemeClr w14:val="tx1"/>
            </w14:solidFill>
          </w14:textFill>
        </w:rPr>
        <w:t>到2025年，居民心理健康素养水平达到40%。</w:t>
      </w:r>
      <w:bookmarkEnd w:id="252"/>
      <w:bookmarkStart w:id="256" w:name="_Toc18035"/>
    </w:p>
    <w:tbl>
      <w:tblPr>
        <w:tblStyle w:val="1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Borders>
              <w:top w:val="nil"/>
              <w:left w:val="nil"/>
              <w:bottom w:val="single" w:color="000000" w:sz="4" w:space="0"/>
              <w:right w:val="nil"/>
            </w:tcBorders>
          </w:tcPr>
          <w:p>
            <w:pPr>
              <w:pStyle w:val="19"/>
              <w:widowControl w:val="0"/>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专栏7 全生命周期健康服务体系建设项目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Borders>
              <w:top w:val="single" w:color="000000" w:sz="4" w:space="0"/>
            </w:tcBorders>
          </w:tcPr>
          <w:p>
            <w:pPr>
              <w:pStyle w:val="19"/>
              <w:widowControl w:val="0"/>
              <w:spacing w:line="570" w:lineRule="exact"/>
              <w:ind w:firstLine="560" w:firstLineChars="200"/>
              <w:jc w:val="both"/>
              <w:rPr>
                <w:rFonts w:ascii="Times New Roman" w:eastAsia="仿宋"/>
                <w:bCs/>
                <w:color w:val="000000" w:themeColor="text1"/>
                <w:kern w:val="2"/>
                <w:sz w:val="28"/>
                <w:szCs w:val="28"/>
                <w14:textFill>
                  <w14:solidFill>
                    <w14:schemeClr w14:val="tx1"/>
                  </w14:solidFill>
                </w14:textFill>
              </w:rPr>
            </w:pPr>
            <w:r>
              <w:rPr>
                <w:rFonts w:ascii="Times New Roman" w:eastAsia="仿宋"/>
                <w:bCs/>
                <w:color w:val="000000" w:themeColor="text1"/>
                <w:kern w:val="2"/>
                <w:sz w:val="28"/>
                <w:szCs w:val="28"/>
                <w14:textFill>
                  <w14:solidFill>
                    <w14:schemeClr w14:val="tx1"/>
                  </w14:solidFill>
                </w14:textFill>
              </w:rPr>
              <w:t>1.普惠托育服务体系建设。完成设置1000个托位的区公立示范性综合托育服务中心建设任务；新建、扩建、改建一批婴幼儿照护服务机构和设施，到2025年规划 1-2 所独立占地的婴幼儿照护服务设施和场地。</w:t>
            </w:r>
          </w:p>
          <w:p>
            <w:pPr>
              <w:pStyle w:val="19"/>
              <w:widowControl w:val="0"/>
              <w:spacing w:line="570" w:lineRule="exact"/>
              <w:ind w:firstLine="560" w:firstLineChars="200"/>
              <w:jc w:val="both"/>
              <w:rPr>
                <w:rFonts w:ascii="Times New Roman" w:eastAsia="仿宋"/>
                <w:bCs/>
                <w:color w:val="000000" w:themeColor="text1"/>
                <w:kern w:val="2"/>
                <w:sz w:val="28"/>
                <w:szCs w:val="28"/>
                <w14:textFill>
                  <w14:solidFill>
                    <w14:schemeClr w14:val="tx1"/>
                  </w14:solidFill>
                </w14:textFill>
              </w:rPr>
            </w:pPr>
            <w:r>
              <w:rPr>
                <w:rFonts w:ascii="Times New Roman" w:eastAsia="仿宋"/>
                <w:bCs/>
                <w:color w:val="000000" w:themeColor="text1"/>
                <w:kern w:val="2"/>
                <w:sz w:val="28"/>
                <w:szCs w:val="28"/>
                <w14:textFill>
                  <w14:solidFill>
                    <w14:schemeClr w14:val="tx1"/>
                  </w14:solidFill>
                </w14:textFill>
              </w:rPr>
              <w:t>2.妇幼健康服务网络建设。完成北碚区妇幼保健院建设项目；依托区妇幼保健院和</w:t>
            </w:r>
            <w:r>
              <w:rPr>
                <w:rFonts w:hint="eastAsia" w:ascii="Times New Roman" w:eastAsia="仿宋"/>
                <w:bCs/>
                <w:color w:val="000000" w:themeColor="text1"/>
                <w:kern w:val="2"/>
                <w:sz w:val="28"/>
                <w:szCs w:val="28"/>
                <w14:textFill>
                  <w14:solidFill>
                    <w14:schemeClr w14:val="tx1"/>
                  </w14:solidFill>
                </w14:textFill>
              </w:rPr>
              <w:t>市第九人民医院</w:t>
            </w:r>
            <w:r>
              <w:rPr>
                <w:rFonts w:ascii="Times New Roman" w:eastAsia="仿宋"/>
                <w:bCs/>
                <w:color w:val="000000" w:themeColor="text1"/>
                <w:kern w:val="2"/>
                <w:sz w:val="28"/>
                <w:szCs w:val="28"/>
                <w14:textFill>
                  <w14:solidFill>
                    <w14:schemeClr w14:val="tx1"/>
                  </w14:solidFill>
                </w14:textFill>
              </w:rPr>
              <w:t>、区中医院等救治能力较强的综合医院，建立危重孕产妇和新生儿救治中心；依托</w:t>
            </w:r>
            <w:r>
              <w:rPr>
                <w:rFonts w:hint="eastAsia" w:ascii="Times New Roman" w:eastAsia="仿宋"/>
                <w:bCs/>
                <w:color w:val="000000" w:themeColor="text1"/>
                <w:kern w:val="2"/>
                <w:sz w:val="28"/>
                <w:szCs w:val="28"/>
                <w14:textFill>
                  <w14:solidFill>
                    <w14:schemeClr w14:val="tx1"/>
                  </w14:solidFill>
                </w14:textFill>
              </w:rPr>
              <w:t>市第九人民医院</w:t>
            </w:r>
            <w:r>
              <w:rPr>
                <w:rFonts w:ascii="Times New Roman" w:eastAsia="仿宋"/>
                <w:bCs/>
                <w:color w:val="000000" w:themeColor="text1"/>
                <w:kern w:val="2"/>
                <w:sz w:val="28"/>
                <w:szCs w:val="28"/>
                <w14:textFill>
                  <w14:solidFill>
                    <w14:schemeClr w14:val="tx1"/>
                  </w14:solidFill>
                </w14:textFill>
              </w:rPr>
              <w:t>打造儿童睡眠障碍临床诊疗及研究中心。</w:t>
            </w:r>
          </w:p>
          <w:p>
            <w:pPr>
              <w:pStyle w:val="19"/>
              <w:widowControl w:val="0"/>
              <w:spacing w:line="570" w:lineRule="exact"/>
              <w:ind w:firstLine="560" w:firstLineChars="200"/>
              <w:jc w:val="both"/>
              <w:rPr>
                <w:rFonts w:ascii="Times New Roman" w:eastAsia="仿宋"/>
                <w:bCs/>
                <w:color w:val="000000" w:themeColor="text1"/>
                <w:kern w:val="2"/>
                <w:sz w:val="28"/>
                <w:szCs w:val="28"/>
                <w14:textFill>
                  <w14:solidFill>
                    <w14:schemeClr w14:val="tx1"/>
                  </w14:solidFill>
                </w14:textFill>
              </w:rPr>
            </w:pPr>
            <w:r>
              <w:rPr>
                <w:rFonts w:ascii="Times New Roman" w:eastAsia="仿宋"/>
                <w:bCs/>
                <w:color w:val="000000" w:themeColor="text1"/>
                <w:kern w:val="2"/>
                <w:sz w:val="28"/>
                <w:szCs w:val="28"/>
                <w14:textFill>
                  <w14:solidFill>
                    <w14:schemeClr w14:val="tx1"/>
                  </w14:solidFill>
                </w14:textFill>
              </w:rPr>
              <w:t>3.老年健康服务体系建设。加快市十三人民医院（市老年病医院）建设；引导医养结合机构差异化发展，鼓励医养结合机构创建示范机构。完成北碚区老年活动中心建设项目，建设1所高质量的区级老年大学。</w:t>
            </w:r>
          </w:p>
          <w:p>
            <w:pPr>
              <w:pStyle w:val="19"/>
              <w:widowControl w:val="0"/>
              <w:spacing w:line="570" w:lineRule="exact"/>
              <w:ind w:firstLine="560" w:firstLineChars="200"/>
              <w:jc w:val="both"/>
              <w:rPr>
                <w:rFonts w:ascii="Times New Roman" w:eastAsia="方正仿宋_GBK"/>
                <w:color w:val="000000" w:themeColor="text1"/>
                <w:sz w:val="32"/>
                <w:szCs w:val="32"/>
                <w14:textFill>
                  <w14:solidFill>
                    <w14:schemeClr w14:val="tx1"/>
                  </w14:solidFill>
                </w14:textFill>
              </w:rPr>
            </w:pPr>
            <w:r>
              <w:rPr>
                <w:rFonts w:ascii="Times New Roman" w:eastAsia="仿宋"/>
                <w:bCs/>
                <w:color w:val="000000" w:themeColor="text1"/>
                <w:kern w:val="2"/>
                <w:sz w:val="28"/>
                <w:szCs w:val="28"/>
                <w14:textFill>
                  <w14:solidFill>
                    <w14:schemeClr w14:val="tx1"/>
                  </w14:solidFill>
                </w14:textFill>
              </w:rPr>
              <w:t>4.心理健康和精神卫生服务网络建设。积极推进区精神卫生中心综合楼改扩建项目；积极促进北碚精神卫生中心和西南大学心理学部合作；加强绵阳市第三人民医院与北碚区精神卫生中心的交流与合作。</w:t>
            </w:r>
          </w:p>
        </w:tc>
      </w:tr>
      <w:bookmarkEnd w:id="241"/>
      <w:bookmarkEnd w:id="242"/>
      <w:bookmarkEnd w:id="243"/>
      <w:bookmarkEnd w:id="244"/>
      <w:bookmarkEnd w:id="245"/>
      <w:bookmarkEnd w:id="253"/>
      <w:bookmarkEnd w:id="254"/>
      <w:bookmarkEnd w:id="255"/>
      <w:bookmarkEnd w:id="256"/>
    </w:tbl>
    <w:p>
      <w:pPr>
        <w:pStyle w:val="19"/>
        <w:widowControl w:val="0"/>
        <w:pBdr>
          <w:top w:val="none" w:color="auto" w:sz="0" w:space="1"/>
          <w:left w:val="none" w:color="auto" w:sz="0" w:space="4"/>
          <w:bottom w:val="none" w:color="auto" w:sz="0" w:space="4"/>
          <w:right w:val="none" w:color="auto" w:sz="0" w:space="4"/>
        </w:pBdr>
        <w:spacing w:line="560" w:lineRule="exact"/>
        <w:ind w:firstLine="640" w:firstLineChars="200"/>
        <w:jc w:val="both"/>
        <w:rPr>
          <w:rFonts w:ascii="Times New Roman" w:eastAsia="方正黑体_GBK"/>
          <w:bCs/>
          <w:color w:val="000000" w:themeColor="text1"/>
          <w:sz w:val="32"/>
          <w:szCs w:val="32"/>
          <w14:textFill>
            <w14:solidFill>
              <w14:schemeClr w14:val="tx1"/>
            </w14:solidFill>
          </w14:textFill>
        </w:rPr>
      </w:pPr>
      <w:bookmarkStart w:id="257" w:name="_Toc9921"/>
      <w:bookmarkStart w:id="258" w:name="_Toc10784"/>
      <w:r>
        <w:rPr>
          <w:rFonts w:ascii="Times New Roman" w:eastAsia="方正黑体_GBK"/>
          <w:bCs/>
          <w:color w:val="000000" w:themeColor="text1"/>
          <w:sz w:val="32"/>
          <w:szCs w:val="32"/>
          <w14:textFill>
            <w14:solidFill>
              <w14:schemeClr w14:val="tx1"/>
            </w14:solidFill>
          </w14:textFill>
        </w:rPr>
        <w:t>八、强化支撑保障</w:t>
      </w:r>
      <w:bookmarkEnd w:id="257"/>
      <w:bookmarkEnd w:id="258"/>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259" w:name="_Toc32749"/>
      <w:bookmarkStart w:id="260" w:name="_Toc13191"/>
      <w:r>
        <w:rPr>
          <w:rFonts w:ascii="Times New Roman" w:hAnsi="Times New Roman" w:eastAsia="方正楷体_GBK" w:cs="Times New Roman"/>
          <w:color w:val="000000" w:themeColor="text1"/>
          <w:sz w:val="32"/>
          <w:szCs w:val="32"/>
          <w14:textFill>
            <w14:solidFill>
              <w14:schemeClr w14:val="tx1"/>
            </w14:solidFill>
          </w14:textFill>
        </w:rPr>
        <w:t>（一）加强人才</w:t>
      </w:r>
      <w:bookmarkEnd w:id="259"/>
      <w:r>
        <w:rPr>
          <w:rFonts w:ascii="Times New Roman" w:hAnsi="Times New Roman" w:eastAsia="方正楷体_GBK" w:cs="Times New Roman"/>
          <w:color w:val="000000" w:themeColor="text1"/>
          <w:sz w:val="32"/>
          <w:szCs w:val="32"/>
          <w14:textFill>
            <w14:solidFill>
              <w14:schemeClr w14:val="tx1"/>
            </w14:solidFill>
          </w14:textFill>
        </w:rPr>
        <w:t>队伍建设</w:t>
      </w:r>
      <w:bookmarkEnd w:id="26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1.合理配置人力资源</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积极采取措施，加大临床、护理、药学、公共卫生、中医等人才的引进力度，增加执业（助理）医师、注册护士、临床药师、全科医师、公共卫生人员等卫生人力资源的总量，补齐我区卫生人才资源不足的短板，充实卫生人才队伍。鼓励人才向基层流动，建立开放灵活的人才流动机制，完善卫生人才评价激励机制，打造一支数量充足、结构合理、技术精湛、能打硬仗的卫生人才队伍。</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2.加快卫生人才引进</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继续通过事业单位公开（考核）招聘、赴市外高校考核招聘等方式招聘专业技术人才400名。用活用足全区人才引进政策，引进一批在国内医学领域有一定影响的优秀学科带头人。进一步加强基层人才队伍培养，确保每个乡镇卫生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社区卫生服务中心至少有1名合格的基层全科高级职称医生。深入推进</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三名工程</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建设项目，开展名（中）医评审和名院、名科建设。深化与西南大学、重庆医科大学、广州中医药大学等高校交流合作，打造卫生人才高地。</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3.完善人才服务体系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推进人才发展体制机制创新，落实二级以上医疗机构专业技术人员对口支援基层医疗卫生机构制度，进一步优化人才评价、使用、激励等机制，推进人才分类评价。加大资金投入和政策支持，为高层次人才聚集搭建科研平台。积极申报各类高层</w:t>
      </w:r>
      <w:r>
        <w:rPr>
          <w:rFonts w:hint="eastAsia" w:ascii="Times New Roman" w:hAnsi="Times New Roman" w:eastAsia="方正仿宋_GBK" w:cs="Times New Roman"/>
          <w:color w:val="000000" w:themeColor="text1"/>
          <w:sz w:val="32"/>
          <w:szCs w:val="32"/>
          <w14:textFill>
            <w14:solidFill>
              <w14:schemeClr w14:val="tx1"/>
            </w14:solidFill>
          </w14:textFill>
        </w:rPr>
        <w:t>次</w:t>
      </w:r>
      <w:r>
        <w:rPr>
          <w:rFonts w:ascii="Times New Roman" w:hAnsi="Times New Roman" w:eastAsia="方正仿宋_GBK" w:cs="Times New Roman"/>
          <w:color w:val="000000" w:themeColor="text1"/>
          <w:sz w:val="32"/>
          <w:szCs w:val="32"/>
          <w14:textFill>
            <w14:solidFill>
              <w14:schemeClr w14:val="tx1"/>
            </w14:solidFill>
          </w14:textFill>
        </w:rPr>
        <w:t>人才项目，搭建高水平人才工作平台。</w:t>
      </w:r>
    </w:p>
    <w:p>
      <w:pPr>
        <w:pBdr>
          <w:top w:val="none" w:color="auto" w:sz="0" w:space="1"/>
          <w:left w:val="none" w:color="auto" w:sz="0" w:space="4"/>
          <w:bottom w:val="none" w:color="auto" w:sz="0" w:space="4"/>
          <w:right w:val="none" w:color="auto" w:sz="0" w:space="4"/>
        </w:pBd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bookmarkStart w:id="261" w:name="_Toc2579"/>
      <w:bookmarkStart w:id="262" w:name="_Toc13008"/>
      <w:r>
        <w:rPr>
          <w:rFonts w:hint="eastAsia" w:ascii="方正楷体_GBK" w:hAnsi="方正楷体_GBK" w:eastAsia="方正楷体_GBK" w:cs="方正楷体_GBK"/>
          <w:color w:val="000000" w:themeColor="text1"/>
          <w:sz w:val="32"/>
          <w:szCs w:val="32"/>
          <w14:textFill>
            <w14:solidFill>
              <w14:schemeClr w14:val="tx1"/>
            </w14:solidFill>
          </w14:textFill>
        </w:rPr>
        <w:t>（二）加强信息化基础建设</w:t>
      </w:r>
      <w:bookmarkEnd w:id="261"/>
      <w:bookmarkEnd w:id="26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1.完善信息化支撑体系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探索构建基于5G技术的卫生健康信息网络，提供更加便捷、智能、快速的信息服务支撑。完善平台、业务系统、数据库建设标准和技术规范，统一全区医疗与健康业务术语、应用编码、共享接口等标准。积极推进公共卫生、基层医疗卫生等信息系统与区域信息平台规范连接，实现区域内数据整合共享。建立卫生健康行业网络与信息安全防控与应急处置多部门联动机制，完善网络与信息安全保障体系。</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2.推进</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互联网+医疗</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服务建设</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全面支撑多种数字化医疗卫生服务新场景，赋能公共卫生、医疗服务、家庭健康、人口监测、药品保障、监督管理、科研创新等领域数字化应用。新建互联网医院1家，升级智慧医院1家，全区各基层医疗机构实现诊间支付和预约挂号。大力发展基于互联网新兴信息技术的流程再造，改善医疗服务，优化完善网上预约挂号、预约分诊、移动支付、诊间结算、检查检验报告推送等惠民便民服务。</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3.推进智能健康管理建设</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推动公共卫生服务与管理智能化改造，发挥大数据、人工智能等技术在传染病疫情和突发公共卫生事件监测分析、病毒溯源、防控救治、资源调配等方面的支撑作用。探索基于</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互联网+</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终端技术应用，实现公共卫生服务全程信息化、实时化。推动健康档案提质升级，优化面向个人开放的服务渠道和交互方式，加快形成覆盖全周期的居民健康信息管理能力。</w:t>
      </w:r>
      <w:bookmarkStart w:id="263" w:name="_Toc18351"/>
      <w:bookmarkStart w:id="264" w:name="_Toc3437"/>
      <w:bookmarkStart w:id="265" w:name="_Toc26302"/>
      <w:bookmarkStart w:id="266" w:name="_Toc26237"/>
      <w:bookmarkStart w:id="267" w:name="_Toc28123"/>
      <w:bookmarkStart w:id="268" w:name="_Toc31481"/>
      <w:bookmarkStart w:id="269" w:name="_Toc7866"/>
      <w:bookmarkStart w:id="270" w:name="_Toc75018903"/>
      <w:bookmarkStart w:id="271" w:name="_Toc10140"/>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272" w:name="_Toc31852"/>
      <w:r>
        <w:rPr>
          <w:rFonts w:ascii="Times New Roman" w:hAnsi="Times New Roman" w:eastAsia="方正楷体_GBK" w:cs="Times New Roman"/>
          <w:color w:val="000000" w:themeColor="text1"/>
          <w:sz w:val="32"/>
          <w:szCs w:val="32"/>
          <w14:textFill>
            <w14:solidFill>
              <w14:schemeClr w14:val="tx1"/>
            </w14:solidFill>
          </w14:textFill>
        </w:rPr>
        <w:t>（三）完善监督执法体系</w:t>
      </w:r>
      <w:bookmarkEnd w:id="272"/>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建立政府主导、部门协作、分工明确、科学有效的综合监管制度，健全机构自治、行业自律、政府监管、社会监督相结合的多元化综合监管体系。完善卫生监督执法人员配置，按照每万名常住人口配备1：1.5名卫生监督员的标准，配置执法人员。加强农村地区卫生监督协管力量配备，形成专业高效、统一规范、文明公正的监督执法队伍。完善卫生监督机构业务用房，加强执法车辆标准化配置。到2025年，建成区级</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智慧卫监</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平台，全面实现行政审批、行政处罚信息互联互通和实时共享。</w:t>
      </w:r>
    </w:p>
    <w:p>
      <w:pPr>
        <w:pStyle w:val="19"/>
        <w:widowControl w:val="0"/>
        <w:pBdr>
          <w:top w:val="none" w:color="auto" w:sz="0" w:space="1"/>
          <w:left w:val="none" w:color="auto" w:sz="0" w:space="4"/>
          <w:bottom w:val="none" w:color="auto" w:sz="0" w:space="4"/>
          <w:right w:val="none" w:color="auto" w:sz="0" w:space="4"/>
        </w:pBdr>
        <w:spacing w:line="560" w:lineRule="exact"/>
        <w:ind w:firstLine="640" w:firstLineChars="200"/>
        <w:jc w:val="both"/>
        <w:rPr>
          <w:rFonts w:ascii="Times New Roman" w:eastAsia="方正黑体_GBK"/>
          <w:bCs/>
          <w:color w:val="000000" w:themeColor="text1"/>
          <w:sz w:val="32"/>
          <w:szCs w:val="32"/>
          <w14:textFill>
            <w14:solidFill>
              <w14:schemeClr w14:val="tx1"/>
            </w14:solidFill>
          </w14:textFill>
        </w:rPr>
      </w:pPr>
      <w:bookmarkStart w:id="273" w:name="_Toc15204"/>
      <w:r>
        <w:rPr>
          <w:rFonts w:ascii="Times New Roman" w:eastAsia="方正黑体_GBK"/>
          <w:bCs/>
          <w:color w:val="000000" w:themeColor="text1"/>
          <w:sz w:val="32"/>
          <w:szCs w:val="32"/>
          <w14:textFill>
            <w14:solidFill>
              <w14:schemeClr w14:val="tx1"/>
            </w14:solidFill>
          </w14:textFill>
        </w:rPr>
        <w:t>九、加强组织实施与监督评价</w:t>
      </w:r>
      <w:bookmarkEnd w:id="263"/>
      <w:bookmarkEnd w:id="264"/>
      <w:bookmarkEnd w:id="265"/>
      <w:bookmarkEnd w:id="266"/>
      <w:bookmarkEnd w:id="267"/>
      <w:bookmarkEnd w:id="268"/>
      <w:bookmarkEnd w:id="269"/>
      <w:bookmarkEnd w:id="270"/>
      <w:bookmarkEnd w:id="271"/>
      <w:bookmarkEnd w:id="273"/>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274" w:name="_Toc9843"/>
      <w:bookmarkStart w:id="275" w:name="_Toc5257"/>
      <w:r>
        <w:rPr>
          <w:rFonts w:ascii="Times New Roman" w:hAnsi="Times New Roman" w:eastAsia="方正楷体_GBK" w:cs="Times New Roman"/>
          <w:color w:val="000000" w:themeColor="text1"/>
          <w:sz w:val="32"/>
          <w:szCs w:val="32"/>
          <w14:textFill>
            <w14:solidFill>
              <w14:schemeClr w14:val="tx1"/>
            </w14:solidFill>
          </w14:textFill>
        </w:rPr>
        <w:t>（一）强化组织领导</w:t>
      </w:r>
      <w:bookmarkEnd w:id="274"/>
      <w:bookmarkEnd w:id="275"/>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76" w:name="_Toc26511"/>
      <w:r>
        <w:rPr>
          <w:rFonts w:ascii="Times New Roman" w:hAnsi="Times New Roman" w:eastAsia="方正仿宋_GBK" w:cs="Times New Roman"/>
          <w:color w:val="000000" w:themeColor="text1"/>
          <w:sz w:val="32"/>
          <w:szCs w:val="32"/>
          <w14:textFill>
            <w14:solidFill>
              <w14:schemeClr w14:val="tx1"/>
            </w14:solidFill>
          </w14:textFill>
        </w:rPr>
        <w:t>切实加强和改进政府对卫生健康工作的领导，把卫生健康事业的改革与发展作为事关全局的大事，纳入重要议事日程来抓。政府要在国土空间规划中统筹考虑医疗卫生机构发展需要，合理安排用地供给。加强区域卫生规划与区经济社会发展规划、国土空间规划、土地利用总体规划、城乡公共服务设施规划等规划的衔接。</w:t>
      </w:r>
    </w:p>
    <w:bookmarkEnd w:id="276"/>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277" w:name="_Toc25845"/>
      <w:bookmarkStart w:id="278" w:name="_Toc19105"/>
      <w:r>
        <w:rPr>
          <w:rFonts w:ascii="Times New Roman" w:hAnsi="Times New Roman" w:eastAsia="方正楷体_GBK" w:cs="Times New Roman"/>
          <w:color w:val="000000" w:themeColor="text1"/>
          <w:sz w:val="32"/>
          <w:szCs w:val="32"/>
          <w14:textFill>
            <w14:solidFill>
              <w14:schemeClr w14:val="tx1"/>
            </w14:solidFill>
          </w14:textFill>
        </w:rPr>
        <w:t>（二）</w:t>
      </w:r>
      <w:bookmarkEnd w:id="277"/>
      <w:r>
        <w:rPr>
          <w:rFonts w:ascii="Times New Roman" w:hAnsi="Times New Roman" w:eastAsia="方正楷体_GBK" w:cs="Times New Roman"/>
          <w:color w:val="000000" w:themeColor="text1"/>
          <w:sz w:val="32"/>
          <w:szCs w:val="32"/>
          <w14:textFill>
            <w14:solidFill>
              <w14:schemeClr w14:val="tx1"/>
            </w14:solidFill>
          </w14:textFill>
        </w:rPr>
        <w:t>严格规划实施</w:t>
      </w:r>
      <w:bookmarkEnd w:id="278"/>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高度重视区域卫生规划对配置资源的引导作用，将规划作为建设项目立项的前提条件。充分发挥规划引领作用，在重大项目审批、医疗卫生要素准入等方面严格管理，强化规划的约束力。规范项目准入与实施，建立</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规划带项目，项目带资金</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管理机制，监督重大项目的执行情况，彰显规划刚性。所有新增医疗卫生资源，特别是公立医院设置和改扩建、床位规模扩大、大型医疗设备购置，必须依据规划要求，履行相应程序，进行严格管理。严格落实公立医院床位规模分级审查备案和公示制度。</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bookmarkStart w:id="279" w:name="_Toc14504"/>
      <w:bookmarkStart w:id="280" w:name="_Toc6319"/>
      <w:r>
        <w:rPr>
          <w:rFonts w:ascii="Times New Roman" w:hAnsi="Times New Roman" w:eastAsia="方正楷体_GBK" w:cs="Times New Roman"/>
          <w:color w:val="000000" w:themeColor="text1"/>
          <w:sz w:val="32"/>
          <w:szCs w:val="32"/>
          <w14:textFill>
            <w14:solidFill>
              <w14:schemeClr w14:val="tx1"/>
            </w14:solidFill>
          </w14:textFill>
        </w:rPr>
        <w:t>（三）</w:t>
      </w:r>
      <w:bookmarkEnd w:id="279"/>
      <w:bookmarkStart w:id="281" w:name="_Toc12070"/>
      <w:r>
        <w:rPr>
          <w:rFonts w:ascii="Times New Roman" w:hAnsi="Times New Roman" w:eastAsia="方正楷体_GBK" w:cs="Times New Roman"/>
          <w:color w:val="000000" w:themeColor="text1"/>
          <w:sz w:val="32"/>
          <w:szCs w:val="32"/>
          <w14:textFill>
            <w14:solidFill>
              <w14:schemeClr w14:val="tx1"/>
            </w14:solidFill>
          </w14:textFill>
        </w:rPr>
        <w:t>加强监测评估</w:t>
      </w:r>
      <w:bookmarkEnd w:id="280"/>
      <w:bookmarkEnd w:id="281"/>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bookmarkStart w:id="282" w:name="_Toc28875"/>
      <w:r>
        <w:rPr>
          <w:rFonts w:ascii="Times New Roman" w:hAnsi="Times New Roman" w:eastAsia="方正仿宋_GBK" w:cs="Times New Roman"/>
          <w:color w:val="000000" w:themeColor="text1"/>
          <w:sz w:val="32"/>
          <w:szCs w:val="32"/>
          <w14:textFill>
            <w14:solidFill>
              <w14:schemeClr w14:val="tx1"/>
            </w14:solidFill>
          </w14:textFill>
        </w:rPr>
        <w:t>建立区域卫生规划和资源配置监督评价机制，定期组织开展区域卫生规划实施评估和效果评价，及时发现实施过程中存在的问题，研究解决对策。健全规划实施情况监测评估机制，加强规划实施中的督导，定期对规划实施进度及效果开展阶段评估，按要求开展规划年度评估、中期评估和终期评估，及时发现规划实施中的问题，确保规划目标和各项重点工作任务顺利如期实现。</w:t>
      </w:r>
      <w:bookmarkEnd w:id="282"/>
      <w:r>
        <w:rPr>
          <w:rFonts w:ascii="Times New Roman" w:hAnsi="Times New Roman" w:eastAsia="方正仿宋_GBK" w:cs="Times New Roman"/>
          <w:color w:val="000000" w:themeColor="text1"/>
          <w:sz w:val="32"/>
          <w:szCs w:val="32"/>
          <w14:textFill>
            <w14:solidFill>
              <w14:schemeClr w14:val="tx1"/>
            </w14:solidFill>
          </w14:textFill>
        </w:rPr>
        <w:t xml:space="preserve">     </w:t>
      </w:r>
    </w:p>
    <w:p>
      <w:pPr>
        <w:pBdr>
          <w:top w:val="none" w:color="auto" w:sz="0" w:space="1"/>
          <w:left w:val="none" w:color="auto" w:sz="0" w:space="4"/>
          <w:bottom w:val="none" w:color="auto" w:sz="0" w:space="4"/>
          <w:right w:val="none" w:color="auto" w:sz="0" w:space="4"/>
        </w:pBd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p>
    <w:sectPr>
      <w:headerReference r:id="rId7" w:type="default"/>
      <w:footerReference r:id="rId8" w:type="default"/>
      <w:pgSz w:w="11906" w:h="16838"/>
      <w:pgMar w:top="2098" w:right="1474" w:bottom="1984" w:left="1587" w:header="851" w:footer="992" w:gutter="0"/>
      <w:pgNumType w:fmt="decimal"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6930" w:firstLineChars="38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236"/>
        <w:tab w:val="clear" w:pos="8306"/>
      </w:tabs>
      <w:ind w:right="360" w:firstLine="6930" w:firstLineChars="3850"/>
    </w:pP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236"/>
        <w:tab w:val="clear" w:pos="8306"/>
      </w:tabs>
      <w:ind w:right="360" w:firstLine="6930" w:firstLineChars="3850"/>
    </w:pP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2519988"/>
                          </w:sdtPr>
                          <w:sdtContent>
                            <w:p>
                              <w:pPr>
                                <w:snapToGrid w:val="0"/>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p>
                              <w:pPr>
                                <w:pStyle w:val="8"/>
                                <w:jc w:val="cente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972519988"/>
                    </w:sdtPr>
                    <w:sdtContent>
                      <w:p>
                        <w:pPr>
                          <w:snapToGrid w:val="0"/>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p>
                        <w:pPr>
                          <w:pStyle w:val="8"/>
                          <w:jc w:val="center"/>
                        </w:pPr>
                      </w:p>
                    </w:sdtContent>
                  </w:sdt>
                  <w:p>
                    <w:pPr>
                      <w:pStyle w:val="2"/>
                    </w:pPr>
                  </w:p>
                </w:txbxContent>
              </v:textbox>
            </v:shape>
          </w:pict>
        </mc:Fallback>
      </mc:AlternateContent>
    </w:r>
  </w:p>
  <w:p>
    <w:pPr>
      <w:pStyle w:val="8"/>
      <w:ind w:right="360" w:firstLine="6930" w:firstLineChars="38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NzUzNWJjZWRkMjM3YTgzZjNhZjgzMDJlODQ4ZGUifQ=="/>
  </w:docVars>
  <w:rsids>
    <w:rsidRoot w:val="10AF1A08"/>
    <w:rsid w:val="000219B1"/>
    <w:rsid w:val="00030656"/>
    <w:rsid w:val="00035DF4"/>
    <w:rsid w:val="00094F68"/>
    <w:rsid w:val="000C57AC"/>
    <w:rsid w:val="000D64DF"/>
    <w:rsid w:val="000F0939"/>
    <w:rsid w:val="0011256C"/>
    <w:rsid w:val="00143AA7"/>
    <w:rsid w:val="00153A6C"/>
    <w:rsid w:val="00185F6D"/>
    <w:rsid w:val="001D241E"/>
    <w:rsid w:val="001D2EFB"/>
    <w:rsid w:val="00204310"/>
    <w:rsid w:val="00241485"/>
    <w:rsid w:val="00242ACE"/>
    <w:rsid w:val="00245267"/>
    <w:rsid w:val="00273AD3"/>
    <w:rsid w:val="003A5AC9"/>
    <w:rsid w:val="003F5AFA"/>
    <w:rsid w:val="0044053F"/>
    <w:rsid w:val="00463072"/>
    <w:rsid w:val="00521925"/>
    <w:rsid w:val="00540507"/>
    <w:rsid w:val="00543E16"/>
    <w:rsid w:val="00612EF1"/>
    <w:rsid w:val="00660801"/>
    <w:rsid w:val="00671E17"/>
    <w:rsid w:val="006B25A2"/>
    <w:rsid w:val="0071416A"/>
    <w:rsid w:val="007A7183"/>
    <w:rsid w:val="008058A8"/>
    <w:rsid w:val="00814F84"/>
    <w:rsid w:val="0084653B"/>
    <w:rsid w:val="00862DF4"/>
    <w:rsid w:val="0088169D"/>
    <w:rsid w:val="008E0E1C"/>
    <w:rsid w:val="008E0FB1"/>
    <w:rsid w:val="008F2BDB"/>
    <w:rsid w:val="008F36BC"/>
    <w:rsid w:val="00943D45"/>
    <w:rsid w:val="00970155"/>
    <w:rsid w:val="009E32F0"/>
    <w:rsid w:val="00A20C02"/>
    <w:rsid w:val="00A20C32"/>
    <w:rsid w:val="00A44C52"/>
    <w:rsid w:val="00AC07A5"/>
    <w:rsid w:val="00B0509E"/>
    <w:rsid w:val="00B11F0F"/>
    <w:rsid w:val="00B7265F"/>
    <w:rsid w:val="00C77176"/>
    <w:rsid w:val="00C921BE"/>
    <w:rsid w:val="00CD1093"/>
    <w:rsid w:val="00CD4AB0"/>
    <w:rsid w:val="00D1301B"/>
    <w:rsid w:val="00D17590"/>
    <w:rsid w:val="00D903D1"/>
    <w:rsid w:val="00DD25C7"/>
    <w:rsid w:val="00DD79DF"/>
    <w:rsid w:val="00DE3BF4"/>
    <w:rsid w:val="00E6719C"/>
    <w:rsid w:val="00FB63B5"/>
    <w:rsid w:val="00FC0319"/>
    <w:rsid w:val="018D6117"/>
    <w:rsid w:val="02190B20"/>
    <w:rsid w:val="03C527F4"/>
    <w:rsid w:val="04B11C70"/>
    <w:rsid w:val="04FD0FB4"/>
    <w:rsid w:val="05E0693D"/>
    <w:rsid w:val="06141C07"/>
    <w:rsid w:val="06773E60"/>
    <w:rsid w:val="06BF1123"/>
    <w:rsid w:val="06C1303B"/>
    <w:rsid w:val="076355E3"/>
    <w:rsid w:val="082E3241"/>
    <w:rsid w:val="08C26109"/>
    <w:rsid w:val="0A5F05D8"/>
    <w:rsid w:val="0AA17113"/>
    <w:rsid w:val="0ABB33FF"/>
    <w:rsid w:val="0B9022FF"/>
    <w:rsid w:val="0BA94543"/>
    <w:rsid w:val="0BD10272"/>
    <w:rsid w:val="0BD17150"/>
    <w:rsid w:val="0BD3311F"/>
    <w:rsid w:val="0C211EDA"/>
    <w:rsid w:val="0CE74588"/>
    <w:rsid w:val="0CFF50CF"/>
    <w:rsid w:val="0DE10621"/>
    <w:rsid w:val="0E75581A"/>
    <w:rsid w:val="0F962D46"/>
    <w:rsid w:val="108654B0"/>
    <w:rsid w:val="108F3FD0"/>
    <w:rsid w:val="10AF1A08"/>
    <w:rsid w:val="10E87F18"/>
    <w:rsid w:val="10EB64E3"/>
    <w:rsid w:val="11185070"/>
    <w:rsid w:val="113455C5"/>
    <w:rsid w:val="116F6C0A"/>
    <w:rsid w:val="12F5341D"/>
    <w:rsid w:val="13DF6CA7"/>
    <w:rsid w:val="141510E9"/>
    <w:rsid w:val="14A900DC"/>
    <w:rsid w:val="1534372C"/>
    <w:rsid w:val="154A7097"/>
    <w:rsid w:val="15544898"/>
    <w:rsid w:val="15613B90"/>
    <w:rsid w:val="15E77FA9"/>
    <w:rsid w:val="15FE0ECE"/>
    <w:rsid w:val="16447576"/>
    <w:rsid w:val="165D4F05"/>
    <w:rsid w:val="16CE2DEF"/>
    <w:rsid w:val="16EE5943"/>
    <w:rsid w:val="17ED6DEB"/>
    <w:rsid w:val="17F97ACC"/>
    <w:rsid w:val="181A11B4"/>
    <w:rsid w:val="18B00C61"/>
    <w:rsid w:val="19123BE9"/>
    <w:rsid w:val="197E775E"/>
    <w:rsid w:val="19F879E3"/>
    <w:rsid w:val="1A6D52CD"/>
    <w:rsid w:val="1A7B4C3F"/>
    <w:rsid w:val="1A8512C8"/>
    <w:rsid w:val="1AE7541E"/>
    <w:rsid w:val="1AF8541D"/>
    <w:rsid w:val="1C080F80"/>
    <w:rsid w:val="1C152B84"/>
    <w:rsid w:val="1C380811"/>
    <w:rsid w:val="1C790CC8"/>
    <w:rsid w:val="1CC74905"/>
    <w:rsid w:val="1CF73C8D"/>
    <w:rsid w:val="1F0E5AC0"/>
    <w:rsid w:val="1F6B4FF7"/>
    <w:rsid w:val="1F840649"/>
    <w:rsid w:val="1FBC26FA"/>
    <w:rsid w:val="1FCD1EEF"/>
    <w:rsid w:val="20404C27"/>
    <w:rsid w:val="211803A6"/>
    <w:rsid w:val="21D9789C"/>
    <w:rsid w:val="21F146A8"/>
    <w:rsid w:val="232327E2"/>
    <w:rsid w:val="240207E5"/>
    <w:rsid w:val="24376307"/>
    <w:rsid w:val="249A608C"/>
    <w:rsid w:val="25160C2E"/>
    <w:rsid w:val="27762E48"/>
    <w:rsid w:val="27EA7D6A"/>
    <w:rsid w:val="27FF406E"/>
    <w:rsid w:val="28221D83"/>
    <w:rsid w:val="28571C63"/>
    <w:rsid w:val="2907142C"/>
    <w:rsid w:val="2A36189D"/>
    <w:rsid w:val="2AB71BCC"/>
    <w:rsid w:val="2AF552B4"/>
    <w:rsid w:val="2B1C6CE5"/>
    <w:rsid w:val="2B303872"/>
    <w:rsid w:val="2BA940B0"/>
    <w:rsid w:val="2BD70842"/>
    <w:rsid w:val="2C956D4E"/>
    <w:rsid w:val="2D6E6A92"/>
    <w:rsid w:val="2E300F84"/>
    <w:rsid w:val="2E416C75"/>
    <w:rsid w:val="2E774665"/>
    <w:rsid w:val="2E903C71"/>
    <w:rsid w:val="2F3E0CBF"/>
    <w:rsid w:val="2FD95650"/>
    <w:rsid w:val="2FF80837"/>
    <w:rsid w:val="303B7C0D"/>
    <w:rsid w:val="32150E53"/>
    <w:rsid w:val="327572EB"/>
    <w:rsid w:val="3322533F"/>
    <w:rsid w:val="3348629F"/>
    <w:rsid w:val="34394EBE"/>
    <w:rsid w:val="346B3DC0"/>
    <w:rsid w:val="34914FF2"/>
    <w:rsid w:val="353F2B94"/>
    <w:rsid w:val="35827297"/>
    <w:rsid w:val="36D00D8B"/>
    <w:rsid w:val="36F93F76"/>
    <w:rsid w:val="373214C6"/>
    <w:rsid w:val="376D2431"/>
    <w:rsid w:val="378C430F"/>
    <w:rsid w:val="37AB6915"/>
    <w:rsid w:val="37DD5CD7"/>
    <w:rsid w:val="382C43CF"/>
    <w:rsid w:val="382F1124"/>
    <w:rsid w:val="38C20ECB"/>
    <w:rsid w:val="39180AEB"/>
    <w:rsid w:val="396A230E"/>
    <w:rsid w:val="396F1E7F"/>
    <w:rsid w:val="3A363B3B"/>
    <w:rsid w:val="3AD62371"/>
    <w:rsid w:val="3B060A63"/>
    <w:rsid w:val="3C1724B5"/>
    <w:rsid w:val="3D417820"/>
    <w:rsid w:val="3D4C20A7"/>
    <w:rsid w:val="3DB0670E"/>
    <w:rsid w:val="3E0E6DE1"/>
    <w:rsid w:val="3E9D13C4"/>
    <w:rsid w:val="3ED304F5"/>
    <w:rsid w:val="3F156F1B"/>
    <w:rsid w:val="3F3348D1"/>
    <w:rsid w:val="3F84512C"/>
    <w:rsid w:val="3FC56D50"/>
    <w:rsid w:val="3FE74864"/>
    <w:rsid w:val="403B2F10"/>
    <w:rsid w:val="40405A56"/>
    <w:rsid w:val="411B51FF"/>
    <w:rsid w:val="41E5044D"/>
    <w:rsid w:val="41F8595E"/>
    <w:rsid w:val="42322DFD"/>
    <w:rsid w:val="42346239"/>
    <w:rsid w:val="42605361"/>
    <w:rsid w:val="42F257DD"/>
    <w:rsid w:val="43A414D1"/>
    <w:rsid w:val="43D23A9F"/>
    <w:rsid w:val="44BE3793"/>
    <w:rsid w:val="44E80328"/>
    <w:rsid w:val="44FC5765"/>
    <w:rsid w:val="453C44DC"/>
    <w:rsid w:val="45810F05"/>
    <w:rsid w:val="45893B7D"/>
    <w:rsid w:val="45B55914"/>
    <w:rsid w:val="4689319F"/>
    <w:rsid w:val="46E23F1B"/>
    <w:rsid w:val="46ED1809"/>
    <w:rsid w:val="46F506BE"/>
    <w:rsid w:val="470305AC"/>
    <w:rsid w:val="4768377E"/>
    <w:rsid w:val="4785569B"/>
    <w:rsid w:val="4799729B"/>
    <w:rsid w:val="48061322"/>
    <w:rsid w:val="48963D14"/>
    <w:rsid w:val="48CB28A9"/>
    <w:rsid w:val="49380D36"/>
    <w:rsid w:val="4976209E"/>
    <w:rsid w:val="49804A8A"/>
    <w:rsid w:val="49910E1C"/>
    <w:rsid w:val="499D2ED3"/>
    <w:rsid w:val="49FA43C2"/>
    <w:rsid w:val="4B04494A"/>
    <w:rsid w:val="4B6718FB"/>
    <w:rsid w:val="4B8C05C3"/>
    <w:rsid w:val="4C7F3CF2"/>
    <w:rsid w:val="4CD11285"/>
    <w:rsid w:val="4CD93DE5"/>
    <w:rsid w:val="4CF51CAD"/>
    <w:rsid w:val="4D606F02"/>
    <w:rsid w:val="4D93478D"/>
    <w:rsid w:val="4E4F6F2F"/>
    <w:rsid w:val="4EB61D34"/>
    <w:rsid w:val="4F383E4F"/>
    <w:rsid w:val="4F3D2855"/>
    <w:rsid w:val="4FA233AD"/>
    <w:rsid w:val="4FC67963"/>
    <w:rsid w:val="518869E1"/>
    <w:rsid w:val="51A8177D"/>
    <w:rsid w:val="51ED52FF"/>
    <w:rsid w:val="521A2E75"/>
    <w:rsid w:val="52715370"/>
    <w:rsid w:val="52EB4BDB"/>
    <w:rsid w:val="53102D7D"/>
    <w:rsid w:val="53324035"/>
    <w:rsid w:val="53844B41"/>
    <w:rsid w:val="53DE6424"/>
    <w:rsid w:val="54330B09"/>
    <w:rsid w:val="5506295D"/>
    <w:rsid w:val="55EE7DDB"/>
    <w:rsid w:val="56204A51"/>
    <w:rsid w:val="565254ED"/>
    <w:rsid w:val="565639B1"/>
    <w:rsid w:val="567C74A5"/>
    <w:rsid w:val="56C01AA1"/>
    <w:rsid w:val="57095F69"/>
    <w:rsid w:val="57EC2064"/>
    <w:rsid w:val="57F8000E"/>
    <w:rsid w:val="58D2260D"/>
    <w:rsid w:val="59473001"/>
    <w:rsid w:val="59914538"/>
    <w:rsid w:val="59C669A8"/>
    <w:rsid w:val="59CA131C"/>
    <w:rsid w:val="59D533D5"/>
    <w:rsid w:val="5AE749C2"/>
    <w:rsid w:val="5B227BA8"/>
    <w:rsid w:val="5B7B05F5"/>
    <w:rsid w:val="5C0949C1"/>
    <w:rsid w:val="5C8D771D"/>
    <w:rsid w:val="5C9F3435"/>
    <w:rsid w:val="5E1C432A"/>
    <w:rsid w:val="5E794859"/>
    <w:rsid w:val="5EA67DA1"/>
    <w:rsid w:val="5EB21340"/>
    <w:rsid w:val="5F84786B"/>
    <w:rsid w:val="5FE0325D"/>
    <w:rsid w:val="60301C31"/>
    <w:rsid w:val="60774515"/>
    <w:rsid w:val="60981A0D"/>
    <w:rsid w:val="60AA3A1C"/>
    <w:rsid w:val="62A31777"/>
    <w:rsid w:val="62A936AC"/>
    <w:rsid w:val="63BD1824"/>
    <w:rsid w:val="63F8482E"/>
    <w:rsid w:val="64091FEC"/>
    <w:rsid w:val="64185B09"/>
    <w:rsid w:val="65272D71"/>
    <w:rsid w:val="656B0071"/>
    <w:rsid w:val="658D71EE"/>
    <w:rsid w:val="65BE4E4A"/>
    <w:rsid w:val="65D543F0"/>
    <w:rsid w:val="67B5510C"/>
    <w:rsid w:val="68022F0E"/>
    <w:rsid w:val="68147F58"/>
    <w:rsid w:val="682E2334"/>
    <w:rsid w:val="68336E4A"/>
    <w:rsid w:val="687C78DC"/>
    <w:rsid w:val="68BF5A31"/>
    <w:rsid w:val="693A2D89"/>
    <w:rsid w:val="69402B04"/>
    <w:rsid w:val="69710E58"/>
    <w:rsid w:val="69AC2397"/>
    <w:rsid w:val="6A840750"/>
    <w:rsid w:val="6B0012B2"/>
    <w:rsid w:val="6B03529F"/>
    <w:rsid w:val="6C5406A7"/>
    <w:rsid w:val="6C7534A7"/>
    <w:rsid w:val="6C85767D"/>
    <w:rsid w:val="6CC462B9"/>
    <w:rsid w:val="6CDD39F6"/>
    <w:rsid w:val="6CF13ABF"/>
    <w:rsid w:val="6D0C6678"/>
    <w:rsid w:val="6DC70687"/>
    <w:rsid w:val="6DE41D49"/>
    <w:rsid w:val="6DFC7F0C"/>
    <w:rsid w:val="6EAF7430"/>
    <w:rsid w:val="6EBB0299"/>
    <w:rsid w:val="6EF12056"/>
    <w:rsid w:val="6EF43AC6"/>
    <w:rsid w:val="707C4432"/>
    <w:rsid w:val="709A4A8E"/>
    <w:rsid w:val="71025FAE"/>
    <w:rsid w:val="711B1E1C"/>
    <w:rsid w:val="7146116A"/>
    <w:rsid w:val="7177347C"/>
    <w:rsid w:val="719721EE"/>
    <w:rsid w:val="71A768E6"/>
    <w:rsid w:val="71B52F40"/>
    <w:rsid w:val="71B535E7"/>
    <w:rsid w:val="71BA4D5E"/>
    <w:rsid w:val="71D92806"/>
    <w:rsid w:val="71E04EC3"/>
    <w:rsid w:val="722962A0"/>
    <w:rsid w:val="723D4641"/>
    <w:rsid w:val="725E4ABA"/>
    <w:rsid w:val="72C10B3A"/>
    <w:rsid w:val="72FD7F06"/>
    <w:rsid w:val="73165394"/>
    <w:rsid w:val="73F81FD8"/>
    <w:rsid w:val="74106D78"/>
    <w:rsid w:val="741F1EE0"/>
    <w:rsid w:val="742778C0"/>
    <w:rsid w:val="75003937"/>
    <w:rsid w:val="752124FA"/>
    <w:rsid w:val="754621AC"/>
    <w:rsid w:val="75A738CC"/>
    <w:rsid w:val="75AB22F5"/>
    <w:rsid w:val="76121DB0"/>
    <w:rsid w:val="7651125F"/>
    <w:rsid w:val="76BF021D"/>
    <w:rsid w:val="77502442"/>
    <w:rsid w:val="77541D1E"/>
    <w:rsid w:val="77B21B30"/>
    <w:rsid w:val="781653BD"/>
    <w:rsid w:val="782B63A1"/>
    <w:rsid w:val="78B010AF"/>
    <w:rsid w:val="78BE1C89"/>
    <w:rsid w:val="79431B08"/>
    <w:rsid w:val="794722A5"/>
    <w:rsid w:val="79604D74"/>
    <w:rsid w:val="7A0556B2"/>
    <w:rsid w:val="7A5C4079"/>
    <w:rsid w:val="7B33024F"/>
    <w:rsid w:val="7B904A37"/>
    <w:rsid w:val="7BB132D1"/>
    <w:rsid w:val="7BED7FB3"/>
    <w:rsid w:val="7C3325E9"/>
    <w:rsid w:val="7C5A0747"/>
    <w:rsid w:val="7C8250C3"/>
    <w:rsid w:val="7D76230A"/>
    <w:rsid w:val="7DD32800"/>
    <w:rsid w:val="7E2D4EE7"/>
    <w:rsid w:val="7E6671D0"/>
    <w:rsid w:val="7F254AE9"/>
    <w:rsid w:val="7F6E3D5D"/>
    <w:rsid w:val="7FB02F15"/>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rFonts w:ascii="方正仿宋_GBK" w:hAnsi="方正仿宋_GBK" w:eastAsia="方正仿宋_GBK" w:cs="方正仿宋_GBK"/>
      <w:sz w:val="32"/>
      <w:szCs w:val="32"/>
      <w:lang w:val="zh-CN" w:bidi="zh-CN"/>
    </w:rPr>
  </w:style>
  <w:style w:type="paragraph" w:styleId="6">
    <w:name w:val="annotation text"/>
    <w:basedOn w:val="1"/>
    <w:qFormat/>
    <w:uiPriority w:val="0"/>
    <w:pPr>
      <w:jc w:val="left"/>
    </w:pPr>
  </w:style>
  <w:style w:type="paragraph" w:styleId="7">
    <w:name w:val="Balloon Text"/>
    <w:basedOn w:val="1"/>
    <w:link w:val="25"/>
    <w:qFormat/>
    <w:uiPriority w:val="0"/>
    <w:rPr>
      <w:sz w:val="18"/>
      <w:szCs w:val="18"/>
    </w:rPr>
  </w:style>
  <w:style w:type="paragraph" w:styleId="8">
    <w:name w:val="footer"/>
    <w:basedOn w:val="1"/>
    <w:link w:val="26"/>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296"/>
      </w:tabs>
      <w:spacing w:line="560" w:lineRule="exact"/>
    </w:pPr>
    <w:rPr>
      <w:rFonts w:ascii="方正仿宋_GBK" w:eastAsia="方正仿宋_GBK"/>
      <w:b/>
      <w:bCs/>
      <w:sz w:val="24"/>
      <w:szCs w:val="24"/>
    </w:rPr>
  </w:style>
  <w:style w:type="paragraph" w:styleId="11">
    <w:name w:val="toc 2"/>
    <w:basedOn w:val="1"/>
    <w:next w:val="1"/>
    <w:unhideWhenUsed/>
    <w:qFormat/>
    <w:uiPriority w:val="39"/>
    <w:pPr>
      <w:tabs>
        <w:tab w:val="right" w:leader="dot" w:pos="8296"/>
      </w:tabs>
      <w:spacing w:line="520" w:lineRule="exact"/>
    </w:pPr>
  </w:style>
  <w:style w:type="paragraph" w:styleId="12">
    <w:name w:val="Normal (Web)"/>
    <w:basedOn w:val="1"/>
    <w:qFormat/>
    <w:uiPriority w:val="0"/>
    <w:pPr>
      <w:spacing w:before="100" w:beforeAutospacing="1" w:after="100" w:afterAutospacing="1"/>
      <w:jc w:val="left"/>
    </w:pPr>
    <w:rPr>
      <w:rFonts w:cs="Times New Roman"/>
      <w:kern w:val="0"/>
      <w:sz w:val="24"/>
    </w:rPr>
  </w:style>
  <w:style w:type="paragraph" w:styleId="13">
    <w:name w:val="Title"/>
    <w:basedOn w:val="1"/>
    <w:next w:val="1"/>
    <w:qFormat/>
    <w:uiPriority w:val="0"/>
    <w:pPr>
      <w:spacing w:before="240" w:after="60"/>
      <w:jc w:val="left"/>
    </w:pPr>
    <w:rPr>
      <w:rFonts w:ascii="Arial" w:hAnsi="Arial" w:eastAsia="仿宋"/>
    </w:rPr>
  </w:style>
  <w:style w:type="character" w:styleId="16">
    <w:name w:val="Strong"/>
    <w:basedOn w:val="15"/>
    <w:qFormat/>
    <w:uiPriority w:val="0"/>
    <w:rPr>
      <w:b/>
    </w:rPr>
  </w:style>
  <w:style w:type="character" w:styleId="17">
    <w:name w:val="page number"/>
    <w:basedOn w:val="15"/>
    <w:qFormat/>
    <w:uiPriority w:val="0"/>
  </w:style>
  <w:style w:type="character" w:styleId="18">
    <w:name w:val="annotation reference"/>
    <w:basedOn w:val="15"/>
    <w:qFormat/>
    <w:uiPriority w:val="0"/>
    <w:rPr>
      <w:sz w:val="21"/>
      <w:szCs w:val="21"/>
    </w:rPr>
  </w:style>
  <w:style w:type="paragraph" w:customStyle="1" w:styleId="19">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customStyle="1" w:styleId="20">
    <w:name w:val="_Style 3"/>
    <w:basedOn w:val="3"/>
    <w:next w:val="1"/>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21">
    <w:name w:val="正文1"/>
    <w:qFormat/>
    <w:uiPriority w:val="0"/>
    <w:pPr>
      <w:jc w:val="both"/>
    </w:pPr>
    <w:rPr>
      <w:rFonts w:ascii="Calibri" w:hAnsi="Calibri" w:eastAsia="宋体" w:cs="Calibri"/>
      <w:kern w:val="2"/>
      <w:sz w:val="21"/>
      <w:szCs w:val="21"/>
      <w:lang w:val="en-US" w:eastAsia="zh-CN" w:bidi="ar-SA"/>
    </w:rPr>
  </w:style>
  <w:style w:type="paragraph" w:customStyle="1" w:styleId="22">
    <w:name w:val="WPSOffice手动目录 1"/>
    <w:qFormat/>
    <w:uiPriority w:val="0"/>
    <w:rPr>
      <w:rFonts w:ascii="Calibri" w:hAnsi="Calibri" w:eastAsia="宋体" w:cs="Times New Roman"/>
      <w:lang w:val="en-US" w:eastAsia="zh-CN" w:bidi="ar-SA"/>
    </w:rPr>
  </w:style>
  <w:style w:type="paragraph" w:customStyle="1" w:styleId="23">
    <w:name w:val="WPSOffice手动目录 2"/>
    <w:qFormat/>
    <w:uiPriority w:val="0"/>
    <w:pPr>
      <w:ind w:left="200" w:leftChars="200"/>
    </w:pPr>
    <w:rPr>
      <w:rFonts w:ascii="Calibri" w:hAnsi="Calibri" w:eastAsia="宋体" w:cs="Times New Roman"/>
      <w:lang w:val="en-US" w:eastAsia="zh-CN" w:bidi="ar-SA"/>
    </w:rPr>
  </w:style>
  <w:style w:type="paragraph" w:customStyle="1" w:styleId="24">
    <w:name w:val="样式1"/>
    <w:basedOn w:val="1"/>
    <w:next w:val="2"/>
    <w:qFormat/>
    <w:uiPriority w:val="0"/>
    <w:pPr>
      <w:widowControl/>
      <w:pBdr>
        <w:bottom w:val="single" w:color="FFFFFF" w:sz="8" w:space="31"/>
      </w:pBdr>
      <w:shd w:val="clear" w:color="auto" w:fill="FFFFFF"/>
      <w:adjustRightInd w:val="0"/>
      <w:snapToGrid w:val="0"/>
      <w:spacing w:line="570" w:lineRule="atLeast"/>
      <w:ind w:firstLine="640" w:firstLineChars="200"/>
    </w:pPr>
    <w:rPr>
      <w:rFonts w:ascii="Times New Roman" w:hAnsi="Times New Roman" w:eastAsia="仿宋" w:cs="Times New Roman"/>
      <w:bCs/>
      <w:sz w:val="32"/>
      <w:szCs w:val="32"/>
    </w:rPr>
  </w:style>
  <w:style w:type="character" w:customStyle="1" w:styleId="25">
    <w:name w:val="批注框文本 字符"/>
    <w:basedOn w:val="15"/>
    <w:link w:val="7"/>
    <w:qFormat/>
    <w:uiPriority w:val="0"/>
    <w:rPr>
      <w:rFonts w:ascii="Calibri" w:hAnsi="Calibri" w:cs="黑体"/>
      <w:kern w:val="2"/>
      <w:sz w:val="18"/>
      <w:szCs w:val="18"/>
    </w:rPr>
  </w:style>
  <w:style w:type="character" w:customStyle="1" w:styleId="26">
    <w:name w:val="页脚 字符"/>
    <w:basedOn w:val="15"/>
    <w:link w:val="8"/>
    <w:qFormat/>
    <w:uiPriority w:val="99"/>
    <w:rPr>
      <w:rFonts w:ascii="Calibri" w:hAnsi="Calibri" w:cs="黑体"/>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EF932-2D7D-44FF-BCC4-049E5431E5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18703</Words>
  <Characters>19341</Characters>
  <Lines>160</Lines>
  <Paragraphs>45</Paragraphs>
  <TotalTime>1</TotalTime>
  <ScaleCrop>false</ScaleCrop>
  <LinksUpToDate>false</LinksUpToDate>
  <CharactersWithSpaces>19437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2022-05-31T04:52:00Z</dcterms:created>
  <dc:creator>云淡风轻</dc:creator>
  <cp:lastModifiedBy>Administrator</cp:lastModifiedBy>
  <cp:lastPrinted>2022-08-04T09:04:00Z</cp:lastPrinted>
  <dcterms:modified xsi:type="dcterms:W3CDTF">2022-08-22T06:46:30Z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EA50E639024E4383BC2DDB88FE51121E</vt:lpwstr>
  </property>
  <property fmtid="{D5CDD505-2E9C-101B-9397-08002B2CF9AE}" pid="4" name="KSOSaveFontToCloudKey">
    <vt:lpwstr>519899369_btnclosed</vt:lpwstr>
  </property>
</Properties>
</file>