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85" w:rsidRDefault="00E46185" w:rsidP="00E46185">
      <w:pPr>
        <w:overflowPunct w:val="0"/>
        <w:autoSpaceDE w:val="0"/>
        <w:autoSpaceDN w:val="0"/>
        <w:snapToGrid w:val="0"/>
        <w:spacing w:line="560" w:lineRule="exact"/>
        <w:jc w:val="center"/>
        <w:rPr>
          <w:rFonts w:ascii="方正小标宋_GBK" w:eastAsia="方正小标宋_GBK"/>
          <w:kern w:val="0"/>
          <w:sz w:val="44"/>
          <w:szCs w:val="44"/>
        </w:rPr>
      </w:pPr>
      <w:r>
        <w:rPr>
          <w:rFonts w:ascii="方正小标宋_GBK" w:eastAsia="方正小标宋_GBK" w:hint="eastAsia"/>
          <w:kern w:val="0"/>
          <w:sz w:val="44"/>
          <w:szCs w:val="44"/>
        </w:rPr>
        <w:t>重庆市北碚区人民政府</w:t>
      </w:r>
    </w:p>
    <w:p w:rsidR="00E46185" w:rsidRDefault="00E46185" w:rsidP="00E46185">
      <w:pPr>
        <w:overflowPunct w:val="0"/>
        <w:autoSpaceDE w:val="0"/>
        <w:autoSpaceDN w:val="0"/>
        <w:snapToGrid w:val="0"/>
        <w:spacing w:line="560" w:lineRule="exact"/>
        <w:jc w:val="center"/>
        <w:rPr>
          <w:rFonts w:ascii="方正小标宋_GBK" w:eastAsia="方正小标宋_GBK"/>
          <w:kern w:val="0"/>
          <w:sz w:val="44"/>
          <w:szCs w:val="44"/>
        </w:rPr>
      </w:pPr>
      <w:r>
        <w:rPr>
          <w:rFonts w:ascii="方正小标宋_GBK" w:eastAsia="方正小标宋_GBK" w:hint="eastAsia"/>
          <w:kern w:val="0"/>
          <w:sz w:val="44"/>
          <w:szCs w:val="44"/>
        </w:rPr>
        <w:t>关于2024年度区级预算执行和其他</w:t>
      </w:r>
    </w:p>
    <w:p w:rsidR="00E46185" w:rsidRDefault="00E46185" w:rsidP="00E46185">
      <w:pPr>
        <w:overflowPunct w:val="0"/>
        <w:autoSpaceDE w:val="0"/>
        <w:autoSpaceDN w:val="0"/>
        <w:snapToGrid w:val="0"/>
        <w:spacing w:line="560" w:lineRule="exact"/>
        <w:jc w:val="center"/>
        <w:rPr>
          <w:rFonts w:ascii="方正小标宋_GBK" w:eastAsia="方正小标宋_GBK"/>
          <w:kern w:val="0"/>
          <w:sz w:val="44"/>
          <w:szCs w:val="44"/>
        </w:rPr>
      </w:pPr>
      <w:r>
        <w:rPr>
          <w:rFonts w:ascii="方正小标宋_GBK" w:eastAsia="方正小标宋_GBK" w:hint="eastAsia"/>
          <w:kern w:val="0"/>
          <w:sz w:val="44"/>
          <w:szCs w:val="44"/>
        </w:rPr>
        <w:t>财政收支的审计工作报告</w:t>
      </w:r>
    </w:p>
    <w:p w:rsidR="00E46185" w:rsidRPr="00BC44F3" w:rsidRDefault="00E46185" w:rsidP="00E46185">
      <w:pPr>
        <w:pStyle w:val="4"/>
        <w:spacing w:before="0" w:after="0" w:line="560" w:lineRule="exact"/>
        <w:jc w:val="center"/>
        <w:rPr>
          <w:rFonts w:ascii="方正楷体_GBK" w:eastAsia="方正楷体_GBK" w:hAnsi="Tahoma" w:hint="eastAsia"/>
          <w:b w:val="0"/>
          <w:kern w:val="0"/>
          <w:szCs w:val="28"/>
        </w:rPr>
      </w:pPr>
      <w:r w:rsidRPr="00BC44F3">
        <w:rPr>
          <w:rFonts w:ascii="方正楷体_GBK" w:eastAsia="方正楷体_GBK" w:hAnsi="Tahoma" w:hint="eastAsia"/>
          <w:b w:val="0"/>
          <w:kern w:val="0"/>
          <w:szCs w:val="28"/>
        </w:rPr>
        <w:t>——202</w:t>
      </w:r>
      <w:r>
        <w:rPr>
          <w:rFonts w:ascii="方正楷体_GBK" w:eastAsia="方正楷体_GBK" w:hAnsi="Tahoma"/>
          <w:b w:val="0"/>
          <w:kern w:val="0"/>
          <w:szCs w:val="28"/>
        </w:rPr>
        <w:t>5</w:t>
      </w:r>
      <w:r w:rsidRPr="00BC44F3">
        <w:rPr>
          <w:rFonts w:ascii="方正楷体_GBK" w:eastAsia="方正楷体_GBK" w:hAnsi="Tahoma" w:hint="eastAsia"/>
          <w:b w:val="0"/>
          <w:kern w:val="0"/>
          <w:szCs w:val="28"/>
        </w:rPr>
        <w:t>年7月</w:t>
      </w:r>
      <w:r>
        <w:rPr>
          <w:rFonts w:ascii="方正楷体_GBK" w:eastAsia="方正楷体_GBK" w:hAnsi="Tahoma"/>
          <w:b w:val="0"/>
          <w:kern w:val="0"/>
          <w:szCs w:val="28"/>
        </w:rPr>
        <w:t>25</w:t>
      </w:r>
      <w:r w:rsidRPr="00BC44F3">
        <w:rPr>
          <w:rFonts w:ascii="方正楷体_GBK" w:eastAsia="方正楷体_GBK" w:hAnsi="Tahoma" w:hint="eastAsia"/>
          <w:b w:val="0"/>
          <w:kern w:val="0"/>
          <w:szCs w:val="28"/>
        </w:rPr>
        <w:t>日在第十</w:t>
      </w:r>
      <w:r>
        <w:rPr>
          <w:rFonts w:ascii="方正楷体_GBK" w:eastAsia="方正楷体_GBK" w:hAnsi="Tahoma" w:hint="eastAsia"/>
          <w:b w:val="0"/>
          <w:kern w:val="0"/>
          <w:szCs w:val="28"/>
        </w:rPr>
        <w:t>九</w:t>
      </w:r>
      <w:r w:rsidRPr="00BC44F3">
        <w:rPr>
          <w:rFonts w:ascii="方正楷体_GBK" w:eastAsia="方正楷体_GBK" w:hAnsi="Tahoma" w:hint="eastAsia"/>
          <w:b w:val="0"/>
          <w:kern w:val="0"/>
          <w:szCs w:val="28"/>
        </w:rPr>
        <w:t>届人大常委会第</w:t>
      </w:r>
      <w:r>
        <w:rPr>
          <w:rFonts w:ascii="方正楷体_GBK" w:eastAsia="方正楷体_GBK" w:hAnsi="Tahoma" w:hint="eastAsia"/>
          <w:b w:val="0"/>
          <w:kern w:val="0"/>
          <w:szCs w:val="28"/>
        </w:rPr>
        <w:t>三</w:t>
      </w:r>
      <w:r w:rsidRPr="00B855E3">
        <w:rPr>
          <w:rFonts w:ascii="方正楷体_GBK" w:eastAsia="方正楷体_GBK" w:hAnsi="Tahoma" w:hint="eastAsia"/>
          <w:b w:val="0"/>
          <w:kern w:val="0"/>
          <w:szCs w:val="28"/>
        </w:rPr>
        <w:t>十六次</w:t>
      </w:r>
      <w:r w:rsidRPr="00BC44F3">
        <w:rPr>
          <w:rFonts w:ascii="方正楷体_GBK" w:eastAsia="方正楷体_GBK" w:hAnsi="Tahoma" w:hint="eastAsia"/>
          <w:b w:val="0"/>
          <w:kern w:val="0"/>
          <w:szCs w:val="28"/>
        </w:rPr>
        <w:t>会议上</w:t>
      </w:r>
    </w:p>
    <w:p w:rsidR="00E46185" w:rsidRPr="00BC44F3" w:rsidRDefault="00E46185" w:rsidP="00E46185">
      <w:pPr>
        <w:spacing w:line="560" w:lineRule="exact"/>
        <w:jc w:val="center"/>
        <w:rPr>
          <w:rFonts w:ascii="方正楷体_GBK" w:eastAsia="方正楷体_GBK" w:hAnsi="Tahoma" w:hint="eastAsia"/>
          <w:kern w:val="0"/>
          <w:sz w:val="28"/>
          <w:szCs w:val="28"/>
        </w:rPr>
      </w:pPr>
      <w:r w:rsidRPr="00BC44F3">
        <w:rPr>
          <w:rFonts w:ascii="方正楷体_GBK" w:eastAsia="方正楷体_GBK" w:hAnsi="Tahoma" w:hint="eastAsia"/>
          <w:kern w:val="0"/>
          <w:sz w:val="28"/>
          <w:szCs w:val="28"/>
        </w:rPr>
        <w:t>区审计局局长</w:t>
      </w:r>
      <w:r>
        <w:rPr>
          <w:rFonts w:ascii="方正楷体_GBK" w:eastAsia="方正楷体_GBK" w:hAnsi="Tahoma" w:hint="eastAsia"/>
          <w:kern w:val="0"/>
          <w:sz w:val="28"/>
          <w:szCs w:val="28"/>
        </w:rPr>
        <w:t xml:space="preserve">  段海涛</w:t>
      </w:r>
    </w:p>
    <w:p w:rsidR="00E46185" w:rsidRDefault="00E46185" w:rsidP="00E46185">
      <w:pPr>
        <w:pStyle w:val="a0"/>
        <w:spacing w:line="560" w:lineRule="exact"/>
        <w:ind w:firstLineChars="0" w:firstLine="0"/>
        <w:rPr>
          <w:rFonts w:ascii="Times New Roman" w:eastAsia="方正仿宋_GBK" w:hAnsi="Times New Roman"/>
          <w:szCs w:val="32"/>
        </w:rPr>
      </w:pPr>
      <w:bookmarkStart w:id="0" w:name="_GoBack"/>
      <w:bookmarkEnd w:id="0"/>
    </w:p>
    <w:p w:rsidR="00E46185" w:rsidRDefault="00E46185" w:rsidP="00E46185">
      <w:pPr>
        <w:pStyle w:val="a0"/>
        <w:spacing w:line="560" w:lineRule="exact"/>
        <w:ind w:firstLineChars="0" w:firstLine="0"/>
        <w:rPr>
          <w:rFonts w:ascii="Times New Roman" w:eastAsia="方正仿宋_GBK" w:hAnsi="Times New Roman"/>
          <w:szCs w:val="32"/>
        </w:rPr>
      </w:pPr>
      <w:r>
        <w:rPr>
          <w:rFonts w:ascii="Times New Roman" w:eastAsia="方正仿宋_GBK" w:hAnsi="Times New Roman"/>
          <w:szCs w:val="32"/>
        </w:rPr>
        <w:t>主任、各位副主任、各位委员：</w:t>
      </w:r>
    </w:p>
    <w:p w:rsidR="00E46185" w:rsidRDefault="00E46185" w:rsidP="00E46185">
      <w:pPr>
        <w:pStyle w:val="a0"/>
        <w:spacing w:line="560" w:lineRule="exact"/>
        <w:ind w:firstLine="640"/>
        <w:rPr>
          <w:rFonts w:ascii="Times New Roman" w:eastAsia="方正仿宋_GBK" w:hAnsi="Times New Roman"/>
          <w:szCs w:val="32"/>
        </w:rPr>
      </w:pPr>
      <w:r>
        <w:rPr>
          <w:rFonts w:ascii="Times New Roman" w:eastAsia="方正仿宋_GBK" w:hAnsi="Times New Roman"/>
          <w:szCs w:val="32"/>
        </w:rPr>
        <w:t>受区人民政府委托，报告</w:t>
      </w:r>
      <w:r>
        <w:rPr>
          <w:rFonts w:ascii="Times New Roman" w:eastAsia="方正仿宋_GBK" w:hAnsi="Times New Roman"/>
          <w:szCs w:val="32"/>
        </w:rPr>
        <w:t>2024</w:t>
      </w:r>
      <w:r>
        <w:rPr>
          <w:rFonts w:ascii="Times New Roman" w:eastAsia="方正仿宋_GBK" w:hAnsi="Times New Roman"/>
          <w:szCs w:val="32"/>
        </w:rPr>
        <w:t>年度区级预算执行和其他财政收支的审计情况，请予审议。</w:t>
      </w:r>
    </w:p>
    <w:p w:rsidR="00E46185" w:rsidRDefault="00E46185" w:rsidP="00E46185">
      <w:pPr>
        <w:pStyle w:val="a0"/>
        <w:spacing w:line="560" w:lineRule="exact"/>
        <w:ind w:firstLine="640"/>
        <w:rPr>
          <w:rFonts w:ascii="Times New Roman" w:eastAsia="方正仿宋_GBK" w:hAnsi="Times New Roman"/>
          <w:szCs w:val="32"/>
        </w:rPr>
      </w:pPr>
      <w:r>
        <w:rPr>
          <w:rFonts w:ascii="Times New Roman" w:eastAsia="方正仿宋_GBK" w:hAnsi="Times New Roman"/>
          <w:szCs w:val="32"/>
        </w:rPr>
        <w:t>2024</w:t>
      </w:r>
      <w:r>
        <w:rPr>
          <w:rFonts w:ascii="Times New Roman" w:eastAsia="方正仿宋_GBK" w:hAnsi="Times New Roman"/>
          <w:szCs w:val="32"/>
        </w:rPr>
        <w:t>年是新中国成立</w:t>
      </w:r>
      <w:r>
        <w:rPr>
          <w:rFonts w:ascii="Times New Roman" w:eastAsia="方正仿宋_GBK" w:hAnsi="Times New Roman"/>
          <w:szCs w:val="32"/>
        </w:rPr>
        <w:t>75</w:t>
      </w:r>
      <w:r>
        <w:rPr>
          <w:rFonts w:ascii="Times New Roman" w:eastAsia="方正仿宋_GBK" w:hAnsi="Times New Roman"/>
          <w:szCs w:val="32"/>
        </w:rPr>
        <w:t>周年，是实现</w:t>
      </w:r>
      <w:r>
        <w:rPr>
          <w:rFonts w:ascii="Times New Roman" w:eastAsia="方正仿宋_GBK" w:hAnsi="Times New Roman" w:hint="eastAsia"/>
          <w:szCs w:val="32"/>
        </w:rPr>
        <w:t>“</w:t>
      </w:r>
      <w:r>
        <w:rPr>
          <w:rFonts w:ascii="Times New Roman" w:eastAsia="方正仿宋_GBK" w:hAnsi="Times New Roman"/>
          <w:szCs w:val="32"/>
        </w:rPr>
        <w:t>十四五</w:t>
      </w:r>
      <w:r>
        <w:rPr>
          <w:rFonts w:ascii="Times New Roman" w:eastAsia="方正仿宋_GBK" w:hAnsi="Times New Roman" w:hint="eastAsia"/>
          <w:szCs w:val="32"/>
        </w:rPr>
        <w:t>”</w:t>
      </w:r>
      <w:r>
        <w:rPr>
          <w:rFonts w:ascii="Times New Roman" w:eastAsia="方正仿宋_GBK" w:hAnsi="Times New Roman"/>
          <w:szCs w:val="32"/>
        </w:rPr>
        <w:t>规划目标任务的关键一年，也是习近平总书记亲临重庆视察，给予我们巨大信念引领和磅礴奋进力量的一年。一年来，北碚区坚决做到</w:t>
      </w:r>
      <w:r>
        <w:rPr>
          <w:rFonts w:ascii="方正仿宋_GBK" w:eastAsia="方正仿宋_GBK" w:hAnsi="Times New Roman" w:hint="eastAsia"/>
          <w:szCs w:val="32"/>
        </w:rPr>
        <w:t>“总书记有号令、党中央有部署，重庆见行动，北碚抓落实”</w:t>
      </w:r>
      <w:r>
        <w:rPr>
          <w:rFonts w:ascii="Times New Roman" w:eastAsia="方正仿宋_GBK" w:hAnsi="Times New Roman"/>
          <w:szCs w:val="32"/>
        </w:rPr>
        <w:t>，突出稳进增效、除险固安、改革突破、惠民强企工作导向，为奋力谱写中国式现代化重庆篇章贡献北碚力量。审计结果表明：全区始终坚持以习近平新时代中国特色社会主义思想为指导，全面贯彻党的二十大和二十届二中、三中全会精神，深入贯彻落实习近平总书记视察重庆重要讲话重要指示精神，认真贯彻市委、市政府决策部署，在区委的坚强领导下，全区产业质效持续提升，改革潜能持续释放，发展动能持续激发，城乡面貌持续提升，民生福祉持续增进，全区经济社会发展迈出新的坚实步伐。</w:t>
      </w:r>
    </w:p>
    <w:p w:rsidR="00E46185" w:rsidRDefault="00E46185" w:rsidP="00E46185">
      <w:pPr>
        <w:pStyle w:val="a0"/>
        <w:spacing w:line="560" w:lineRule="exact"/>
        <w:ind w:firstLine="643"/>
        <w:rPr>
          <w:rFonts w:ascii="Times New Roman" w:eastAsia="方正仿宋_GBK" w:hAnsi="Times New Roman"/>
          <w:szCs w:val="32"/>
        </w:rPr>
      </w:pPr>
      <w:r>
        <w:rPr>
          <w:rFonts w:ascii="Times New Roman" w:eastAsia="方正仿宋_GBK" w:hAnsi="Times New Roman"/>
          <w:b/>
          <w:szCs w:val="32"/>
        </w:rPr>
        <w:t>——</w:t>
      </w:r>
      <w:r>
        <w:rPr>
          <w:rFonts w:ascii="Times New Roman" w:eastAsia="方正仿宋_GBK" w:hAnsi="Times New Roman"/>
          <w:b/>
          <w:szCs w:val="32"/>
        </w:rPr>
        <w:t>财政运行稳中提质，改革攻坚纵深推进。</w:t>
      </w:r>
      <w:r>
        <w:rPr>
          <w:rFonts w:ascii="Times New Roman" w:eastAsia="方正仿宋_GBK" w:hAnsi="Times New Roman"/>
          <w:szCs w:val="32"/>
        </w:rPr>
        <w:t>通过强化税收</w:t>
      </w:r>
      <w:r>
        <w:rPr>
          <w:rFonts w:ascii="Times New Roman" w:eastAsia="方正仿宋_GBK" w:hAnsi="Times New Roman"/>
          <w:szCs w:val="32"/>
        </w:rPr>
        <w:lastRenderedPageBreak/>
        <w:t>征管、盘活资产资源、争取上级支持等多渠道夯实财力基础，一般公共预算收入完成</w:t>
      </w:r>
      <w:r>
        <w:rPr>
          <w:rFonts w:ascii="Times New Roman" w:eastAsia="方正仿宋_GBK" w:hAnsi="Times New Roman"/>
          <w:szCs w:val="32"/>
        </w:rPr>
        <w:t>28</w:t>
      </w:r>
      <w:r>
        <w:rPr>
          <w:rFonts w:ascii="Times New Roman" w:eastAsia="方正仿宋_GBK" w:hAnsi="Times New Roman"/>
          <w:szCs w:val="32"/>
        </w:rPr>
        <w:t>亿元，存量国有资产盘活回收资金</w:t>
      </w:r>
      <w:r>
        <w:rPr>
          <w:rFonts w:ascii="Times New Roman" w:eastAsia="方正仿宋_GBK" w:hAnsi="Times New Roman"/>
          <w:szCs w:val="32"/>
        </w:rPr>
        <w:t>62.5</w:t>
      </w:r>
      <w:r>
        <w:rPr>
          <w:rFonts w:ascii="Times New Roman" w:eastAsia="方正仿宋_GBK" w:hAnsi="Times New Roman"/>
          <w:szCs w:val="32"/>
        </w:rPr>
        <w:t>亿元，争取上级资金约</w:t>
      </w:r>
      <w:r>
        <w:rPr>
          <w:rFonts w:ascii="Times New Roman" w:eastAsia="方正仿宋_GBK" w:hAnsi="Times New Roman"/>
          <w:szCs w:val="32"/>
        </w:rPr>
        <w:t>38</w:t>
      </w:r>
      <w:r>
        <w:rPr>
          <w:rFonts w:ascii="Times New Roman" w:eastAsia="方正仿宋_GBK" w:hAnsi="Times New Roman"/>
          <w:szCs w:val="32"/>
        </w:rPr>
        <w:t>亿元，为财政平稳运行提供有力保障；营商环境持续优化，减税降费超</w:t>
      </w:r>
      <w:r>
        <w:rPr>
          <w:rFonts w:ascii="Times New Roman" w:eastAsia="方正仿宋_GBK" w:hAnsi="Times New Roman"/>
          <w:szCs w:val="32"/>
        </w:rPr>
        <w:t>8</w:t>
      </w:r>
      <w:r>
        <w:rPr>
          <w:rFonts w:ascii="Times New Roman" w:eastAsia="方正仿宋_GBK" w:hAnsi="Times New Roman"/>
          <w:szCs w:val="32"/>
        </w:rPr>
        <w:t>亿元，兑现各级财政扶持资金</w:t>
      </w:r>
      <w:r>
        <w:rPr>
          <w:rFonts w:ascii="Times New Roman" w:eastAsia="方正仿宋_GBK" w:hAnsi="Times New Roman"/>
          <w:szCs w:val="32"/>
        </w:rPr>
        <w:t>2</w:t>
      </w:r>
      <w:r>
        <w:rPr>
          <w:rFonts w:ascii="Times New Roman" w:eastAsia="方正仿宋_GBK" w:hAnsi="Times New Roman"/>
          <w:szCs w:val="32"/>
        </w:rPr>
        <w:t>亿元，惠及企业</w:t>
      </w:r>
      <w:r>
        <w:rPr>
          <w:rFonts w:ascii="Times New Roman" w:eastAsia="方正仿宋_GBK" w:hAnsi="Times New Roman"/>
          <w:szCs w:val="32"/>
        </w:rPr>
        <w:t>300</w:t>
      </w:r>
      <w:r>
        <w:rPr>
          <w:rFonts w:ascii="Times New Roman" w:eastAsia="方正仿宋_GBK" w:hAnsi="Times New Roman"/>
          <w:szCs w:val="32"/>
        </w:rPr>
        <w:t>余家，北碚经开区亩均税收增长</w:t>
      </w:r>
      <w:r>
        <w:rPr>
          <w:rFonts w:ascii="Times New Roman" w:eastAsia="方正仿宋_GBK" w:hAnsi="Times New Roman"/>
          <w:szCs w:val="32"/>
        </w:rPr>
        <w:t>7.8%</w:t>
      </w:r>
      <w:r>
        <w:rPr>
          <w:rFonts w:ascii="Times New Roman" w:eastAsia="方正仿宋_GBK" w:hAnsi="Times New Roman"/>
          <w:szCs w:val="32"/>
        </w:rPr>
        <w:t>，民营经济活力增强，为高质量发展注入强劲动能。</w:t>
      </w:r>
    </w:p>
    <w:p w:rsidR="00E46185" w:rsidRDefault="00E46185" w:rsidP="00E46185">
      <w:pPr>
        <w:pStyle w:val="a0"/>
        <w:spacing w:line="560" w:lineRule="exact"/>
        <w:ind w:firstLine="643"/>
        <w:rPr>
          <w:rFonts w:ascii="Times New Roman" w:eastAsia="方正仿宋_GBK" w:hAnsi="Times New Roman"/>
          <w:szCs w:val="32"/>
        </w:rPr>
      </w:pPr>
      <w:r>
        <w:rPr>
          <w:rFonts w:ascii="Times New Roman" w:eastAsia="方正仿宋_GBK" w:hAnsi="Times New Roman"/>
          <w:b/>
          <w:szCs w:val="32"/>
        </w:rPr>
        <w:t>——</w:t>
      </w:r>
      <w:r>
        <w:rPr>
          <w:rFonts w:ascii="Times New Roman" w:eastAsia="方正仿宋_GBK" w:hAnsi="Times New Roman"/>
          <w:b/>
          <w:szCs w:val="32"/>
        </w:rPr>
        <w:t>民生福祉切实增进，治理效能持续提升。</w:t>
      </w:r>
      <w:r>
        <w:rPr>
          <w:rFonts w:ascii="Times New Roman" w:eastAsia="方正仿宋_GBK" w:hAnsi="Times New Roman"/>
          <w:szCs w:val="32"/>
        </w:rPr>
        <w:t>办强办优基础教育，新增普惠性幼儿园</w:t>
      </w:r>
      <w:r>
        <w:rPr>
          <w:rFonts w:ascii="Times New Roman" w:eastAsia="方正仿宋_GBK" w:hAnsi="Times New Roman"/>
          <w:szCs w:val="32"/>
        </w:rPr>
        <w:t>6</w:t>
      </w:r>
      <w:r>
        <w:rPr>
          <w:rFonts w:ascii="Times New Roman" w:eastAsia="方正仿宋_GBK" w:hAnsi="Times New Roman"/>
          <w:szCs w:val="32"/>
        </w:rPr>
        <w:t>所、小学</w:t>
      </w:r>
      <w:r>
        <w:rPr>
          <w:rFonts w:ascii="Times New Roman" w:eastAsia="方正仿宋_GBK" w:hAnsi="Times New Roman"/>
          <w:szCs w:val="32"/>
        </w:rPr>
        <w:t>4</w:t>
      </w:r>
      <w:r>
        <w:rPr>
          <w:rFonts w:ascii="Times New Roman" w:eastAsia="方正仿宋_GBK" w:hAnsi="Times New Roman"/>
          <w:szCs w:val="32"/>
        </w:rPr>
        <w:t>所、校舍</w:t>
      </w:r>
      <w:r>
        <w:rPr>
          <w:rFonts w:ascii="Times New Roman" w:eastAsia="方正仿宋_GBK" w:hAnsi="Times New Roman"/>
          <w:szCs w:val="32"/>
        </w:rPr>
        <w:t>8.1</w:t>
      </w:r>
      <w:r>
        <w:rPr>
          <w:rFonts w:ascii="Times New Roman" w:eastAsia="方正仿宋_GBK" w:hAnsi="Times New Roman"/>
          <w:szCs w:val="32"/>
        </w:rPr>
        <w:t>万平方米、学位</w:t>
      </w:r>
      <w:r>
        <w:rPr>
          <w:rFonts w:ascii="Times New Roman" w:eastAsia="方正仿宋_GBK" w:hAnsi="Times New Roman"/>
          <w:szCs w:val="32"/>
        </w:rPr>
        <w:t>5130</w:t>
      </w:r>
      <w:r>
        <w:rPr>
          <w:rFonts w:ascii="Times New Roman" w:eastAsia="方正仿宋_GBK" w:hAnsi="Times New Roman"/>
          <w:szCs w:val="32"/>
        </w:rPr>
        <w:t>个；推动优质医疗资源扩容，国家区域医疗中心等</w:t>
      </w:r>
      <w:r>
        <w:rPr>
          <w:rFonts w:ascii="Times New Roman" w:eastAsia="方正仿宋_GBK" w:hAnsi="Times New Roman"/>
          <w:szCs w:val="32"/>
        </w:rPr>
        <w:t>4</w:t>
      </w:r>
      <w:r>
        <w:rPr>
          <w:rFonts w:ascii="Times New Roman" w:eastAsia="方正仿宋_GBK" w:hAnsi="Times New Roman"/>
          <w:szCs w:val="32"/>
        </w:rPr>
        <w:t>个三甲医院（院区）加快建设，职工医保门诊共济保障改革平稳落地；抓好社会保障，城镇新增就业</w:t>
      </w:r>
      <w:r>
        <w:rPr>
          <w:rFonts w:ascii="Times New Roman" w:eastAsia="方正仿宋_GBK" w:hAnsi="Times New Roman"/>
          <w:szCs w:val="32"/>
        </w:rPr>
        <w:t>2.2</w:t>
      </w:r>
      <w:r>
        <w:rPr>
          <w:rFonts w:ascii="Times New Roman" w:eastAsia="方正仿宋_GBK" w:hAnsi="Times New Roman"/>
          <w:szCs w:val="32"/>
        </w:rPr>
        <w:t>万人，新纳入社会救助对象</w:t>
      </w:r>
      <w:r>
        <w:rPr>
          <w:rFonts w:ascii="Times New Roman" w:eastAsia="方正仿宋_GBK" w:hAnsi="Times New Roman"/>
          <w:szCs w:val="32"/>
        </w:rPr>
        <w:t>3627</w:t>
      </w:r>
      <w:r>
        <w:rPr>
          <w:rFonts w:ascii="Times New Roman" w:eastAsia="方正仿宋_GBK" w:hAnsi="Times New Roman"/>
          <w:szCs w:val="32"/>
        </w:rPr>
        <w:t>人；加强社会治理，生产安全事故数下降</w:t>
      </w:r>
      <w:r>
        <w:rPr>
          <w:rFonts w:ascii="Times New Roman" w:eastAsia="方正仿宋_GBK" w:hAnsi="Times New Roman"/>
          <w:szCs w:val="32"/>
        </w:rPr>
        <w:t>31.2%</w:t>
      </w:r>
      <w:r>
        <w:rPr>
          <w:rFonts w:ascii="Times New Roman" w:eastAsia="方正仿宋_GBK" w:hAnsi="Times New Roman"/>
          <w:szCs w:val="32"/>
        </w:rPr>
        <w:t>，矛盾纠纷排查化解率</w:t>
      </w:r>
      <w:r>
        <w:rPr>
          <w:rFonts w:ascii="Times New Roman" w:eastAsia="方正仿宋_GBK" w:hAnsi="Times New Roman"/>
          <w:szCs w:val="32"/>
        </w:rPr>
        <w:t>98.7%</w:t>
      </w:r>
      <w:r>
        <w:rPr>
          <w:rFonts w:ascii="Times New Roman" w:eastAsia="方正仿宋_GBK" w:hAnsi="Times New Roman"/>
          <w:szCs w:val="32"/>
        </w:rPr>
        <w:t>，电诈发案数下降</w:t>
      </w:r>
      <w:r>
        <w:rPr>
          <w:rFonts w:ascii="Times New Roman" w:eastAsia="方正仿宋_GBK" w:hAnsi="Times New Roman"/>
          <w:szCs w:val="32"/>
        </w:rPr>
        <w:t>29.5%</w:t>
      </w:r>
      <w:r>
        <w:rPr>
          <w:rFonts w:ascii="Times New Roman" w:eastAsia="方正仿宋_GBK" w:hAnsi="Times New Roman"/>
          <w:szCs w:val="32"/>
        </w:rPr>
        <w:t>。</w:t>
      </w:r>
    </w:p>
    <w:p w:rsidR="00E46185" w:rsidRDefault="00E46185" w:rsidP="00E46185">
      <w:pPr>
        <w:pStyle w:val="a0"/>
        <w:spacing w:line="560" w:lineRule="exact"/>
        <w:ind w:firstLine="643"/>
        <w:rPr>
          <w:rFonts w:ascii="Times New Roman" w:eastAsia="方正仿宋_GBK" w:hAnsi="Times New Roman"/>
          <w:szCs w:val="32"/>
        </w:rPr>
      </w:pPr>
      <w:r>
        <w:rPr>
          <w:rFonts w:ascii="Times New Roman" w:eastAsia="方正仿宋_GBK" w:hAnsi="Times New Roman"/>
          <w:b/>
          <w:szCs w:val="32"/>
        </w:rPr>
        <w:t>——</w:t>
      </w:r>
      <w:r>
        <w:rPr>
          <w:rFonts w:ascii="Times New Roman" w:eastAsia="方正仿宋_GBK" w:hAnsi="Times New Roman"/>
          <w:b/>
          <w:szCs w:val="32"/>
        </w:rPr>
        <w:t>区域经济回升向好，产业升级成效显著。</w:t>
      </w:r>
      <w:r>
        <w:rPr>
          <w:rFonts w:ascii="Times New Roman" w:eastAsia="方正仿宋_GBK" w:hAnsi="Times New Roman"/>
          <w:szCs w:val="32"/>
        </w:rPr>
        <w:t>经济总量与质量双提升，全区地区生产总值达</w:t>
      </w:r>
      <w:r>
        <w:rPr>
          <w:rFonts w:ascii="Times New Roman" w:eastAsia="方正仿宋_GBK" w:hAnsi="Times New Roman"/>
          <w:szCs w:val="32"/>
        </w:rPr>
        <w:t>925.01</w:t>
      </w:r>
      <w:r>
        <w:rPr>
          <w:rFonts w:ascii="Times New Roman" w:eastAsia="方正仿宋_GBK" w:hAnsi="Times New Roman"/>
          <w:szCs w:val="32"/>
        </w:rPr>
        <w:t>亿元、增长</w:t>
      </w:r>
      <w:r>
        <w:rPr>
          <w:rFonts w:ascii="Times New Roman" w:eastAsia="方正仿宋_GBK" w:hAnsi="Times New Roman"/>
          <w:szCs w:val="32"/>
        </w:rPr>
        <w:t>5.1%</w:t>
      </w:r>
      <w:r>
        <w:rPr>
          <w:rFonts w:ascii="Times New Roman" w:eastAsia="方正仿宋_GBK" w:hAnsi="Times New Roman"/>
          <w:szCs w:val="32"/>
        </w:rPr>
        <w:t>，规上工业总产值突破千亿大关，增长</w:t>
      </w:r>
      <w:r>
        <w:rPr>
          <w:rFonts w:ascii="Times New Roman" w:eastAsia="方正仿宋_GBK" w:hAnsi="Times New Roman"/>
          <w:szCs w:val="32"/>
        </w:rPr>
        <w:t>6.2%</w:t>
      </w:r>
      <w:r>
        <w:rPr>
          <w:rFonts w:ascii="Times New Roman" w:eastAsia="方正仿宋_GBK" w:hAnsi="Times New Roman"/>
          <w:szCs w:val="32"/>
        </w:rPr>
        <w:t>；工业主引擎作用突出，恒舰摩托等</w:t>
      </w:r>
      <w:r>
        <w:rPr>
          <w:rFonts w:ascii="Times New Roman" w:eastAsia="方正仿宋_GBK" w:hAnsi="Times New Roman"/>
          <w:szCs w:val="32"/>
        </w:rPr>
        <w:t>71</w:t>
      </w:r>
      <w:r>
        <w:rPr>
          <w:rFonts w:ascii="Times New Roman" w:eastAsia="方正仿宋_GBK" w:hAnsi="Times New Roman"/>
          <w:szCs w:val="32"/>
        </w:rPr>
        <w:t>个项目落地开工，川仪精密等</w:t>
      </w:r>
      <w:r>
        <w:rPr>
          <w:rFonts w:ascii="Times New Roman" w:eastAsia="方正仿宋_GBK" w:hAnsi="Times New Roman"/>
          <w:szCs w:val="32"/>
        </w:rPr>
        <w:t>45</w:t>
      </w:r>
      <w:r>
        <w:rPr>
          <w:rFonts w:ascii="Times New Roman" w:eastAsia="方正仿宋_GBK" w:hAnsi="Times New Roman"/>
          <w:szCs w:val="32"/>
        </w:rPr>
        <w:t>个项目建成投产；现代服务业健康发展，软信行业营收增长</w:t>
      </w:r>
      <w:r>
        <w:rPr>
          <w:rFonts w:ascii="Times New Roman" w:eastAsia="方正仿宋_GBK" w:hAnsi="Times New Roman"/>
          <w:szCs w:val="32"/>
        </w:rPr>
        <w:t>200.1%</w:t>
      </w:r>
      <w:r>
        <w:rPr>
          <w:rFonts w:ascii="Times New Roman" w:eastAsia="方正仿宋_GBK" w:hAnsi="Times New Roman"/>
          <w:szCs w:val="32"/>
        </w:rPr>
        <w:t>、增速居全市第二；特色农业加速培育，形成</w:t>
      </w:r>
      <w:r>
        <w:rPr>
          <w:rFonts w:ascii="方正仿宋_GBK" w:eastAsia="方正仿宋_GBK" w:hAnsi="Times New Roman" w:hint="eastAsia"/>
          <w:szCs w:val="32"/>
        </w:rPr>
        <w:t>“‘</w:t>
      </w:r>
      <w:r>
        <w:rPr>
          <w:rFonts w:ascii="Times New Roman" w:eastAsia="方正仿宋_GBK" w:hAnsi="Times New Roman"/>
          <w:szCs w:val="32"/>
        </w:rPr>
        <w:t>1+4+N</w:t>
      </w:r>
      <w:r>
        <w:rPr>
          <w:rFonts w:ascii="方正仿宋_GBK" w:eastAsia="方正仿宋_GBK" w:hAnsi="Times New Roman" w:hint="eastAsia"/>
          <w:szCs w:val="32"/>
        </w:rPr>
        <w:t>’好品碚出”品</w:t>
      </w:r>
      <w:r>
        <w:rPr>
          <w:rFonts w:ascii="Times New Roman" w:eastAsia="方正仿宋_GBK" w:hAnsi="Times New Roman"/>
          <w:szCs w:val="32"/>
        </w:rPr>
        <w:t>牌体系，累计创建重庆名牌农产品</w:t>
      </w:r>
      <w:r>
        <w:rPr>
          <w:rFonts w:ascii="Times New Roman" w:eastAsia="方正仿宋_GBK" w:hAnsi="Times New Roman"/>
          <w:szCs w:val="32"/>
        </w:rPr>
        <w:t>10</w:t>
      </w:r>
      <w:r>
        <w:rPr>
          <w:rFonts w:ascii="Times New Roman" w:eastAsia="方正仿宋_GBK" w:hAnsi="Times New Roman"/>
          <w:szCs w:val="32"/>
        </w:rPr>
        <w:t>个、</w:t>
      </w:r>
      <w:r>
        <w:rPr>
          <w:rFonts w:ascii="方正仿宋_GBK" w:eastAsia="方正仿宋_GBK" w:hAnsi="Times New Roman" w:hint="eastAsia"/>
          <w:szCs w:val="32"/>
        </w:rPr>
        <w:t>“巴味渝珍”“两品一标”</w:t>
      </w:r>
      <w:r>
        <w:rPr>
          <w:rFonts w:ascii="Times New Roman" w:eastAsia="方正仿宋_GBK" w:hAnsi="Times New Roman"/>
          <w:szCs w:val="32"/>
        </w:rPr>
        <w:t>产品</w:t>
      </w:r>
      <w:r>
        <w:rPr>
          <w:rFonts w:ascii="Times New Roman" w:eastAsia="方正仿宋_GBK" w:hAnsi="Times New Roman"/>
          <w:szCs w:val="32"/>
        </w:rPr>
        <w:t>102</w:t>
      </w:r>
      <w:r>
        <w:rPr>
          <w:rFonts w:ascii="Times New Roman" w:eastAsia="方正仿宋_GBK" w:hAnsi="Times New Roman"/>
          <w:szCs w:val="32"/>
        </w:rPr>
        <w:t>个。</w:t>
      </w:r>
    </w:p>
    <w:p w:rsidR="00E46185" w:rsidRDefault="00E46185" w:rsidP="00E46185">
      <w:pPr>
        <w:pStyle w:val="a0"/>
        <w:spacing w:line="560" w:lineRule="exact"/>
        <w:ind w:firstLine="643"/>
        <w:rPr>
          <w:rFonts w:ascii="Times New Roman" w:eastAsia="方正仿宋_GBK" w:hAnsi="Times New Roman"/>
          <w:szCs w:val="32"/>
        </w:rPr>
      </w:pPr>
      <w:r>
        <w:rPr>
          <w:rFonts w:ascii="Times New Roman" w:eastAsia="方正仿宋_GBK" w:hAnsi="Times New Roman"/>
          <w:b/>
          <w:szCs w:val="32"/>
        </w:rPr>
        <w:t>——</w:t>
      </w:r>
      <w:r>
        <w:rPr>
          <w:rFonts w:ascii="Times New Roman" w:eastAsia="方正仿宋_GBK" w:hAnsi="Times New Roman"/>
          <w:b/>
          <w:szCs w:val="32"/>
        </w:rPr>
        <w:t>审计整改总体格局巩固深化，</w:t>
      </w:r>
      <w:r>
        <w:rPr>
          <w:rFonts w:ascii="Times New Roman" w:eastAsia="方正仿宋_GBK" w:hAnsi="Times New Roman" w:hint="eastAsia"/>
          <w:b/>
          <w:szCs w:val="32"/>
        </w:rPr>
        <w:t>“下半篇文章”做实见效。</w:t>
      </w:r>
      <w:r>
        <w:rPr>
          <w:rFonts w:ascii="方正仿宋_GBK" w:eastAsia="方正仿宋_GBK" w:hAnsi="Times New Roman" w:hint="eastAsia"/>
          <w:szCs w:val="32"/>
        </w:rPr>
        <w:lastRenderedPageBreak/>
        <w:t>聚焦一体推进审计整改“下半篇文章”与揭示问题“上半篇文章”，</w:t>
      </w:r>
      <w:r>
        <w:rPr>
          <w:rFonts w:ascii="Times New Roman" w:eastAsia="方正仿宋_GBK" w:hAnsi="Times New Roman" w:hint="eastAsia"/>
          <w:szCs w:val="32"/>
        </w:rPr>
        <w:t>审计机关</w:t>
      </w:r>
      <w:r>
        <w:rPr>
          <w:rFonts w:ascii="Times New Roman" w:eastAsia="方正仿宋_GBK" w:hAnsi="Times New Roman"/>
          <w:szCs w:val="32"/>
        </w:rPr>
        <w:t>积极履行审计整改督促检查职责，</w:t>
      </w:r>
      <w:r>
        <w:rPr>
          <w:rFonts w:ascii="方正仿宋_GBK" w:eastAsia="方正仿宋_GBK" w:hAnsi="Times New Roman" w:hint="eastAsia"/>
          <w:szCs w:val="32"/>
        </w:rPr>
        <w:t>不断加强我区</w:t>
      </w:r>
      <w:r>
        <w:rPr>
          <w:rFonts w:ascii="Times New Roman" w:eastAsia="方正仿宋_GBK" w:hAnsi="Times New Roman"/>
          <w:szCs w:val="32"/>
        </w:rPr>
        <w:t>审计问题清单和审计问题整改台账管理，</w:t>
      </w:r>
      <w:r>
        <w:rPr>
          <w:rFonts w:ascii="Times New Roman" w:eastAsia="方正仿宋_GBK" w:hAnsi="Times New Roman" w:hint="eastAsia"/>
          <w:szCs w:val="32"/>
        </w:rPr>
        <w:t>持续完善</w:t>
      </w:r>
      <w:r>
        <w:rPr>
          <w:rFonts w:ascii="Times New Roman" w:eastAsia="方正仿宋_GBK" w:hAnsi="Times New Roman"/>
          <w:szCs w:val="32"/>
        </w:rPr>
        <w:t>审计整改工作措施办法，形成</w:t>
      </w:r>
      <w:r>
        <w:rPr>
          <w:rFonts w:ascii="Times New Roman" w:eastAsia="方正仿宋_GBK" w:hAnsi="Times New Roman" w:hint="eastAsia"/>
          <w:szCs w:val="32"/>
        </w:rPr>
        <w:t>了</w:t>
      </w:r>
      <w:r>
        <w:rPr>
          <w:rFonts w:ascii="Times New Roman" w:eastAsia="方正仿宋_GBK" w:hAnsi="Times New Roman"/>
          <w:szCs w:val="32"/>
        </w:rPr>
        <w:t>一级抓一级、层层抓落实的审计整改工作格局</w:t>
      </w:r>
      <w:r>
        <w:rPr>
          <w:rFonts w:ascii="Times New Roman" w:eastAsia="方正仿宋_GBK" w:hAnsi="Times New Roman" w:hint="eastAsia"/>
          <w:szCs w:val="32"/>
        </w:rPr>
        <w:t>，</w:t>
      </w:r>
      <w:r>
        <w:rPr>
          <w:rFonts w:ascii="Times New Roman" w:eastAsia="方正仿宋_GBK" w:hAnsi="Times New Roman" w:hint="eastAsia"/>
          <w:szCs w:val="32"/>
        </w:rPr>
        <w:t>2024</w:t>
      </w:r>
      <w:r>
        <w:rPr>
          <w:rFonts w:ascii="Times New Roman" w:eastAsia="方正仿宋_GBK" w:hAnsi="Times New Roman" w:hint="eastAsia"/>
          <w:szCs w:val="32"/>
        </w:rPr>
        <w:t>年参与撰写的</w:t>
      </w:r>
      <w:r>
        <w:rPr>
          <w:rFonts w:ascii="Times New Roman" w:eastAsia="方正仿宋_GBK" w:hAnsi="Times New Roman" w:hint="eastAsia"/>
          <w:szCs w:val="32"/>
        </w:rPr>
        <w:t>7</w:t>
      </w:r>
      <w:r>
        <w:rPr>
          <w:rFonts w:ascii="Times New Roman" w:eastAsia="方正仿宋_GBK" w:hAnsi="Times New Roman" w:hint="eastAsia"/>
          <w:szCs w:val="32"/>
        </w:rPr>
        <w:t>篇专报获得市委、市政府主要领导批示，</w:t>
      </w:r>
      <w:r>
        <w:rPr>
          <w:rFonts w:ascii="Times New Roman" w:eastAsia="方正仿宋_GBK" w:hAnsi="Times New Roman" w:hint="eastAsia"/>
          <w:szCs w:val="32"/>
        </w:rPr>
        <w:t>15</w:t>
      </w:r>
      <w:r>
        <w:rPr>
          <w:rFonts w:ascii="Times New Roman" w:eastAsia="方正仿宋_GBK" w:hAnsi="Times New Roman" w:hint="eastAsia"/>
          <w:szCs w:val="32"/>
        </w:rPr>
        <w:t>个审计问题纳入市级问题清单</w:t>
      </w:r>
      <w:r>
        <w:rPr>
          <w:rFonts w:ascii="Times New Roman" w:eastAsia="方正仿宋_GBK" w:hAnsi="Times New Roman"/>
          <w:szCs w:val="32"/>
        </w:rPr>
        <w:t>。全区各部门各单位坚持问题导向，对审计查出的问题从制度执行、预算管理、项目管理、绩效评价等环节上深挖问题根源，制定审计整改方案，逐项推动各项审计整改工作落实到位。截至</w:t>
      </w:r>
      <w:r>
        <w:rPr>
          <w:rFonts w:ascii="Times New Roman" w:eastAsia="方正仿宋_GBK" w:hAnsi="Times New Roman"/>
          <w:szCs w:val="32"/>
        </w:rPr>
        <w:t>2025</w:t>
      </w:r>
      <w:r>
        <w:rPr>
          <w:rFonts w:ascii="Times New Roman" w:eastAsia="方正仿宋_GBK" w:hAnsi="Times New Roman"/>
          <w:szCs w:val="32"/>
        </w:rPr>
        <w:t>年</w:t>
      </w:r>
      <w:r>
        <w:rPr>
          <w:rFonts w:ascii="Times New Roman" w:eastAsia="方正仿宋_GBK" w:hAnsi="Times New Roman"/>
          <w:szCs w:val="32"/>
        </w:rPr>
        <w:t>6</w:t>
      </w:r>
      <w:r>
        <w:rPr>
          <w:rFonts w:ascii="Times New Roman" w:eastAsia="方正仿宋_GBK" w:hAnsi="Times New Roman"/>
          <w:szCs w:val="32"/>
        </w:rPr>
        <w:t>月，</w:t>
      </w:r>
      <w:r>
        <w:rPr>
          <w:rFonts w:ascii="Times New Roman" w:eastAsia="方正仿宋_GBK" w:hAnsi="Times New Roman"/>
          <w:szCs w:val="32"/>
        </w:rPr>
        <w:t>2023</w:t>
      </w:r>
      <w:r>
        <w:rPr>
          <w:rFonts w:ascii="Times New Roman" w:eastAsia="方正仿宋_GBK" w:hAnsi="Times New Roman"/>
          <w:szCs w:val="32"/>
        </w:rPr>
        <w:t>年审计发现区级问题</w:t>
      </w:r>
      <w:r>
        <w:rPr>
          <w:rFonts w:ascii="Times New Roman" w:eastAsia="方正仿宋_GBK" w:hAnsi="Times New Roman"/>
          <w:szCs w:val="32"/>
        </w:rPr>
        <w:t>433</w:t>
      </w:r>
      <w:r>
        <w:rPr>
          <w:rFonts w:ascii="Times New Roman" w:eastAsia="方正仿宋_GBK" w:hAnsi="Times New Roman"/>
          <w:szCs w:val="32"/>
        </w:rPr>
        <w:t>个已全部整改到位。</w:t>
      </w:r>
    </w:p>
    <w:p w:rsidR="00E46185" w:rsidRDefault="00E46185" w:rsidP="00E46185">
      <w:pPr>
        <w:pStyle w:val="a0"/>
        <w:spacing w:line="560" w:lineRule="exact"/>
        <w:ind w:firstLine="640"/>
        <w:rPr>
          <w:rFonts w:ascii="Times New Roman" w:eastAsia="方正仿宋_GBK" w:hAnsi="Times New Roman"/>
          <w:szCs w:val="32"/>
        </w:rPr>
      </w:pPr>
      <w:r>
        <w:rPr>
          <w:rFonts w:ascii="Times New Roman" w:eastAsia="方正黑体_GBK" w:hAnsi="Times New Roman"/>
          <w:szCs w:val="32"/>
        </w:rPr>
        <w:t>一、区级预算执行及决算草案编制审计情况</w:t>
      </w:r>
    </w:p>
    <w:p w:rsidR="00E46185" w:rsidRDefault="00E46185" w:rsidP="00E46185">
      <w:pPr>
        <w:adjustRightInd w:val="0"/>
        <w:snapToGrid w:val="0"/>
        <w:spacing w:line="560" w:lineRule="exact"/>
        <w:ind w:firstLineChars="200" w:firstLine="640"/>
        <w:rPr>
          <w:rFonts w:eastAsia="方正仿宋_GBK"/>
          <w:szCs w:val="32"/>
        </w:rPr>
      </w:pPr>
      <w:r>
        <w:rPr>
          <w:rFonts w:eastAsia="方正仿宋_GBK"/>
          <w:szCs w:val="32"/>
        </w:rPr>
        <w:t>重点审计了预算编制及执行、财政资金管理、专项资金管理等情况。</w:t>
      </w:r>
      <w:r>
        <w:rPr>
          <w:rFonts w:eastAsia="方正仿宋_GBK"/>
          <w:szCs w:val="32"/>
        </w:rPr>
        <w:t>2024</w:t>
      </w:r>
      <w:r>
        <w:rPr>
          <w:rFonts w:eastAsia="方正仿宋_GBK"/>
          <w:szCs w:val="32"/>
        </w:rPr>
        <w:t>年，全区一般公共预算收入</w:t>
      </w:r>
      <w:r>
        <w:rPr>
          <w:szCs w:val="32"/>
        </w:rPr>
        <w:t>28</w:t>
      </w:r>
      <w:r>
        <w:rPr>
          <w:rFonts w:eastAsia="方正仿宋_GBK"/>
          <w:szCs w:val="32"/>
        </w:rPr>
        <w:t>亿元，加上级补助收入、债务</w:t>
      </w:r>
      <w:r>
        <w:rPr>
          <w:rFonts w:eastAsia="方正仿宋_GBK" w:hint="eastAsia"/>
          <w:szCs w:val="32"/>
        </w:rPr>
        <w:t>（</w:t>
      </w:r>
      <w:r>
        <w:rPr>
          <w:rFonts w:eastAsia="方正仿宋_GBK"/>
          <w:szCs w:val="32"/>
        </w:rPr>
        <w:t>转贷</w:t>
      </w:r>
      <w:r>
        <w:rPr>
          <w:rFonts w:eastAsia="方正仿宋_GBK" w:hint="eastAsia"/>
          <w:szCs w:val="32"/>
        </w:rPr>
        <w:t>）</w:t>
      </w:r>
      <w:r>
        <w:rPr>
          <w:rFonts w:eastAsia="方正仿宋_GBK"/>
          <w:szCs w:val="32"/>
        </w:rPr>
        <w:t>收入、上年结余等</w:t>
      </w:r>
      <w:r>
        <w:rPr>
          <w:rFonts w:eastAsia="方正仿宋_GBK"/>
          <w:szCs w:val="32"/>
        </w:rPr>
        <w:t>64.57</w:t>
      </w:r>
      <w:r>
        <w:rPr>
          <w:rFonts w:eastAsia="方正仿宋_GBK"/>
          <w:szCs w:val="32"/>
        </w:rPr>
        <w:t>亿元，一般公共预算收入总计</w:t>
      </w:r>
      <w:r>
        <w:rPr>
          <w:szCs w:val="32"/>
        </w:rPr>
        <w:t>92.57</w:t>
      </w:r>
      <w:r>
        <w:rPr>
          <w:rFonts w:eastAsia="方正仿宋_GBK"/>
          <w:szCs w:val="32"/>
        </w:rPr>
        <w:t>亿元，支出</w:t>
      </w:r>
      <w:r>
        <w:rPr>
          <w:szCs w:val="32"/>
        </w:rPr>
        <w:t>67.52</w:t>
      </w:r>
      <w:r>
        <w:rPr>
          <w:rFonts w:eastAsia="方正仿宋_GBK"/>
          <w:szCs w:val="32"/>
        </w:rPr>
        <w:t>亿元，上解上级支出、债券还本支出、安排预算稳定调节基金等</w:t>
      </w:r>
      <w:r>
        <w:rPr>
          <w:rFonts w:eastAsia="方正仿宋_GBK"/>
          <w:szCs w:val="32"/>
        </w:rPr>
        <w:t>25.05</w:t>
      </w:r>
      <w:r>
        <w:rPr>
          <w:rFonts w:eastAsia="方正仿宋_GBK"/>
          <w:szCs w:val="32"/>
        </w:rPr>
        <w:t>亿元；政府性基金收入</w:t>
      </w:r>
      <w:r>
        <w:rPr>
          <w:szCs w:val="32"/>
        </w:rPr>
        <w:t>2.7</w:t>
      </w:r>
      <w:r>
        <w:rPr>
          <w:rFonts w:eastAsia="方正仿宋_GBK"/>
          <w:szCs w:val="32"/>
        </w:rPr>
        <w:t>亿元，加上级补助收入、政府债券转贷收入、上年结余等</w:t>
      </w:r>
      <w:r>
        <w:rPr>
          <w:rFonts w:eastAsia="方正仿宋_GBK"/>
          <w:szCs w:val="32"/>
        </w:rPr>
        <w:t>129.47</w:t>
      </w:r>
      <w:r>
        <w:rPr>
          <w:rFonts w:eastAsia="方正仿宋_GBK"/>
          <w:szCs w:val="32"/>
        </w:rPr>
        <w:t>亿元，政府性基金收入总计</w:t>
      </w:r>
      <w:r>
        <w:rPr>
          <w:szCs w:val="32"/>
        </w:rPr>
        <w:t>132.17</w:t>
      </w:r>
      <w:r>
        <w:rPr>
          <w:rFonts w:eastAsia="方正仿宋_GBK"/>
          <w:szCs w:val="32"/>
        </w:rPr>
        <w:t>亿元，支出</w:t>
      </w:r>
      <w:r>
        <w:rPr>
          <w:szCs w:val="32"/>
        </w:rPr>
        <w:t>53.43</w:t>
      </w:r>
      <w:r>
        <w:rPr>
          <w:rFonts w:eastAsia="方正仿宋_GBK"/>
          <w:szCs w:val="32"/>
        </w:rPr>
        <w:t>亿元，上解上级支出、债务还本支出、调出资金等</w:t>
      </w:r>
      <w:r>
        <w:rPr>
          <w:rFonts w:eastAsia="方正仿宋_GBK"/>
          <w:szCs w:val="32"/>
        </w:rPr>
        <w:t>78.74</w:t>
      </w:r>
      <w:r>
        <w:rPr>
          <w:rFonts w:eastAsia="方正仿宋_GBK"/>
          <w:szCs w:val="32"/>
        </w:rPr>
        <w:t>亿元；国有资本经营收入</w:t>
      </w:r>
      <w:r>
        <w:rPr>
          <w:szCs w:val="32"/>
        </w:rPr>
        <w:t>1.6</w:t>
      </w:r>
      <w:r>
        <w:rPr>
          <w:rFonts w:eastAsia="方正仿宋_GBK"/>
          <w:szCs w:val="32"/>
        </w:rPr>
        <w:t>亿元，加上级补助收入</w:t>
      </w:r>
      <w:r>
        <w:rPr>
          <w:rFonts w:eastAsia="方正仿宋_GBK"/>
          <w:szCs w:val="32"/>
        </w:rPr>
        <w:t>0.02</w:t>
      </w:r>
      <w:r>
        <w:rPr>
          <w:rFonts w:eastAsia="方正仿宋_GBK"/>
          <w:szCs w:val="32"/>
        </w:rPr>
        <w:t>亿元，国有资本经营收入总计</w:t>
      </w:r>
      <w:r>
        <w:rPr>
          <w:rFonts w:eastAsia="方正仿宋_GBK"/>
          <w:szCs w:val="32"/>
        </w:rPr>
        <w:t>1.62</w:t>
      </w:r>
      <w:r>
        <w:rPr>
          <w:rFonts w:eastAsia="方正仿宋_GBK"/>
          <w:szCs w:val="32"/>
        </w:rPr>
        <w:t>亿元，支出</w:t>
      </w:r>
      <w:r>
        <w:rPr>
          <w:rFonts w:eastAsia="方正仿宋_GBK"/>
          <w:szCs w:val="32"/>
        </w:rPr>
        <w:t>0.01</w:t>
      </w:r>
      <w:r>
        <w:rPr>
          <w:rFonts w:eastAsia="方正仿宋_GBK"/>
          <w:szCs w:val="32"/>
        </w:rPr>
        <w:t>亿元，调出资金、结转下年支出等</w:t>
      </w:r>
      <w:r>
        <w:rPr>
          <w:rFonts w:eastAsia="方正仿宋_GBK"/>
          <w:szCs w:val="32"/>
        </w:rPr>
        <w:t>1.61</w:t>
      </w:r>
      <w:r>
        <w:rPr>
          <w:rFonts w:eastAsia="方正仿宋_GBK"/>
          <w:szCs w:val="32"/>
        </w:rPr>
        <w:t>亿元。</w:t>
      </w:r>
    </w:p>
    <w:p w:rsidR="00E46185" w:rsidRDefault="00E46185" w:rsidP="00E46185">
      <w:pPr>
        <w:adjustRightInd w:val="0"/>
        <w:snapToGrid w:val="0"/>
        <w:spacing w:line="560" w:lineRule="exact"/>
        <w:ind w:firstLineChars="200" w:firstLine="640"/>
        <w:rPr>
          <w:rFonts w:eastAsia="方正仿宋_GBK"/>
          <w:szCs w:val="32"/>
        </w:rPr>
      </w:pPr>
      <w:r>
        <w:rPr>
          <w:rFonts w:eastAsia="方正仿宋_GBK"/>
          <w:szCs w:val="32"/>
        </w:rPr>
        <w:lastRenderedPageBreak/>
        <w:t>审计结果表明：</w:t>
      </w:r>
      <w:r>
        <w:rPr>
          <w:rFonts w:eastAsia="方正仿宋_GBK" w:hint="eastAsia"/>
          <w:szCs w:val="32"/>
        </w:rPr>
        <w:t>北碚区</w:t>
      </w:r>
      <w:r>
        <w:rPr>
          <w:rFonts w:eastAsia="方正仿宋_GBK"/>
          <w:szCs w:val="32"/>
        </w:rPr>
        <w:t>深入学习领会预算法及其实施条例，</w:t>
      </w:r>
      <w:r>
        <w:rPr>
          <w:rFonts w:eastAsia="方正仿宋_GBK" w:hint="eastAsia"/>
          <w:szCs w:val="32"/>
        </w:rPr>
        <w:t>加强财政管理</w:t>
      </w:r>
      <w:r>
        <w:rPr>
          <w:rFonts w:eastAsia="方正仿宋_GBK"/>
          <w:szCs w:val="32"/>
        </w:rPr>
        <w:t>，强化重点领域财力支撑，预算执行总体情况较好，但审计发现仍存在以下主要问题：</w:t>
      </w:r>
    </w:p>
    <w:p w:rsidR="00E46185" w:rsidRDefault="00E46185" w:rsidP="00E46185">
      <w:pPr>
        <w:adjustRightInd w:val="0"/>
        <w:snapToGrid w:val="0"/>
        <w:spacing w:line="560" w:lineRule="exact"/>
        <w:ind w:firstLineChars="200" w:firstLine="640"/>
        <w:rPr>
          <w:rFonts w:eastAsia="方正仿宋_GBK"/>
          <w:szCs w:val="32"/>
        </w:rPr>
      </w:pPr>
      <w:r>
        <w:rPr>
          <w:rFonts w:eastAsia="方正楷体_GBK"/>
          <w:szCs w:val="32"/>
        </w:rPr>
        <w:t>（一）预算编制及执行方面。</w:t>
      </w:r>
      <w:r>
        <w:rPr>
          <w:rFonts w:eastAsia="方正仿宋_GBK"/>
          <w:szCs w:val="32"/>
        </w:rPr>
        <w:t>一是</w:t>
      </w:r>
      <w:r>
        <w:rPr>
          <w:rFonts w:eastAsia="方正仿宋_GBK"/>
          <w:szCs w:val="32"/>
        </w:rPr>
        <w:t>4</w:t>
      </w:r>
      <w:r>
        <w:rPr>
          <w:rFonts w:eastAsia="方正仿宋_GBK"/>
          <w:szCs w:val="32"/>
        </w:rPr>
        <w:t>个单位超定额多编公务用车运行维护费</w:t>
      </w:r>
      <w:r>
        <w:rPr>
          <w:rFonts w:eastAsia="方正仿宋_GBK"/>
          <w:szCs w:val="32"/>
        </w:rPr>
        <w:t>63.38</w:t>
      </w:r>
      <w:r>
        <w:rPr>
          <w:rFonts w:eastAsia="方正仿宋_GBK"/>
          <w:szCs w:val="32"/>
        </w:rPr>
        <w:t>万元；二是</w:t>
      </w:r>
      <w:r>
        <w:rPr>
          <w:rFonts w:eastAsia="方正仿宋_GBK"/>
          <w:color w:val="000000"/>
          <w:szCs w:val="32"/>
          <w:lang w:val="en"/>
        </w:rPr>
        <w:t>13</w:t>
      </w:r>
      <w:r>
        <w:rPr>
          <w:rFonts w:eastAsia="方正仿宋_GBK"/>
          <w:color w:val="000000"/>
          <w:szCs w:val="32"/>
          <w:lang w:val="en"/>
        </w:rPr>
        <w:t>个部门</w:t>
      </w:r>
      <w:r>
        <w:rPr>
          <w:rFonts w:eastAsia="方正仿宋_GBK"/>
          <w:szCs w:val="32"/>
        </w:rPr>
        <w:t>未编年初政府采购预算，</w:t>
      </w:r>
      <w:r>
        <w:rPr>
          <w:rFonts w:eastAsia="方正仿宋_GBK" w:hint="eastAsia"/>
          <w:szCs w:val="32"/>
        </w:rPr>
        <w:t>实际</w:t>
      </w:r>
      <w:r>
        <w:rPr>
          <w:rFonts w:eastAsia="方正仿宋_GBK"/>
          <w:szCs w:val="32"/>
        </w:rPr>
        <w:t>采购金额</w:t>
      </w:r>
      <w:r>
        <w:rPr>
          <w:rFonts w:eastAsia="方正仿宋_GBK"/>
          <w:szCs w:val="32"/>
        </w:rPr>
        <w:t>2629.19</w:t>
      </w:r>
      <w:r>
        <w:rPr>
          <w:rFonts w:eastAsia="方正仿宋_GBK"/>
          <w:szCs w:val="32"/>
        </w:rPr>
        <w:t>万元；三是将应细化落实到具体项目和单位的资金</w:t>
      </w:r>
      <w:r>
        <w:rPr>
          <w:rFonts w:eastAsia="方正仿宋_GBK"/>
          <w:szCs w:val="32"/>
        </w:rPr>
        <w:t>4010.41</w:t>
      </w:r>
      <w:r>
        <w:rPr>
          <w:rFonts w:eastAsia="方正仿宋_GBK"/>
          <w:szCs w:val="32"/>
        </w:rPr>
        <w:t>万元纳入财政代编；四是</w:t>
      </w:r>
      <w:r>
        <w:rPr>
          <w:rFonts w:eastAsia="方正仿宋_GBK"/>
          <w:szCs w:val="32"/>
        </w:rPr>
        <w:t>16</w:t>
      </w:r>
      <w:r>
        <w:rPr>
          <w:rFonts w:eastAsia="方正仿宋_GBK"/>
          <w:szCs w:val="32"/>
        </w:rPr>
        <w:t>个部门未按规定列支会议费</w:t>
      </w:r>
      <w:r>
        <w:rPr>
          <w:rFonts w:eastAsia="方正仿宋_GBK"/>
          <w:szCs w:val="32"/>
        </w:rPr>
        <w:t>32.56</w:t>
      </w:r>
      <w:r>
        <w:rPr>
          <w:rFonts w:eastAsia="方正仿宋_GBK"/>
          <w:szCs w:val="32"/>
        </w:rPr>
        <w:t>万元；五是</w:t>
      </w:r>
      <w:r>
        <w:rPr>
          <w:rFonts w:eastAsia="方正仿宋_GBK" w:hint="eastAsia"/>
          <w:szCs w:val="32"/>
        </w:rPr>
        <w:t>个别单位</w:t>
      </w:r>
      <w:r>
        <w:rPr>
          <w:rFonts w:eastAsia="方正仿宋_GBK"/>
          <w:szCs w:val="32"/>
        </w:rPr>
        <w:t>以租代购变相超编配置公务用车</w:t>
      </w:r>
      <w:r>
        <w:rPr>
          <w:rFonts w:eastAsia="方正仿宋_GBK"/>
          <w:szCs w:val="32"/>
        </w:rPr>
        <w:t>2</w:t>
      </w:r>
      <w:r>
        <w:rPr>
          <w:rFonts w:eastAsia="方正仿宋_GBK"/>
          <w:szCs w:val="32"/>
        </w:rPr>
        <w:t>辆。</w:t>
      </w:r>
    </w:p>
    <w:p w:rsidR="00E46185" w:rsidRDefault="00E46185" w:rsidP="00E46185">
      <w:pPr>
        <w:pStyle w:val="a6"/>
        <w:widowControl w:val="0"/>
        <w:adjustRightInd/>
        <w:snapToGrid/>
        <w:spacing w:after="0" w:line="560" w:lineRule="exact"/>
        <w:ind w:firstLineChars="200" w:firstLine="640"/>
        <w:rPr>
          <w:rFonts w:ascii="Times New Roman" w:eastAsia="方正楷体_GBK" w:hAnsi="Times New Roman"/>
          <w:kern w:val="0"/>
        </w:rPr>
      </w:pPr>
      <w:r>
        <w:rPr>
          <w:rFonts w:ascii="Times New Roman" w:eastAsia="方正楷体_GBK" w:hAnsi="Times New Roman"/>
        </w:rPr>
        <w:t>（二）专项资金管理方面。</w:t>
      </w:r>
      <w:r>
        <w:rPr>
          <w:rFonts w:ascii="Times New Roman" w:hAnsi="Times New Roman" w:hint="eastAsia"/>
          <w:color w:val="000000"/>
        </w:rPr>
        <w:t>一是</w:t>
      </w:r>
      <w:r>
        <w:rPr>
          <w:rFonts w:ascii="Times New Roman" w:hAnsi="Times New Roman"/>
          <w:color w:val="000000"/>
        </w:rPr>
        <w:t>北碚区国家区域医疗中心建设项目</w:t>
      </w:r>
      <w:r>
        <w:rPr>
          <w:rFonts w:ascii="Times New Roman" w:hAnsi="Times New Roman" w:hint="eastAsia"/>
          <w:color w:val="000000"/>
        </w:rPr>
        <w:t>、</w:t>
      </w:r>
      <w:r>
        <w:rPr>
          <w:rFonts w:ascii="Times New Roman" w:hAnsi="Times New Roman"/>
        </w:rPr>
        <w:t>城市地下管网及设施专项</w:t>
      </w:r>
      <w:r>
        <w:rPr>
          <w:rFonts w:ascii="Times New Roman" w:hAnsi="Times New Roman" w:hint="eastAsia"/>
        </w:rPr>
        <w:t>、</w:t>
      </w:r>
      <w:r>
        <w:rPr>
          <w:rFonts w:ascii="Times New Roman" w:hAnsi="Times New Roman"/>
        </w:rPr>
        <w:t>托育服务中心建设项目</w:t>
      </w:r>
      <w:r>
        <w:rPr>
          <w:rFonts w:ascii="Times New Roman" w:hAnsi="Times New Roman" w:hint="eastAsia"/>
        </w:rPr>
        <w:t>进度未达预期、绩效目标未实现；</w:t>
      </w:r>
      <w:r>
        <w:rPr>
          <w:rFonts w:ascii="Times New Roman" w:hAnsi="Times New Roman" w:hint="eastAsia"/>
          <w:color w:val="000000"/>
        </w:rPr>
        <w:t>二</w:t>
      </w:r>
      <w:r>
        <w:rPr>
          <w:rFonts w:ascii="Times New Roman" w:hAnsi="Times New Roman"/>
          <w:color w:val="000000"/>
        </w:rPr>
        <w:t>是引导科技发展专项资金</w:t>
      </w:r>
      <w:r>
        <w:rPr>
          <w:rFonts w:ascii="Times New Roman" w:hAnsi="Times New Roman"/>
          <w:color w:val="000000"/>
        </w:rPr>
        <w:t>535.57</w:t>
      </w:r>
      <w:r>
        <w:rPr>
          <w:rFonts w:ascii="Times New Roman" w:hAnsi="Times New Roman"/>
          <w:color w:val="000000"/>
        </w:rPr>
        <w:t>万元未及时安排使用；</w:t>
      </w:r>
      <w:r>
        <w:rPr>
          <w:rFonts w:ascii="Times New Roman" w:hAnsi="Times New Roman" w:hint="eastAsia"/>
          <w:color w:val="000000"/>
        </w:rPr>
        <w:t>三</w:t>
      </w:r>
      <w:r>
        <w:rPr>
          <w:rFonts w:ascii="Times New Roman" w:hAnsi="Times New Roman"/>
          <w:color w:val="000000"/>
        </w:rPr>
        <w:t>是</w:t>
      </w:r>
      <w:r>
        <w:rPr>
          <w:rFonts w:ascii="Times New Roman" w:hAnsi="Times New Roman"/>
          <w:lang w:bidi="ar"/>
        </w:rPr>
        <w:t>因项目规划</w:t>
      </w:r>
      <w:r>
        <w:rPr>
          <w:rFonts w:ascii="Times New Roman" w:hAnsi="Times New Roman" w:hint="eastAsia"/>
          <w:lang w:bidi="ar"/>
        </w:rPr>
        <w:t>不到位</w:t>
      </w:r>
      <w:r>
        <w:rPr>
          <w:rFonts w:ascii="Times New Roman" w:hAnsi="Times New Roman"/>
          <w:lang w:bidi="ar"/>
        </w:rPr>
        <w:t>、用地未落实，专项债券资金</w:t>
      </w:r>
      <w:r>
        <w:rPr>
          <w:rFonts w:ascii="Times New Roman" w:hAnsi="Times New Roman"/>
          <w:lang w:bidi="ar"/>
        </w:rPr>
        <w:t>9181.89</w:t>
      </w:r>
      <w:r>
        <w:rPr>
          <w:rFonts w:ascii="Times New Roman" w:hAnsi="Times New Roman"/>
          <w:lang w:bidi="ar"/>
        </w:rPr>
        <w:t>万元未发挥效益。</w:t>
      </w:r>
    </w:p>
    <w:p w:rsidR="00E46185" w:rsidRDefault="00E46185" w:rsidP="00E46185">
      <w:pPr>
        <w:adjustRightInd w:val="0"/>
        <w:snapToGrid w:val="0"/>
        <w:spacing w:line="560" w:lineRule="exact"/>
        <w:ind w:firstLineChars="200" w:firstLine="640"/>
        <w:rPr>
          <w:rFonts w:eastAsia="方正仿宋_GBK"/>
          <w:szCs w:val="32"/>
        </w:rPr>
      </w:pPr>
      <w:r>
        <w:rPr>
          <w:rFonts w:eastAsia="方正楷体_GBK"/>
          <w:kern w:val="0"/>
          <w:szCs w:val="32"/>
        </w:rPr>
        <w:t>（三）财政资金管理方面。</w:t>
      </w:r>
      <w:r>
        <w:rPr>
          <w:rFonts w:eastAsia="方正仿宋_GBK"/>
          <w:szCs w:val="32"/>
        </w:rPr>
        <w:t>一是存量资金</w:t>
      </w:r>
      <w:r>
        <w:rPr>
          <w:rFonts w:eastAsia="方正仿宋_GBK"/>
          <w:szCs w:val="32"/>
        </w:rPr>
        <w:t>1502.19</w:t>
      </w:r>
      <w:r>
        <w:rPr>
          <w:rFonts w:eastAsia="方正仿宋_GBK"/>
          <w:szCs w:val="32"/>
        </w:rPr>
        <w:t>万元未及时统筹</w:t>
      </w:r>
      <w:r>
        <w:rPr>
          <w:rFonts w:eastAsia="方正仿宋_GBK" w:hint="eastAsia"/>
          <w:szCs w:val="32"/>
        </w:rPr>
        <w:t>使用</w:t>
      </w:r>
      <w:r>
        <w:rPr>
          <w:rFonts w:eastAsia="方正仿宋_GBK"/>
          <w:szCs w:val="32"/>
        </w:rPr>
        <w:t>；二是</w:t>
      </w:r>
      <w:r>
        <w:rPr>
          <w:rFonts w:eastAsia="方正仿宋_GBK"/>
          <w:kern w:val="0"/>
          <w:szCs w:val="32"/>
        </w:rPr>
        <w:t>生活必需品保供能力提升项目超进度拨款，导致</w:t>
      </w:r>
      <w:r>
        <w:rPr>
          <w:rFonts w:eastAsia="方正仿宋_GBK"/>
          <w:kern w:val="0"/>
          <w:szCs w:val="32"/>
        </w:rPr>
        <w:t>310.5</w:t>
      </w:r>
      <w:r>
        <w:rPr>
          <w:rFonts w:eastAsia="方正仿宋_GBK"/>
          <w:kern w:val="0"/>
          <w:szCs w:val="32"/>
        </w:rPr>
        <w:t>万元资金沉淀在共管账户</w:t>
      </w:r>
      <w:r>
        <w:rPr>
          <w:rFonts w:eastAsia="方正仿宋_GBK"/>
          <w:szCs w:val="32"/>
        </w:rPr>
        <w:t>；三是将超长期特别国债资金</w:t>
      </w:r>
      <w:r>
        <w:rPr>
          <w:rFonts w:eastAsia="方正仿宋_GBK"/>
          <w:szCs w:val="32"/>
        </w:rPr>
        <w:t>350</w:t>
      </w:r>
      <w:r>
        <w:rPr>
          <w:rFonts w:eastAsia="方正仿宋_GBK"/>
          <w:szCs w:val="32"/>
        </w:rPr>
        <w:t>万元拨付至代建单位，</w:t>
      </w:r>
      <w:r>
        <w:rPr>
          <w:rFonts w:eastAsia="方正仿宋_GBK"/>
          <w:szCs w:val="32"/>
        </w:rPr>
        <w:t>2717.5</w:t>
      </w:r>
      <w:r>
        <w:rPr>
          <w:rFonts w:eastAsia="方正仿宋_GBK"/>
          <w:szCs w:val="32"/>
        </w:rPr>
        <w:t>万元资金未发挥效益；四是</w:t>
      </w:r>
      <w:r>
        <w:rPr>
          <w:rFonts w:eastAsia="方正仿宋_GBK" w:hint="eastAsia"/>
          <w:szCs w:val="32"/>
        </w:rPr>
        <w:t>超</w:t>
      </w:r>
      <w:r>
        <w:rPr>
          <w:rFonts w:eastAsia="方正仿宋_GBK"/>
          <w:szCs w:val="32"/>
        </w:rPr>
        <w:t>进度拨付增发国债资金</w:t>
      </w:r>
      <w:r>
        <w:rPr>
          <w:rFonts w:eastAsia="方正仿宋_GBK"/>
          <w:szCs w:val="32"/>
        </w:rPr>
        <w:t>2606.9</w:t>
      </w:r>
      <w:r>
        <w:rPr>
          <w:rFonts w:eastAsia="方正仿宋_GBK"/>
          <w:szCs w:val="32"/>
        </w:rPr>
        <w:t>万元；五是</w:t>
      </w:r>
      <w:r>
        <w:rPr>
          <w:rFonts w:eastAsia="方正仿宋_GBK"/>
          <w:szCs w:val="32"/>
        </w:rPr>
        <w:t>6</w:t>
      </w:r>
      <w:r>
        <w:rPr>
          <w:rFonts w:eastAsia="方正仿宋_GBK"/>
          <w:szCs w:val="32"/>
        </w:rPr>
        <w:t>个单位的</w:t>
      </w:r>
      <w:r>
        <w:rPr>
          <w:rFonts w:eastAsia="方正仿宋_GBK"/>
          <w:szCs w:val="32"/>
        </w:rPr>
        <w:t>10</w:t>
      </w:r>
      <w:r>
        <w:rPr>
          <w:rFonts w:eastAsia="方正仿宋_GBK"/>
          <w:szCs w:val="32"/>
        </w:rPr>
        <w:t>个银行账户未</w:t>
      </w:r>
      <w:r>
        <w:rPr>
          <w:rFonts w:eastAsia="方正仿宋_GBK" w:hint="eastAsia"/>
          <w:szCs w:val="32"/>
        </w:rPr>
        <w:t>按规定</w:t>
      </w:r>
      <w:r>
        <w:rPr>
          <w:rFonts w:eastAsia="方正仿宋_GBK"/>
          <w:szCs w:val="32"/>
        </w:rPr>
        <w:t>及时撤销。</w:t>
      </w:r>
    </w:p>
    <w:p w:rsidR="00E46185" w:rsidRDefault="00E46185" w:rsidP="00E46185">
      <w:pPr>
        <w:adjustRightInd w:val="0"/>
        <w:snapToGrid w:val="0"/>
        <w:spacing w:line="560" w:lineRule="exact"/>
        <w:ind w:firstLineChars="200" w:firstLine="640"/>
        <w:rPr>
          <w:rFonts w:eastAsia="方正仿宋_GBK"/>
          <w:szCs w:val="32"/>
        </w:rPr>
      </w:pPr>
      <w:r>
        <w:rPr>
          <w:rFonts w:eastAsia="方正黑体_GBK"/>
          <w:szCs w:val="32"/>
        </w:rPr>
        <w:t>二、部门预算执行审计情况</w:t>
      </w:r>
    </w:p>
    <w:p w:rsidR="00E46185" w:rsidRDefault="00E46185" w:rsidP="00E46185">
      <w:pPr>
        <w:pStyle w:val="Style25"/>
        <w:adjustRightInd w:val="0"/>
        <w:snapToGrid w:val="0"/>
        <w:spacing w:after="0" w:line="560" w:lineRule="exact"/>
        <w:ind w:leftChars="0" w:left="0" w:firstLine="640"/>
        <w:rPr>
          <w:rFonts w:eastAsia="方正仿宋_GBK"/>
          <w:szCs w:val="32"/>
        </w:rPr>
      </w:pPr>
      <w:r>
        <w:rPr>
          <w:rFonts w:eastAsia="方正仿宋_GBK"/>
          <w:szCs w:val="32"/>
        </w:rPr>
        <w:t>对全区</w:t>
      </w:r>
      <w:r>
        <w:rPr>
          <w:rFonts w:eastAsia="方正仿宋_GBK"/>
          <w:szCs w:val="32"/>
        </w:rPr>
        <w:t>80</w:t>
      </w:r>
      <w:r>
        <w:rPr>
          <w:rFonts w:eastAsia="方正仿宋_GBK"/>
          <w:szCs w:val="32"/>
        </w:rPr>
        <w:t>个一级预算单位财务数据进行</w:t>
      </w:r>
      <w:r>
        <w:rPr>
          <w:rFonts w:eastAsia="方正仿宋_GBK" w:hint="eastAsia"/>
          <w:szCs w:val="32"/>
        </w:rPr>
        <w:t>了</w:t>
      </w:r>
      <w:r>
        <w:rPr>
          <w:rFonts w:eastAsia="方正仿宋_GBK"/>
          <w:szCs w:val="32"/>
        </w:rPr>
        <w:t>大数据分析，对</w:t>
      </w:r>
      <w:r>
        <w:rPr>
          <w:rFonts w:eastAsia="方正仿宋_GBK"/>
          <w:szCs w:val="32"/>
        </w:rPr>
        <w:lastRenderedPageBreak/>
        <w:t>6</w:t>
      </w:r>
      <w:r>
        <w:rPr>
          <w:rFonts w:eastAsia="方正仿宋_GBK"/>
          <w:szCs w:val="32"/>
        </w:rPr>
        <w:t>个预算单位开展了重点审计，</w:t>
      </w:r>
      <w:r>
        <w:rPr>
          <w:rFonts w:eastAsia="方正仿宋_GBK" w:hint="eastAsia"/>
          <w:szCs w:val="32"/>
        </w:rPr>
        <w:t>对</w:t>
      </w:r>
      <w:r>
        <w:rPr>
          <w:rFonts w:eastAsia="方正仿宋_GBK"/>
          <w:szCs w:val="32"/>
        </w:rPr>
        <w:t>5</w:t>
      </w:r>
      <w:r>
        <w:rPr>
          <w:rFonts w:eastAsia="方正仿宋_GBK" w:hint="eastAsia"/>
          <w:szCs w:val="32"/>
        </w:rPr>
        <w:t>个预算单位开展了经济责任审计，</w:t>
      </w:r>
      <w:r>
        <w:rPr>
          <w:rFonts w:eastAsia="方正仿宋_GBK"/>
          <w:szCs w:val="32"/>
        </w:rPr>
        <w:t>以提高预算编制科学性、精准性为目标，紧紧围绕预算执行这条主线，</w:t>
      </w:r>
      <w:r>
        <w:rPr>
          <w:rFonts w:eastAsia="方正仿宋_GBK" w:hint="eastAsia"/>
          <w:szCs w:val="32"/>
        </w:rPr>
        <w:t>重点关注了执行财经纪律、落实中央八项规定精神及过紧日子要求等方面的情况，</w:t>
      </w:r>
      <w:r>
        <w:rPr>
          <w:rFonts w:eastAsia="方正仿宋_GBK"/>
          <w:szCs w:val="32"/>
        </w:rPr>
        <w:t>对预算执行结果的真实性、合规性、效益性进行了审计。审计发现以下主要问题：</w:t>
      </w:r>
    </w:p>
    <w:p w:rsidR="00E46185" w:rsidRDefault="00E46185" w:rsidP="00E46185">
      <w:pPr>
        <w:pStyle w:val="Style25"/>
        <w:adjustRightInd w:val="0"/>
        <w:snapToGrid w:val="0"/>
        <w:spacing w:after="0" w:line="560" w:lineRule="exact"/>
        <w:ind w:leftChars="0" w:left="0" w:firstLine="640"/>
        <w:rPr>
          <w:rFonts w:eastAsia="方正仿宋_GBK"/>
          <w:szCs w:val="32"/>
        </w:rPr>
      </w:pPr>
      <w:r>
        <w:rPr>
          <w:rFonts w:eastAsia="方正楷体_GBK"/>
          <w:szCs w:val="32"/>
        </w:rPr>
        <w:t>（一）预算编制及执行方面。</w:t>
      </w:r>
      <w:r>
        <w:rPr>
          <w:rFonts w:eastAsia="方正仿宋_GBK"/>
          <w:szCs w:val="32"/>
        </w:rPr>
        <w:t>一是</w:t>
      </w:r>
      <w:r>
        <w:rPr>
          <w:rFonts w:eastAsia="方正仿宋_GBK"/>
          <w:szCs w:val="32"/>
        </w:rPr>
        <w:t>2</w:t>
      </w:r>
      <w:r>
        <w:rPr>
          <w:rFonts w:eastAsia="方正仿宋_GBK"/>
          <w:szCs w:val="32"/>
        </w:rPr>
        <w:t>个单位未</w:t>
      </w:r>
      <w:r>
        <w:rPr>
          <w:rFonts w:eastAsia="方正仿宋_GBK" w:hint="eastAsia"/>
          <w:szCs w:val="32"/>
        </w:rPr>
        <w:t>按规定</w:t>
      </w:r>
      <w:r>
        <w:rPr>
          <w:rFonts w:eastAsia="方正仿宋_GBK"/>
          <w:szCs w:val="32"/>
        </w:rPr>
        <w:t>将非税收入等</w:t>
      </w:r>
      <w:r>
        <w:rPr>
          <w:rFonts w:eastAsia="方正仿宋_GBK"/>
          <w:szCs w:val="32"/>
        </w:rPr>
        <w:t>155.49</w:t>
      </w:r>
      <w:r>
        <w:rPr>
          <w:rFonts w:eastAsia="方正仿宋_GBK"/>
          <w:szCs w:val="32"/>
        </w:rPr>
        <w:t>万元纳入年初预算编制；二是</w:t>
      </w:r>
      <w:r>
        <w:rPr>
          <w:rFonts w:eastAsia="方正仿宋_GBK"/>
          <w:szCs w:val="32"/>
        </w:rPr>
        <w:t>7</w:t>
      </w:r>
      <w:r>
        <w:rPr>
          <w:rFonts w:eastAsia="方正仿宋_GBK"/>
          <w:szCs w:val="32"/>
        </w:rPr>
        <w:t>个单位</w:t>
      </w:r>
      <w:r>
        <w:rPr>
          <w:rFonts w:eastAsia="方正仿宋_GBK" w:hint="eastAsia"/>
          <w:szCs w:val="32"/>
        </w:rPr>
        <w:t>“</w:t>
      </w:r>
      <w:r>
        <w:rPr>
          <w:rFonts w:eastAsia="方正仿宋_GBK"/>
          <w:szCs w:val="32"/>
        </w:rPr>
        <w:t>三公</w:t>
      </w:r>
      <w:r>
        <w:rPr>
          <w:rFonts w:eastAsia="方正仿宋_GBK" w:hint="eastAsia"/>
          <w:szCs w:val="32"/>
        </w:rPr>
        <w:t>”</w:t>
      </w:r>
      <w:r>
        <w:rPr>
          <w:rFonts w:eastAsia="方正仿宋_GBK"/>
          <w:szCs w:val="32"/>
        </w:rPr>
        <w:t>经费、政府采购、项目绩效目标年初预算编制不精准，</w:t>
      </w:r>
      <w:r>
        <w:rPr>
          <w:rFonts w:eastAsia="方正仿宋_GBK"/>
          <w:szCs w:val="32"/>
        </w:rPr>
        <w:t>2</w:t>
      </w:r>
      <w:r>
        <w:rPr>
          <w:rFonts w:eastAsia="方正仿宋_GBK"/>
          <w:szCs w:val="32"/>
        </w:rPr>
        <w:t>个单位</w:t>
      </w:r>
      <w:r>
        <w:rPr>
          <w:rFonts w:eastAsia="方正仿宋_GBK" w:hint="eastAsia"/>
          <w:szCs w:val="32"/>
          <w:lang w:val="en"/>
        </w:rPr>
        <w:t>“</w:t>
      </w:r>
      <w:r>
        <w:rPr>
          <w:rFonts w:eastAsia="方正仿宋_GBK"/>
          <w:szCs w:val="32"/>
          <w:lang w:val="en"/>
        </w:rPr>
        <w:t>三公</w:t>
      </w:r>
      <w:r>
        <w:rPr>
          <w:rFonts w:eastAsia="方正仿宋_GBK" w:hint="eastAsia"/>
          <w:szCs w:val="32"/>
          <w:lang w:val="en"/>
        </w:rPr>
        <w:t>”</w:t>
      </w:r>
      <w:r>
        <w:rPr>
          <w:rFonts w:eastAsia="方正仿宋_GBK"/>
          <w:szCs w:val="32"/>
          <w:lang w:val="en"/>
        </w:rPr>
        <w:t>经费超预算支出</w:t>
      </w:r>
      <w:r>
        <w:rPr>
          <w:rFonts w:eastAsia="方正仿宋_GBK"/>
          <w:szCs w:val="32"/>
        </w:rPr>
        <w:t>1.11</w:t>
      </w:r>
      <w:r>
        <w:rPr>
          <w:rFonts w:eastAsia="方正仿宋_GBK"/>
          <w:szCs w:val="32"/>
        </w:rPr>
        <w:t>万元；三是</w:t>
      </w:r>
      <w:r>
        <w:rPr>
          <w:rFonts w:eastAsia="方正仿宋_GBK"/>
          <w:szCs w:val="32"/>
        </w:rPr>
        <w:t>4</w:t>
      </w:r>
      <w:r>
        <w:rPr>
          <w:rFonts w:eastAsia="方正仿宋_GBK"/>
          <w:szCs w:val="32"/>
        </w:rPr>
        <w:t>个单位未严格按照预算规定用途使用财政资金</w:t>
      </w:r>
      <w:r>
        <w:rPr>
          <w:rFonts w:eastAsia="方正仿宋_GBK"/>
          <w:szCs w:val="32"/>
        </w:rPr>
        <w:t>103.12</w:t>
      </w:r>
      <w:r>
        <w:rPr>
          <w:rFonts w:eastAsia="方正仿宋_GBK"/>
          <w:szCs w:val="32"/>
        </w:rPr>
        <w:t>万元；四是</w:t>
      </w:r>
      <w:r>
        <w:rPr>
          <w:rFonts w:eastAsia="方正仿宋_GBK"/>
          <w:szCs w:val="32"/>
        </w:rPr>
        <w:t>4</w:t>
      </w:r>
      <w:r>
        <w:rPr>
          <w:rFonts w:eastAsia="方正仿宋_GBK"/>
          <w:szCs w:val="32"/>
        </w:rPr>
        <w:t>个单位</w:t>
      </w:r>
      <w:r>
        <w:rPr>
          <w:rFonts w:eastAsia="方正仿宋_GBK" w:hint="eastAsia"/>
          <w:szCs w:val="32"/>
        </w:rPr>
        <w:t>6</w:t>
      </w:r>
      <w:r>
        <w:rPr>
          <w:rFonts w:eastAsia="方正仿宋_GBK" w:hint="eastAsia"/>
          <w:szCs w:val="32"/>
        </w:rPr>
        <w:t>个</w:t>
      </w:r>
      <w:r>
        <w:rPr>
          <w:rFonts w:eastAsia="方正仿宋_GBK"/>
          <w:szCs w:val="32"/>
        </w:rPr>
        <w:t>项目绩效目标未完成、自评结果失真等；五是</w:t>
      </w:r>
      <w:r>
        <w:rPr>
          <w:rFonts w:eastAsia="方正仿宋_GBK"/>
          <w:szCs w:val="32"/>
        </w:rPr>
        <w:t>5</w:t>
      </w:r>
      <w:r>
        <w:rPr>
          <w:rFonts w:eastAsia="方正仿宋_GBK"/>
          <w:szCs w:val="32"/>
        </w:rPr>
        <w:t>个单位</w:t>
      </w:r>
      <w:r>
        <w:rPr>
          <w:rFonts w:eastAsia="方正仿宋_GBK" w:hint="eastAsia"/>
          <w:szCs w:val="32"/>
        </w:rPr>
        <w:t>7</w:t>
      </w:r>
      <w:r>
        <w:rPr>
          <w:rFonts w:eastAsia="方正仿宋_GBK" w:hint="eastAsia"/>
          <w:szCs w:val="32"/>
        </w:rPr>
        <w:t>个</w:t>
      </w:r>
      <w:r>
        <w:rPr>
          <w:rFonts w:eastAsia="方正仿宋_GBK"/>
          <w:szCs w:val="32"/>
        </w:rPr>
        <w:t>项目实施进度缓慢，导致资金闲置。</w:t>
      </w:r>
    </w:p>
    <w:p w:rsidR="00E46185" w:rsidRDefault="00E46185" w:rsidP="00E46185">
      <w:pPr>
        <w:pStyle w:val="Style25"/>
        <w:adjustRightInd w:val="0"/>
        <w:snapToGrid w:val="0"/>
        <w:spacing w:after="0" w:line="560" w:lineRule="exact"/>
        <w:ind w:leftChars="0" w:left="0" w:firstLine="640"/>
        <w:rPr>
          <w:rFonts w:eastAsia="方正仿宋_GBK"/>
          <w:szCs w:val="32"/>
        </w:rPr>
      </w:pPr>
      <w:r>
        <w:rPr>
          <w:rFonts w:eastAsia="方正楷体_GBK"/>
          <w:szCs w:val="32"/>
        </w:rPr>
        <w:t>（二）财政管理方面。</w:t>
      </w:r>
      <w:r>
        <w:rPr>
          <w:rFonts w:eastAsia="方正仿宋_GBK"/>
          <w:szCs w:val="32"/>
        </w:rPr>
        <w:t>一是</w:t>
      </w:r>
      <w:r>
        <w:rPr>
          <w:rFonts w:eastAsia="方正仿宋_GBK"/>
          <w:szCs w:val="32"/>
        </w:rPr>
        <w:t>7</w:t>
      </w:r>
      <w:r>
        <w:rPr>
          <w:rFonts w:eastAsia="方正仿宋_GBK"/>
          <w:szCs w:val="32"/>
        </w:rPr>
        <w:t>个单位未及时将非税收入</w:t>
      </w:r>
      <w:r>
        <w:rPr>
          <w:rFonts w:eastAsia="方正仿宋_GBK" w:hint="eastAsia"/>
          <w:szCs w:val="32"/>
        </w:rPr>
        <w:t>等</w:t>
      </w:r>
      <w:r>
        <w:rPr>
          <w:rFonts w:eastAsia="方正仿宋_GBK"/>
          <w:szCs w:val="32"/>
        </w:rPr>
        <w:t>资金</w:t>
      </w:r>
      <w:r>
        <w:rPr>
          <w:rFonts w:eastAsia="方正仿宋_GBK"/>
          <w:szCs w:val="32"/>
        </w:rPr>
        <w:t>843.18</w:t>
      </w:r>
      <w:r>
        <w:rPr>
          <w:rFonts w:eastAsia="方正仿宋_GBK"/>
          <w:szCs w:val="32"/>
        </w:rPr>
        <w:t>万元上交区国库；二是</w:t>
      </w:r>
      <w:r>
        <w:rPr>
          <w:rFonts w:eastAsia="方正仿宋_GBK"/>
          <w:szCs w:val="32"/>
        </w:rPr>
        <w:t>5</w:t>
      </w:r>
      <w:r>
        <w:rPr>
          <w:rFonts w:eastAsia="方正仿宋_GBK"/>
          <w:szCs w:val="32"/>
        </w:rPr>
        <w:t>个单位超标准超范围拨付使用专项资金等</w:t>
      </w:r>
      <w:r>
        <w:rPr>
          <w:rFonts w:eastAsia="方正仿宋_GBK"/>
          <w:szCs w:val="32"/>
        </w:rPr>
        <w:t>134.48</w:t>
      </w:r>
      <w:r>
        <w:rPr>
          <w:rFonts w:eastAsia="方正仿宋_GBK"/>
          <w:szCs w:val="32"/>
        </w:rPr>
        <w:t>万元；三是</w:t>
      </w:r>
      <w:r>
        <w:rPr>
          <w:rFonts w:eastAsia="方正仿宋_GBK"/>
          <w:szCs w:val="32"/>
        </w:rPr>
        <w:t>7</w:t>
      </w:r>
      <w:r>
        <w:rPr>
          <w:rFonts w:eastAsia="方正仿宋_GBK"/>
          <w:szCs w:val="32"/>
        </w:rPr>
        <w:t>个单位会计基础工作不规范，主要表现为印鉴管理未遵守不相容职务相分离原则、闲置银行账户未及时销户、支出审批手续不全、原始凭证不规范等。</w:t>
      </w:r>
    </w:p>
    <w:p w:rsidR="00E46185" w:rsidRDefault="00E46185" w:rsidP="00E46185">
      <w:pPr>
        <w:adjustRightInd w:val="0"/>
        <w:snapToGrid w:val="0"/>
        <w:spacing w:line="560" w:lineRule="exact"/>
        <w:ind w:firstLineChars="200" w:firstLine="640"/>
      </w:pPr>
      <w:r>
        <w:rPr>
          <w:rFonts w:eastAsia="方正楷体_GBK"/>
          <w:szCs w:val="32"/>
        </w:rPr>
        <w:t>（三）内控管理方面。</w:t>
      </w:r>
      <w:r>
        <w:rPr>
          <w:rFonts w:eastAsia="方正仿宋_GBK"/>
          <w:szCs w:val="32"/>
        </w:rPr>
        <w:t>一是</w:t>
      </w:r>
      <w:r>
        <w:rPr>
          <w:rFonts w:eastAsia="方正仿宋_GBK"/>
          <w:szCs w:val="32"/>
        </w:rPr>
        <w:t>5</w:t>
      </w:r>
      <w:r>
        <w:rPr>
          <w:rFonts w:eastAsia="方正仿宋_GBK"/>
          <w:szCs w:val="32"/>
        </w:rPr>
        <w:t>个单位重要风险领域及重大经济事项内控制度未建立健全，</w:t>
      </w:r>
      <w:r>
        <w:rPr>
          <w:rFonts w:eastAsia="方正仿宋_GBK"/>
          <w:szCs w:val="32"/>
        </w:rPr>
        <w:t>3</w:t>
      </w:r>
      <w:r>
        <w:rPr>
          <w:rFonts w:eastAsia="方正仿宋_GBK"/>
          <w:szCs w:val="32"/>
        </w:rPr>
        <w:t>个单位内控制度执行不到位，</w:t>
      </w:r>
      <w:r>
        <w:rPr>
          <w:rFonts w:eastAsia="方正仿宋_GBK"/>
          <w:szCs w:val="32"/>
        </w:rPr>
        <w:t>1</w:t>
      </w:r>
      <w:r>
        <w:rPr>
          <w:rFonts w:eastAsia="方正仿宋_GBK"/>
          <w:szCs w:val="32"/>
        </w:rPr>
        <w:t>个单位内控制度与上级规定矛盾；二是</w:t>
      </w:r>
      <w:r>
        <w:rPr>
          <w:rFonts w:eastAsia="方正仿宋_GBK"/>
          <w:szCs w:val="32"/>
        </w:rPr>
        <w:t>5</w:t>
      </w:r>
      <w:r>
        <w:rPr>
          <w:rFonts w:eastAsia="方正仿宋_GBK"/>
          <w:szCs w:val="32"/>
        </w:rPr>
        <w:t>个单位业务流程管理不到位，其中</w:t>
      </w:r>
      <w:r>
        <w:rPr>
          <w:rFonts w:eastAsia="方正仿宋_GBK"/>
          <w:szCs w:val="32"/>
        </w:rPr>
        <w:t>4</w:t>
      </w:r>
      <w:r>
        <w:rPr>
          <w:rFonts w:eastAsia="方正仿宋_GBK"/>
          <w:szCs w:val="32"/>
        </w:rPr>
        <w:t>个单位工作程序倒置、</w:t>
      </w:r>
      <w:r>
        <w:rPr>
          <w:rFonts w:eastAsia="方正仿宋_GBK"/>
          <w:szCs w:val="32"/>
        </w:rPr>
        <w:t>3</w:t>
      </w:r>
      <w:r>
        <w:rPr>
          <w:rFonts w:eastAsia="方正仿宋_GBK"/>
          <w:szCs w:val="32"/>
        </w:rPr>
        <w:t>个单位重要事项未经集体决策；三是</w:t>
      </w:r>
      <w:r>
        <w:rPr>
          <w:rFonts w:eastAsia="方正仿宋_GBK"/>
          <w:szCs w:val="32"/>
        </w:rPr>
        <w:t>6</w:t>
      </w:r>
      <w:r>
        <w:rPr>
          <w:rFonts w:eastAsia="方正仿宋_GBK"/>
          <w:szCs w:val="32"/>
        </w:rPr>
        <w:t>个单位政府采购内控制度约束力不够，采购程序不</w:t>
      </w:r>
      <w:r>
        <w:rPr>
          <w:rFonts w:eastAsia="方正仿宋_GBK"/>
          <w:szCs w:val="32"/>
        </w:rPr>
        <w:lastRenderedPageBreak/>
        <w:t>合规、实施不规范、管理粗放；四是</w:t>
      </w:r>
      <w:r>
        <w:rPr>
          <w:rFonts w:eastAsia="方正仿宋_GBK"/>
          <w:szCs w:val="32"/>
        </w:rPr>
        <w:t>7</w:t>
      </w:r>
      <w:r>
        <w:rPr>
          <w:rFonts w:eastAsia="方正仿宋_GBK"/>
          <w:szCs w:val="32"/>
        </w:rPr>
        <w:t>个单位</w:t>
      </w:r>
      <w:r>
        <w:rPr>
          <w:rFonts w:eastAsia="方正仿宋_GBK" w:hint="eastAsia"/>
          <w:szCs w:val="32"/>
        </w:rPr>
        <w:t>“</w:t>
      </w:r>
      <w:r>
        <w:rPr>
          <w:rFonts w:eastAsia="方正仿宋_GBK"/>
          <w:szCs w:val="32"/>
        </w:rPr>
        <w:t>三公</w:t>
      </w:r>
      <w:r>
        <w:rPr>
          <w:rFonts w:eastAsia="方正仿宋_GBK" w:hint="eastAsia"/>
          <w:szCs w:val="32"/>
        </w:rPr>
        <w:t>”</w:t>
      </w:r>
      <w:r>
        <w:rPr>
          <w:rFonts w:eastAsia="方正仿宋_GBK"/>
          <w:szCs w:val="32"/>
        </w:rPr>
        <w:t>经费管理不规范，主要表现为公务接待规定执行不严、接待手续不齐全、公务用车管理不到位、公务用车加油卡过度充值等。</w:t>
      </w:r>
    </w:p>
    <w:p w:rsidR="00E46185" w:rsidRDefault="00E46185" w:rsidP="00E46185">
      <w:pPr>
        <w:pStyle w:val="Style25"/>
        <w:adjustRightInd w:val="0"/>
        <w:snapToGrid w:val="0"/>
        <w:spacing w:after="0" w:line="560" w:lineRule="exact"/>
        <w:ind w:leftChars="0" w:left="0" w:firstLineChars="0" w:firstLine="636"/>
        <w:rPr>
          <w:rFonts w:eastAsia="方正黑体_GBK"/>
          <w:szCs w:val="32"/>
        </w:rPr>
      </w:pPr>
      <w:r>
        <w:rPr>
          <w:rFonts w:eastAsia="方正黑体_GBK"/>
          <w:szCs w:val="32"/>
        </w:rPr>
        <w:t>三、重大政策措施落实情况与重点专项审计情况</w:t>
      </w:r>
    </w:p>
    <w:p w:rsidR="00E46185" w:rsidRDefault="00E46185" w:rsidP="00E46185">
      <w:pPr>
        <w:pStyle w:val="Style25"/>
        <w:adjustRightInd w:val="0"/>
        <w:snapToGrid w:val="0"/>
        <w:spacing w:after="0" w:line="560" w:lineRule="exact"/>
        <w:ind w:leftChars="0" w:left="0" w:firstLineChars="0" w:firstLine="636"/>
        <w:rPr>
          <w:rFonts w:eastAsia="方正黑体_GBK"/>
          <w:szCs w:val="32"/>
        </w:rPr>
      </w:pPr>
      <w:r>
        <w:rPr>
          <w:rFonts w:eastAsia="方正楷体_GBK"/>
          <w:szCs w:val="32"/>
        </w:rPr>
        <w:t>（一）推动实施制造业高质量发展政策措施落实审计情况</w:t>
      </w:r>
    </w:p>
    <w:p w:rsidR="00E46185" w:rsidRDefault="00E46185" w:rsidP="00E46185">
      <w:pPr>
        <w:pStyle w:val="Style25"/>
        <w:adjustRightInd w:val="0"/>
        <w:snapToGrid w:val="0"/>
        <w:spacing w:after="0" w:line="560" w:lineRule="exact"/>
        <w:ind w:leftChars="0" w:left="0" w:firstLineChars="0" w:firstLine="636"/>
        <w:rPr>
          <w:rFonts w:eastAsia="方正楷体_GBK"/>
          <w:szCs w:val="32"/>
        </w:rPr>
      </w:pPr>
      <w:r>
        <w:rPr>
          <w:rFonts w:eastAsia="方正仿宋_GBK" w:hint="eastAsia"/>
          <w:color w:val="000000"/>
          <w:szCs w:val="32"/>
        </w:rPr>
        <w:t>2021</w:t>
      </w:r>
      <w:r>
        <w:rPr>
          <w:rFonts w:eastAsia="方正仿宋_GBK" w:hint="eastAsia"/>
          <w:color w:val="000000"/>
          <w:szCs w:val="32"/>
        </w:rPr>
        <w:t>年至</w:t>
      </w:r>
      <w:r>
        <w:rPr>
          <w:rFonts w:eastAsia="方正仿宋_GBK" w:hint="eastAsia"/>
          <w:color w:val="000000"/>
          <w:szCs w:val="32"/>
        </w:rPr>
        <w:t>2023</w:t>
      </w:r>
      <w:r>
        <w:rPr>
          <w:rFonts w:eastAsia="方正仿宋_GBK" w:hint="eastAsia"/>
          <w:color w:val="000000"/>
          <w:szCs w:val="32"/>
        </w:rPr>
        <w:t>年，北碚区制定出台深入推进制造业高质量发展行动方案，积极推进制造业数字化转型升级，支持培育“专精特新”企业，争取经济和信息化专项奖补资金</w:t>
      </w:r>
      <w:r>
        <w:rPr>
          <w:rFonts w:eastAsia="方正仿宋_GBK" w:hint="eastAsia"/>
          <w:color w:val="000000"/>
          <w:szCs w:val="32"/>
        </w:rPr>
        <w:t>1.56</w:t>
      </w:r>
      <w:r>
        <w:rPr>
          <w:rFonts w:eastAsia="方正仿宋_GBK" w:hint="eastAsia"/>
          <w:color w:val="000000"/>
          <w:szCs w:val="32"/>
        </w:rPr>
        <w:t>亿元，惠及</w:t>
      </w:r>
      <w:r>
        <w:rPr>
          <w:rFonts w:eastAsia="方正仿宋_GBK" w:hint="eastAsia"/>
          <w:color w:val="000000"/>
          <w:szCs w:val="32"/>
        </w:rPr>
        <w:t>164</w:t>
      </w:r>
      <w:r>
        <w:rPr>
          <w:rFonts w:eastAsia="方正仿宋_GBK" w:hint="eastAsia"/>
          <w:color w:val="000000"/>
          <w:szCs w:val="32"/>
        </w:rPr>
        <w:t>户企业。本次专项审计重点关注加强制造业高质量发展组织实施、推动制造业智能化改造和数字化转型等领域任务落实等政策措施落实情况，延伸调查相关企事业单位</w:t>
      </w:r>
      <w:r>
        <w:rPr>
          <w:rFonts w:eastAsia="方正仿宋_GBK" w:hint="eastAsia"/>
          <w:color w:val="000000"/>
          <w:szCs w:val="32"/>
        </w:rPr>
        <w:t>18</w:t>
      </w:r>
      <w:r>
        <w:rPr>
          <w:rFonts w:eastAsia="方正仿宋_GBK" w:hint="eastAsia"/>
          <w:color w:val="000000"/>
          <w:szCs w:val="32"/>
        </w:rPr>
        <w:t>家，抽查项目</w:t>
      </w:r>
      <w:r>
        <w:rPr>
          <w:rFonts w:eastAsia="方正仿宋_GBK" w:hint="eastAsia"/>
          <w:color w:val="000000"/>
          <w:szCs w:val="32"/>
        </w:rPr>
        <w:t>19</w:t>
      </w:r>
      <w:r>
        <w:rPr>
          <w:rFonts w:eastAsia="方正仿宋_GBK" w:hint="eastAsia"/>
          <w:color w:val="000000"/>
          <w:szCs w:val="32"/>
        </w:rPr>
        <w:t>个、涉及奖补资金</w:t>
      </w:r>
      <w:r>
        <w:rPr>
          <w:rFonts w:eastAsia="方正仿宋_GBK" w:hint="eastAsia"/>
          <w:color w:val="000000"/>
          <w:szCs w:val="32"/>
        </w:rPr>
        <w:t>1.56</w:t>
      </w:r>
      <w:r>
        <w:rPr>
          <w:rFonts w:eastAsia="方正仿宋_GBK" w:hint="eastAsia"/>
          <w:color w:val="000000"/>
          <w:szCs w:val="32"/>
        </w:rPr>
        <w:t>亿元，揭示了制造业治理架构不完善、新型信息基础设施建设不到位等问题，在推动制造业高质量发展政策措施落实方面发挥了积极作用。审计发现以下主要问题：一是未出台《重庆市推动制造业高质量发展重点专项实施方案》对应的区级承接文件，未对照市政府办公厅《推动制造业高质量发展大会重点任务分解方案》细化实化重点任务，未项目化、事项化、清单化推进相关重点任务。二是“企业吹哨·部门报到”平台部分企业不熟悉，自行吹哨率低，作用发挥不明显。三是</w:t>
      </w:r>
      <w:r>
        <w:rPr>
          <w:rFonts w:eastAsia="方正仿宋_GBK" w:hint="eastAsia"/>
          <w:color w:val="000000"/>
          <w:szCs w:val="32"/>
        </w:rPr>
        <w:t>5G</w:t>
      </w:r>
      <w:r>
        <w:rPr>
          <w:rFonts w:eastAsia="方正仿宋_GBK" w:hint="eastAsia"/>
          <w:color w:val="000000"/>
          <w:szCs w:val="32"/>
        </w:rPr>
        <w:t>网络规划任务未完成，未实现重点园区</w:t>
      </w:r>
      <w:r>
        <w:rPr>
          <w:rFonts w:eastAsia="方正仿宋_GBK" w:hint="eastAsia"/>
          <w:color w:val="000000"/>
          <w:szCs w:val="32"/>
        </w:rPr>
        <w:t>5G</w:t>
      </w:r>
      <w:r>
        <w:rPr>
          <w:rFonts w:eastAsia="方正仿宋_GBK" w:hint="eastAsia"/>
          <w:color w:val="000000"/>
          <w:szCs w:val="32"/>
        </w:rPr>
        <w:t>网络全覆盖，工业互联网“小网生态”试点示范“揭榜挂帅”项目推动不力。四是未及时落实数字化网络化智能化升级等方面补贴政策，未按“满天</w:t>
      </w:r>
      <w:r>
        <w:rPr>
          <w:rFonts w:eastAsia="方正仿宋_GBK" w:hint="eastAsia"/>
          <w:color w:val="000000"/>
          <w:szCs w:val="32"/>
        </w:rPr>
        <w:lastRenderedPageBreak/>
        <w:t>星”行动方案安排保障专项资金。五是未建立软硬件投入</w:t>
      </w:r>
      <w:r>
        <w:rPr>
          <w:rFonts w:eastAsia="方正仿宋_GBK" w:hint="eastAsia"/>
          <w:color w:val="000000"/>
          <w:szCs w:val="32"/>
        </w:rPr>
        <w:t>1000</w:t>
      </w:r>
      <w:r>
        <w:rPr>
          <w:rFonts w:eastAsia="方正仿宋_GBK" w:hint="eastAsia"/>
          <w:color w:val="000000"/>
          <w:szCs w:val="32"/>
        </w:rPr>
        <w:t>万元以下的技改项目支持机制，未组织第三方机构对纳入年度技术改造实施计划的企业进行诊断评估。</w:t>
      </w:r>
    </w:p>
    <w:p w:rsidR="00E46185" w:rsidRDefault="00E46185" w:rsidP="00E46185">
      <w:pPr>
        <w:pStyle w:val="Style25"/>
        <w:adjustRightInd w:val="0"/>
        <w:snapToGrid w:val="0"/>
        <w:spacing w:after="0" w:line="560" w:lineRule="exact"/>
        <w:ind w:leftChars="0" w:left="0" w:firstLineChars="0" w:firstLine="636"/>
        <w:rPr>
          <w:rFonts w:eastAsia="方正黑体_GBK"/>
          <w:szCs w:val="32"/>
        </w:rPr>
      </w:pPr>
      <w:r>
        <w:rPr>
          <w:rFonts w:eastAsia="方正楷体_GBK"/>
          <w:szCs w:val="32"/>
        </w:rPr>
        <w:t>（二）重点专项审计情况</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color w:val="000000"/>
          <w:szCs w:val="32"/>
        </w:rPr>
        <w:t>1</w:t>
      </w:r>
      <w:r>
        <w:rPr>
          <w:rFonts w:eastAsia="方正仿宋_GBK"/>
          <w:color w:val="000000"/>
          <w:szCs w:val="32"/>
        </w:rPr>
        <w:t>﹒</w:t>
      </w:r>
      <w:r>
        <w:rPr>
          <w:rFonts w:eastAsia="方正仿宋_GBK"/>
          <w:szCs w:val="32"/>
        </w:rPr>
        <w:t>北碚区殡葬领域管理情况专项审计调查情况</w:t>
      </w:r>
      <w:r>
        <w:rPr>
          <w:rFonts w:eastAsia="方正仿宋_GBK" w:hint="eastAsia"/>
          <w:szCs w:val="32"/>
        </w:rPr>
        <w:t>。</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hint="eastAsia"/>
          <w:szCs w:val="32"/>
        </w:rPr>
        <w:t>2022</w:t>
      </w:r>
      <w:r>
        <w:rPr>
          <w:rFonts w:eastAsia="方正仿宋_GBK" w:hint="eastAsia"/>
          <w:szCs w:val="32"/>
        </w:rPr>
        <w:t>年至</w:t>
      </w:r>
      <w:r>
        <w:rPr>
          <w:rFonts w:eastAsia="方正仿宋_GBK" w:hint="eastAsia"/>
          <w:szCs w:val="32"/>
        </w:rPr>
        <w:t>2024</w:t>
      </w:r>
      <w:r>
        <w:rPr>
          <w:rFonts w:eastAsia="方正仿宋_GBK" w:hint="eastAsia"/>
          <w:szCs w:val="32"/>
        </w:rPr>
        <w:t>年，北碚区加强殡葬行业管理和整治，推动北碚区首个城市公益性公墓建设，补充殡葬设施短板，累计落实殡葬领域各项惠民资金</w:t>
      </w:r>
      <w:r>
        <w:rPr>
          <w:rFonts w:eastAsia="方正仿宋_GBK" w:hint="eastAsia"/>
          <w:szCs w:val="32"/>
        </w:rPr>
        <w:t>186.19</w:t>
      </w:r>
      <w:r>
        <w:rPr>
          <w:rFonts w:eastAsia="方正仿宋_GBK" w:hint="eastAsia"/>
          <w:szCs w:val="32"/>
        </w:rPr>
        <w:t>万元，受益对象</w:t>
      </w:r>
      <w:r>
        <w:rPr>
          <w:rFonts w:eastAsia="方正仿宋_GBK" w:hint="eastAsia"/>
          <w:szCs w:val="32"/>
        </w:rPr>
        <w:t>3781</w:t>
      </w:r>
      <w:r>
        <w:rPr>
          <w:rFonts w:eastAsia="方正仿宋_GBK" w:hint="eastAsia"/>
          <w:szCs w:val="32"/>
        </w:rPr>
        <w:t>人次。审计重点关注了殡葬管理政策落实情况、殡葬服务收费及相关惠民政策执行情况等，对区内</w:t>
      </w:r>
      <w:r>
        <w:rPr>
          <w:rFonts w:eastAsia="方正仿宋_GBK" w:hint="eastAsia"/>
          <w:szCs w:val="32"/>
        </w:rPr>
        <w:t>4</w:t>
      </w:r>
      <w:r>
        <w:rPr>
          <w:rFonts w:eastAsia="方正仿宋_GBK" w:hint="eastAsia"/>
          <w:szCs w:val="32"/>
        </w:rPr>
        <w:t>个农村公益性公墓进行了全覆盖审计，延伸调查了区民政局下属</w:t>
      </w:r>
      <w:r>
        <w:rPr>
          <w:rFonts w:eastAsia="方正仿宋_GBK" w:hint="eastAsia"/>
          <w:szCs w:val="32"/>
        </w:rPr>
        <w:t>2</w:t>
      </w:r>
      <w:r>
        <w:rPr>
          <w:rFonts w:eastAsia="方正仿宋_GBK" w:hint="eastAsia"/>
          <w:szCs w:val="32"/>
        </w:rPr>
        <w:t>个殡葬服务机构，揭示了殡葬行业监管不力、农村公墓墓位管理不规范等问题，有效推动殡葬行业秩序进一步规范。审计发现以下主要问题：一是殡葬管理的统筹力度不足，跨部门协同监管效果不佳，规范化管理制度缺失。二是殡葬设施建设推进缓慢，“十四五”规划新建</w:t>
      </w:r>
      <w:r>
        <w:rPr>
          <w:rFonts w:eastAsia="方正仿宋_GBK" w:hint="eastAsia"/>
          <w:szCs w:val="32"/>
        </w:rPr>
        <w:t>1</w:t>
      </w:r>
      <w:r>
        <w:rPr>
          <w:rFonts w:eastAsia="方正仿宋_GBK" w:hint="eastAsia"/>
          <w:szCs w:val="32"/>
        </w:rPr>
        <w:t>个城市公益性公墓、</w:t>
      </w:r>
      <w:r>
        <w:rPr>
          <w:rFonts w:eastAsia="方正仿宋_GBK" w:hint="eastAsia"/>
          <w:szCs w:val="32"/>
        </w:rPr>
        <w:t>1</w:t>
      </w:r>
      <w:r>
        <w:rPr>
          <w:rFonts w:eastAsia="方正仿宋_GBK" w:hint="eastAsia"/>
          <w:szCs w:val="32"/>
        </w:rPr>
        <w:t>个殡仪服务站，截至</w:t>
      </w:r>
      <w:r>
        <w:rPr>
          <w:rFonts w:eastAsia="方正仿宋_GBK" w:hint="eastAsia"/>
          <w:szCs w:val="32"/>
        </w:rPr>
        <w:t>2025</w:t>
      </w:r>
      <w:r>
        <w:rPr>
          <w:rFonts w:eastAsia="方正仿宋_GBK" w:hint="eastAsia"/>
          <w:szCs w:val="32"/>
        </w:rPr>
        <w:t>年</w:t>
      </w:r>
      <w:r>
        <w:rPr>
          <w:rFonts w:eastAsia="方正仿宋_GBK" w:hint="eastAsia"/>
          <w:szCs w:val="32"/>
        </w:rPr>
        <w:t>3</w:t>
      </w:r>
      <w:r>
        <w:rPr>
          <w:rFonts w:eastAsia="方正仿宋_GBK" w:hint="eastAsia"/>
          <w:szCs w:val="32"/>
        </w:rPr>
        <w:t>月</w:t>
      </w:r>
      <w:r>
        <w:rPr>
          <w:rFonts w:eastAsia="方正仿宋_GBK" w:hint="eastAsia"/>
          <w:szCs w:val="32"/>
        </w:rPr>
        <w:t>20</w:t>
      </w:r>
      <w:r>
        <w:rPr>
          <w:rFonts w:eastAsia="方正仿宋_GBK" w:hint="eastAsia"/>
          <w:szCs w:val="32"/>
        </w:rPr>
        <w:t>日仍未完成立项、筹建工作。三是</w:t>
      </w:r>
      <w:r>
        <w:rPr>
          <w:rFonts w:eastAsia="方正仿宋_GBK" w:hint="eastAsia"/>
          <w:szCs w:val="32"/>
        </w:rPr>
        <w:t>4</w:t>
      </w:r>
      <w:r>
        <w:rPr>
          <w:rFonts w:eastAsia="方正仿宋_GBK" w:hint="eastAsia"/>
          <w:szCs w:val="32"/>
        </w:rPr>
        <w:t>个农村公益性公墓管理不规范，上位法规指导不足，内控制度不健全。四是农村公益性公墓未充分发挥其公益性，安葬本街镇辖区村民及特殊困难群体占比较低，墓位实际销售价格较高。五是</w:t>
      </w:r>
      <w:r>
        <w:rPr>
          <w:rFonts w:ascii="方正仿宋_GBK" w:eastAsia="方正仿宋_GBK" w:hAnsi="方正仿宋_GBK" w:cs="方正仿宋_GBK" w:hint="eastAsia"/>
          <w:szCs w:val="32"/>
        </w:rPr>
        <w:t>墓位管理费底数不清，未单独核算和登记，墓位管理费的收入、支出和结存情况无法准确反映。</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color w:val="000000"/>
          <w:szCs w:val="32"/>
        </w:rPr>
        <w:t>2</w:t>
      </w:r>
      <w:r>
        <w:rPr>
          <w:rFonts w:eastAsia="方正仿宋_GBK"/>
          <w:color w:val="000000"/>
          <w:szCs w:val="32"/>
        </w:rPr>
        <w:t>﹒</w:t>
      </w:r>
      <w:r>
        <w:rPr>
          <w:rFonts w:eastAsia="方正仿宋_GBK"/>
          <w:szCs w:val="32"/>
        </w:rPr>
        <w:t>北碚区</w:t>
      </w:r>
      <w:r>
        <w:rPr>
          <w:rFonts w:eastAsia="方正仿宋_GBK"/>
          <w:szCs w:val="32"/>
        </w:rPr>
        <w:t>2021-2023</w:t>
      </w:r>
      <w:r>
        <w:rPr>
          <w:rFonts w:eastAsia="方正仿宋_GBK"/>
          <w:szCs w:val="32"/>
        </w:rPr>
        <w:t>年医疗机构运营管理专项审计调查情</w:t>
      </w:r>
      <w:r>
        <w:rPr>
          <w:rFonts w:eastAsia="方正仿宋_GBK"/>
          <w:szCs w:val="32"/>
        </w:rPr>
        <w:lastRenderedPageBreak/>
        <w:t>况</w:t>
      </w:r>
      <w:r>
        <w:rPr>
          <w:rFonts w:eastAsia="方正仿宋_GBK" w:hint="eastAsia"/>
          <w:szCs w:val="32"/>
        </w:rPr>
        <w:t>。</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hint="eastAsia"/>
          <w:szCs w:val="32"/>
        </w:rPr>
        <w:t>2021</w:t>
      </w:r>
      <w:r>
        <w:rPr>
          <w:rFonts w:eastAsia="方正仿宋_GBK" w:hint="eastAsia"/>
          <w:szCs w:val="32"/>
        </w:rPr>
        <w:t>年至</w:t>
      </w:r>
      <w:r>
        <w:rPr>
          <w:rFonts w:eastAsia="方正仿宋_GBK" w:hint="eastAsia"/>
          <w:szCs w:val="32"/>
        </w:rPr>
        <w:t>2023</w:t>
      </w:r>
      <w:r>
        <w:rPr>
          <w:rFonts w:eastAsia="方正仿宋_GBK" w:hint="eastAsia"/>
          <w:szCs w:val="32"/>
        </w:rPr>
        <w:t>年，北碚区着力优化区域卫生健康服务体系建设，全区公立医院和基层医疗机构共为患者提供优质诊疗服务</w:t>
      </w:r>
      <w:r>
        <w:rPr>
          <w:rFonts w:eastAsia="方正仿宋_GBK" w:hint="eastAsia"/>
          <w:szCs w:val="32"/>
        </w:rPr>
        <w:t>843.36</w:t>
      </w:r>
      <w:r>
        <w:rPr>
          <w:rFonts w:eastAsia="方正仿宋_GBK" w:hint="eastAsia"/>
          <w:szCs w:val="32"/>
        </w:rPr>
        <w:t>万人次。审计</w:t>
      </w:r>
      <w:r>
        <w:rPr>
          <w:rFonts w:eastAsia="方正仿宋_GBK"/>
          <w:szCs w:val="32"/>
        </w:rPr>
        <w:t>重点关注了药品和医用耗材采购管理情况、医用设备采购管理情况和医疗收费与相关政策执行情况等，揭示了公立医院药品、耗材、医用设备采购管理和医疗收费等方面存在的一些问题，积极促进区域医疗行业健康发展。审计发现以下主要问题：一是药品和医用耗材采购管理不规范。如</w:t>
      </w:r>
      <w:r>
        <w:rPr>
          <w:rFonts w:eastAsia="方正仿宋_GBK"/>
          <w:szCs w:val="32"/>
        </w:rPr>
        <w:t>2</w:t>
      </w:r>
      <w:r>
        <w:rPr>
          <w:rFonts w:eastAsia="方正仿宋_GBK"/>
          <w:szCs w:val="32"/>
        </w:rPr>
        <w:t>家医疗机构违规线下采购或平台采购程序倒置</w:t>
      </w:r>
      <w:r>
        <w:rPr>
          <w:rFonts w:eastAsia="方正仿宋_GBK" w:hint="eastAsia"/>
          <w:szCs w:val="32"/>
        </w:rPr>
        <w:t>，</w:t>
      </w:r>
      <w:r>
        <w:rPr>
          <w:rFonts w:eastAsia="方正仿宋_GBK"/>
          <w:szCs w:val="32"/>
        </w:rPr>
        <w:t>未严格执行集中带量采购政策，采购高价非中选药品、临床可替代药品或集采药品只采不用；</w:t>
      </w:r>
      <w:r>
        <w:rPr>
          <w:rFonts w:eastAsia="方正仿宋_GBK"/>
          <w:szCs w:val="32"/>
        </w:rPr>
        <w:t>3</w:t>
      </w:r>
      <w:r>
        <w:rPr>
          <w:rFonts w:eastAsia="方正仿宋_GBK"/>
          <w:szCs w:val="32"/>
        </w:rPr>
        <w:t>家医疗机构药品耗材入院决策机制不健全，药品耗材决策机构履职不到位或采购未按规定程序决策；</w:t>
      </w:r>
      <w:r>
        <w:rPr>
          <w:rFonts w:eastAsia="方正仿宋_GBK"/>
          <w:szCs w:val="32"/>
        </w:rPr>
        <w:t>4</w:t>
      </w:r>
      <w:r>
        <w:rPr>
          <w:rFonts w:eastAsia="方正仿宋_GBK"/>
          <w:szCs w:val="32"/>
        </w:rPr>
        <w:t>家医疗机构医用耗材采购价格执行不到位，未充分询价议价，导致耗材采购价格虚高，涉及金额</w:t>
      </w:r>
      <w:r>
        <w:rPr>
          <w:rFonts w:eastAsia="方正仿宋_GBK"/>
          <w:szCs w:val="32"/>
        </w:rPr>
        <w:t>2095.87</w:t>
      </w:r>
      <w:r>
        <w:rPr>
          <w:rFonts w:eastAsia="方正仿宋_GBK"/>
          <w:szCs w:val="32"/>
        </w:rPr>
        <w:t>万元。二是医用设备采购管理不合规。如</w:t>
      </w:r>
      <w:r>
        <w:rPr>
          <w:rFonts w:eastAsia="方正仿宋_GBK"/>
          <w:szCs w:val="32"/>
        </w:rPr>
        <w:t>2</w:t>
      </w:r>
      <w:r>
        <w:rPr>
          <w:rFonts w:eastAsia="方正仿宋_GBK"/>
          <w:szCs w:val="32"/>
        </w:rPr>
        <w:t>家医疗机构采购医用设备未投入使用或使用率未达预期，个别医用设备使用率仅占可行性论证的</w:t>
      </w:r>
      <w:r>
        <w:rPr>
          <w:rFonts w:eastAsia="方正仿宋_GBK"/>
          <w:szCs w:val="32"/>
        </w:rPr>
        <w:t>2.4%</w:t>
      </w:r>
      <w:r>
        <w:rPr>
          <w:rFonts w:eastAsia="方正仿宋_GBK"/>
          <w:szCs w:val="32"/>
        </w:rPr>
        <w:t>；</w:t>
      </w:r>
      <w:r>
        <w:rPr>
          <w:rFonts w:eastAsia="方正仿宋_GBK" w:hint="eastAsia"/>
          <w:szCs w:val="32"/>
        </w:rPr>
        <w:t>1</w:t>
      </w:r>
      <w:r>
        <w:rPr>
          <w:rFonts w:eastAsia="方正仿宋_GBK" w:hint="eastAsia"/>
          <w:szCs w:val="32"/>
        </w:rPr>
        <w:t>家医疗机构</w:t>
      </w:r>
      <w:r>
        <w:rPr>
          <w:rFonts w:eastAsia="方正仿宋_GBK"/>
          <w:szCs w:val="32"/>
        </w:rPr>
        <w:t>高溢价采购医用设备，个别医用设备在相近情况下采购价格高于其他医院采购价</w:t>
      </w:r>
      <w:r>
        <w:rPr>
          <w:rFonts w:eastAsia="方正仿宋_GBK"/>
          <w:szCs w:val="32"/>
        </w:rPr>
        <w:t>45.2%</w:t>
      </w:r>
      <w:r>
        <w:rPr>
          <w:rFonts w:eastAsia="方正仿宋_GBK"/>
          <w:szCs w:val="32"/>
        </w:rPr>
        <w:t>。</w:t>
      </w:r>
      <w:r>
        <w:rPr>
          <w:rFonts w:eastAsia="方正仿宋_GBK" w:hint="eastAsia"/>
          <w:szCs w:val="32"/>
        </w:rPr>
        <w:t>三是</w:t>
      </w:r>
      <w:r>
        <w:rPr>
          <w:rFonts w:eastAsia="方正仿宋_GBK" w:hint="eastAsia"/>
          <w:szCs w:val="32"/>
        </w:rPr>
        <w:t>1</w:t>
      </w:r>
      <w:r>
        <w:rPr>
          <w:rFonts w:eastAsia="方正仿宋_GBK" w:hint="eastAsia"/>
          <w:szCs w:val="32"/>
        </w:rPr>
        <w:t>家医疗机构未严格执行药品零加成政策，违规向患者收取</w:t>
      </w:r>
      <w:r>
        <w:rPr>
          <w:rFonts w:eastAsia="方正仿宋_GBK" w:hint="eastAsia"/>
          <w:szCs w:val="32"/>
        </w:rPr>
        <w:t>491</w:t>
      </w:r>
      <w:r>
        <w:rPr>
          <w:rFonts w:eastAsia="方正仿宋_GBK" w:hint="eastAsia"/>
          <w:szCs w:val="32"/>
        </w:rPr>
        <w:t>种药品加成收入</w:t>
      </w:r>
      <w:r>
        <w:rPr>
          <w:rFonts w:eastAsia="方正仿宋_GBK" w:hint="eastAsia"/>
          <w:szCs w:val="32"/>
        </w:rPr>
        <w:t>17.38</w:t>
      </w:r>
      <w:r>
        <w:rPr>
          <w:rFonts w:eastAsia="方正仿宋_GBK" w:hint="eastAsia"/>
          <w:szCs w:val="32"/>
        </w:rPr>
        <w:t>万元。</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color w:val="000000"/>
          <w:szCs w:val="32"/>
        </w:rPr>
        <w:t>3</w:t>
      </w:r>
      <w:r>
        <w:rPr>
          <w:rFonts w:eastAsia="方正仿宋_GBK"/>
          <w:color w:val="000000"/>
          <w:szCs w:val="32"/>
        </w:rPr>
        <w:t>﹒</w:t>
      </w:r>
      <w:r>
        <w:rPr>
          <w:rFonts w:eastAsia="方正仿宋_GBK"/>
          <w:szCs w:val="32"/>
        </w:rPr>
        <w:t>城镇老旧小区改造专项审计调查情况</w:t>
      </w:r>
      <w:r>
        <w:rPr>
          <w:rFonts w:eastAsia="方正仿宋_GBK" w:hint="eastAsia"/>
          <w:szCs w:val="32"/>
        </w:rPr>
        <w:t>。</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hint="eastAsia"/>
          <w:szCs w:val="32"/>
        </w:rPr>
        <w:t>2020</w:t>
      </w:r>
      <w:r>
        <w:rPr>
          <w:rFonts w:eastAsia="方正仿宋_GBK" w:hint="eastAsia"/>
          <w:szCs w:val="32"/>
        </w:rPr>
        <w:t>年至</w:t>
      </w:r>
      <w:r>
        <w:rPr>
          <w:rFonts w:eastAsia="方正仿宋_GBK" w:hint="eastAsia"/>
          <w:szCs w:val="32"/>
        </w:rPr>
        <w:t>2024</w:t>
      </w:r>
      <w:r>
        <w:rPr>
          <w:rFonts w:eastAsia="方正仿宋_GBK" w:hint="eastAsia"/>
          <w:szCs w:val="32"/>
        </w:rPr>
        <w:t>年，北碚区积极落实老旧小区改造工作部署，筹集到位改造资金</w:t>
      </w:r>
      <w:r>
        <w:rPr>
          <w:rFonts w:eastAsia="方正仿宋_GBK" w:hint="eastAsia"/>
          <w:szCs w:val="32"/>
        </w:rPr>
        <w:t>8.3</w:t>
      </w:r>
      <w:r>
        <w:rPr>
          <w:rFonts w:eastAsia="方正仿宋_GBK" w:hint="eastAsia"/>
          <w:szCs w:val="32"/>
        </w:rPr>
        <w:t>亿元，截至</w:t>
      </w:r>
      <w:r>
        <w:rPr>
          <w:rFonts w:eastAsia="方正仿宋_GBK" w:hint="eastAsia"/>
          <w:szCs w:val="32"/>
        </w:rPr>
        <w:t>2024</w:t>
      </w:r>
      <w:r>
        <w:rPr>
          <w:rFonts w:eastAsia="方正仿宋_GBK" w:hint="eastAsia"/>
          <w:szCs w:val="32"/>
        </w:rPr>
        <w:t>年</w:t>
      </w:r>
      <w:r>
        <w:rPr>
          <w:rFonts w:eastAsia="方正仿宋_GBK" w:hint="eastAsia"/>
          <w:szCs w:val="32"/>
        </w:rPr>
        <w:t>6</w:t>
      </w:r>
      <w:r>
        <w:rPr>
          <w:rFonts w:eastAsia="方正仿宋_GBK" w:hint="eastAsia"/>
          <w:szCs w:val="32"/>
        </w:rPr>
        <w:t>月，竣工改造提升</w:t>
      </w:r>
      <w:r>
        <w:rPr>
          <w:rFonts w:eastAsia="方正仿宋_GBK" w:hint="eastAsia"/>
          <w:szCs w:val="32"/>
        </w:rPr>
        <w:lastRenderedPageBreak/>
        <w:t>老旧小区</w:t>
      </w:r>
      <w:r>
        <w:rPr>
          <w:rFonts w:eastAsia="方正仿宋_GBK" w:hint="eastAsia"/>
          <w:szCs w:val="32"/>
        </w:rPr>
        <w:t>48</w:t>
      </w:r>
      <w:r>
        <w:rPr>
          <w:rFonts w:eastAsia="方正仿宋_GBK" w:hint="eastAsia"/>
          <w:szCs w:val="32"/>
        </w:rPr>
        <w:t>个，竣工配套基础设施改造项目</w:t>
      </w:r>
      <w:r>
        <w:rPr>
          <w:rFonts w:eastAsia="方正仿宋_GBK" w:hint="eastAsia"/>
          <w:szCs w:val="32"/>
        </w:rPr>
        <w:t>12</w:t>
      </w:r>
      <w:r>
        <w:rPr>
          <w:rFonts w:eastAsia="方正仿宋_GBK" w:hint="eastAsia"/>
          <w:szCs w:val="32"/>
        </w:rPr>
        <w:t>个，持续推进城市更新。审计</w:t>
      </w:r>
      <w:r>
        <w:rPr>
          <w:rFonts w:eastAsia="方正仿宋_GBK"/>
          <w:szCs w:val="32"/>
        </w:rPr>
        <w:t>重点关注了改造任务确定及完成情况、改造资金筹集及拨付使用情况、改造项目实施情况等，重点抽查老旧小区改造项目</w:t>
      </w:r>
      <w:r>
        <w:rPr>
          <w:rFonts w:eastAsia="方正仿宋_GBK"/>
          <w:szCs w:val="32"/>
        </w:rPr>
        <w:t>5</w:t>
      </w:r>
      <w:r>
        <w:rPr>
          <w:rFonts w:eastAsia="方正仿宋_GBK"/>
          <w:szCs w:val="32"/>
        </w:rPr>
        <w:t>个，涉及小区</w:t>
      </w:r>
      <w:r>
        <w:rPr>
          <w:rFonts w:eastAsia="方正仿宋_GBK"/>
          <w:szCs w:val="32"/>
        </w:rPr>
        <w:t>27</w:t>
      </w:r>
      <w:r>
        <w:rPr>
          <w:rFonts w:eastAsia="方正仿宋_GBK"/>
          <w:szCs w:val="32"/>
        </w:rPr>
        <w:t>个</w:t>
      </w:r>
      <w:r>
        <w:rPr>
          <w:rFonts w:eastAsia="方正仿宋_GBK" w:hint="eastAsia"/>
          <w:szCs w:val="32"/>
        </w:rPr>
        <w:t>，配套基础设施改造项目</w:t>
      </w:r>
      <w:r>
        <w:rPr>
          <w:rFonts w:eastAsia="方正仿宋_GBK" w:hint="eastAsia"/>
          <w:szCs w:val="32"/>
        </w:rPr>
        <w:t>6</w:t>
      </w:r>
      <w:r>
        <w:rPr>
          <w:rFonts w:eastAsia="方正仿宋_GBK" w:hint="eastAsia"/>
          <w:szCs w:val="32"/>
        </w:rPr>
        <w:t>个，</w:t>
      </w:r>
      <w:r>
        <w:rPr>
          <w:rFonts w:eastAsia="方正仿宋_GBK"/>
          <w:szCs w:val="32"/>
        </w:rPr>
        <w:t>揭示了相关政策落实不到位、资金筹集管理使用不当和自建项目管理不规范等问题，有力推动老旧小区改造工作规范开展和居民居住条件改善。审计发现以下主要问题：</w:t>
      </w:r>
      <w:r>
        <w:rPr>
          <w:rFonts w:eastAsia="方正仿宋_GBK" w:hint="eastAsia"/>
          <w:szCs w:val="32"/>
        </w:rPr>
        <w:t>一</w:t>
      </w:r>
      <w:r>
        <w:rPr>
          <w:rFonts w:eastAsia="方正仿宋_GBK"/>
          <w:szCs w:val="32"/>
        </w:rPr>
        <w:t>是</w:t>
      </w:r>
      <w:r>
        <w:rPr>
          <w:rFonts w:eastAsia="方正仿宋_GBK" w:hint="eastAsia"/>
          <w:szCs w:val="32"/>
        </w:rPr>
        <w:t>未按期完成改造项目，改造效果未有效发挥；二是</w:t>
      </w:r>
      <w:r>
        <w:rPr>
          <w:rFonts w:eastAsia="方正仿宋_GBK" w:hint="eastAsia"/>
          <w:szCs w:val="32"/>
        </w:rPr>
        <w:t>8,147.63</w:t>
      </w:r>
      <w:r>
        <w:rPr>
          <w:rFonts w:eastAsia="方正仿宋_GBK" w:hint="eastAsia"/>
          <w:szCs w:val="32"/>
        </w:rPr>
        <w:t>万元专项资金未使用，财政资金未发挥效益；三是未严格执行基本建设程序，</w:t>
      </w:r>
      <w:r>
        <w:rPr>
          <w:rFonts w:eastAsia="方正仿宋_GBK" w:hint="eastAsia"/>
          <w:szCs w:val="32"/>
        </w:rPr>
        <w:t>3</w:t>
      </w:r>
      <w:r>
        <w:rPr>
          <w:rFonts w:eastAsia="方正仿宋_GBK" w:hint="eastAsia"/>
          <w:szCs w:val="32"/>
        </w:rPr>
        <w:t>个项目未办理施工许可证，</w:t>
      </w:r>
      <w:r>
        <w:rPr>
          <w:rFonts w:eastAsia="方正仿宋_GBK" w:hint="eastAsia"/>
          <w:szCs w:val="32"/>
        </w:rPr>
        <w:t>8</w:t>
      </w:r>
      <w:r>
        <w:rPr>
          <w:rFonts w:eastAsia="方正仿宋_GBK" w:hint="eastAsia"/>
          <w:szCs w:val="32"/>
        </w:rPr>
        <w:t>个项目未办理质量安全监督手续，</w:t>
      </w:r>
      <w:r>
        <w:rPr>
          <w:rFonts w:eastAsia="方正仿宋_GBK" w:hint="eastAsia"/>
          <w:szCs w:val="32"/>
        </w:rPr>
        <w:t>18</w:t>
      </w:r>
      <w:r>
        <w:rPr>
          <w:rFonts w:eastAsia="方正仿宋_GBK" w:hint="eastAsia"/>
          <w:szCs w:val="32"/>
        </w:rPr>
        <w:t>个项目验收不规范；四是自建项目合同缺乏监管，内部控制管理制度不健全、执行不到位，执行采购管理制度不规范；五是投资控制不力，预算编制把关不严，设计费计算基数不合理，竣工结算办理不实。</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color w:val="000000"/>
          <w:szCs w:val="32"/>
        </w:rPr>
        <w:t>4</w:t>
      </w:r>
      <w:r>
        <w:rPr>
          <w:rFonts w:eastAsia="方正仿宋_GBK"/>
          <w:color w:val="000000"/>
          <w:szCs w:val="32"/>
        </w:rPr>
        <w:t>﹒</w:t>
      </w:r>
      <w:r>
        <w:rPr>
          <w:rFonts w:eastAsia="方正仿宋_GBK" w:hint="eastAsia"/>
          <w:szCs w:val="32"/>
        </w:rPr>
        <w:t>“</w:t>
      </w:r>
      <w:r>
        <w:rPr>
          <w:rFonts w:eastAsia="方正仿宋_GBK"/>
          <w:szCs w:val="32"/>
        </w:rPr>
        <w:t>无废城市</w:t>
      </w:r>
      <w:r>
        <w:rPr>
          <w:rFonts w:eastAsia="方正仿宋_GBK" w:hint="eastAsia"/>
          <w:szCs w:val="32"/>
        </w:rPr>
        <w:t>”</w:t>
      </w:r>
      <w:r>
        <w:rPr>
          <w:rFonts w:eastAsia="方正仿宋_GBK"/>
          <w:szCs w:val="32"/>
        </w:rPr>
        <w:t>建设相关资金管理使用情况专项审计调查情况</w:t>
      </w:r>
      <w:r>
        <w:rPr>
          <w:rFonts w:eastAsia="方正仿宋_GBK" w:hint="eastAsia"/>
          <w:szCs w:val="32"/>
        </w:rPr>
        <w:t>。</w:t>
      </w:r>
    </w:p>
    <w:p w:rsidR="00E46185" w:rsidRDefault="00E46185" w:rsidP="00E46185">
      <w:pPr>
        <w:pStyle w:val="Style25"/>
        <w:adjustRightInd w:val="0"/>
        <w:snapToGrid w:val="0"/>
        <w:spacing w:after="0" w:line="560" w:lineRule="exact"/>
        <w:ind w:leftChars="0" w:left="0" w:firstLineChars="0" w:firstLine="636"/>
        <w:rPr>
          <w:szCs w:val="32"/>
        </w:rPr>
      </w:pPr>
      <w:r>
        <w:rPr>
          <w:rFonts w:eastAsia="方正仿宋_GBK" w:hint="eastAsia"/>
          <w:szCs w:val="32"/>
        </w:rPr>
        <w:t>2021</w:t>
      </w:r>
      <w:r>
        <w:rPr>
          <w:rFonts w:eastAsia="方正仿宋_GBK" w:hint="eastAsia"/>
          <w:szCs w:val="32"/>
        </w:rPr>
        <w:t>至</w:t>
      </w:r>
      <w:r>
        <w:rPr>
          <w:rFonts w:eastAsia="方正仿宋_GBK" w:hint="eastAsia"/>
          <w:szCs w:val="32"/>
        </w:rPr>
        <w:t>2023</w:t>
      </w:r>
      <w:r>
        <w:rPr>
          <w:rFonts w:eastAsia="方正仿宋_GBK" w:hint="eastAsia"/>
          <w:szCs w:val="32"/>
        </w:rPr>
        <w:t>年，北碚区积极推动“无废城市”建设，规范处置工业固体废物</w:t>
      </w:r>
      <w:r>
        <w:rPr>
          <w:rFonts w:eastAsia="方正仿宋_GBK" w:hint="eastAsia"/>
          <w:szCs w:val="32"/>
        </w:rPr>
        <w:t>26.97</w:t>
      </w:r>
      <w:r>
        <w:rPr>
          <w:rFonts w:eastAsia="方正仿宋_GBK" w:hint="eastAsia"/>
          <w:szCs w:val="32"/>
        </w:rPr>
        <w:t>万吨、危险废物</w:t>
      </w:r>
      <w:r>
        <w:rPr>
          <w:rFonts w:eastAsia="方正仿宋_GBK" w:hint="eastAsia"/>
          <w:szCs w:val="32"/>
        </w:rPr>
        <w:t>5.79</w:t>
      </w:r>
      <w:r>
        <w:rPr>
          <w:rFonts w:eastAsia="方正仿宋_GBK" w:hint="eastAsia"/>
          <w:szCs w:val="32"/>
        </w:rPr>
        <w:t>万吨、建筑垃圾</w:t>
      </w:r>
      <w:r>
        <w:rPr>
          <w:rFonts w:eastAsia="方正仿宋_GBK" w:hint="eastAsia"/>
          <w:szCs w:val="32"/>
        </w:rPr>
        <w:t>366.31</w:t>
      </w:r>
      <w:r>
        <w:rPr>
          <w:rFonts w:eastAsia="方正仿宋_GBK" w:hint="eastAsia"/>
          <w:szCs w:val="32"/>
        </w:rPr>
        <w:t>万立方米，有力推进固体废物源头减量和资源化利用。审计</w:t>
      </w:r>
      <w:r>
        <w:rPr>
          <w:rFonts w:eastAsia="方正仿宋_GBK"/>
          <w:szCs w:val="32"/>
        </w:rPr>
        <w:t>重点关注了</w:t>
      </w:r>
      <w:r>
        <w:rPr>
          <w:rFonts w:eastAsia="方正仿宋_GBK" w:hint="eastAsia"/>
          <w:szCs w:val="32"/>
        </w:rPr>
        <w:t>资金管理使用、政策执行、部门履职等情况，重点调查相关企事业单位</w:t>
      </w:r>
      <w:r>
        <w:rPr>
          <w:rFonts w:eastAsia="方正仿宋_GBK" w:hint="eastAsia"/>
          <w:szCs w:val="32"/>
        </w:rPr>
        <w:t>12</w:t>
      </w:r>
      <w:r>
        <w:rPr>
          <w:rFonts w:eastAsia="方正仿宋_GBK" w:hint="eastAsia"/>
          <w:szCs w:val="32"/>
        </w:rPr>
        <w:t>个，揭示了违规使用资金、违反项目建设程序、未建立健全制度机制等问题，促进固体废物减量化、资源化、无害化水平总体提升。审计发现以下主要问题：一是违规</w:t>
      </w:r>
      <w:r>
        <w:rPr>
          <w:rFonts w:eastAsia="方正仿宋_GBK" w:hint="eastAsia"/>
          <w:szCs w:val="32"/>
        </w:rPr>
        <w:lastRenderedPageBreak/>
        <w:t>使用资金</w:t>
      </w:r>
      <w:r>
        <w:rPr>
          <w:rFonts w:eastAsia="方正仿宋_GBK" w:hint="eastAsia"/>
          <w:szCs w:val="32"/>
        </w:rPr>
        <w:t>733.95</w:t>
      </w:r>
      <w:r>
        <w:rPr>
          <w:rFonts w:eastAsia="方正仿宋_GBK" w:hint="eastAsia"/>
          <w:szCs w:val="32"/>
        </w:rPr>
        <w:t>万元。其中未达条件提前拨付</w:t>
      </w:r>
      <w:r>
        <w:rPr>
          <w:rFonts w:eastAsia="方正仿宋_GBK" w:hint="eastAsia"/>
          <w:szCs w:val="32"/>
        </w:rPr>
        <w:t>230.05</w:t>
      </w:r>
      <w:r>
        <w:rPr>
          <w:rFonts w:eastAsia="方正仿宋_GBK" w:hint="eastAsia"/>
          <w:szCs w:val="32"/>
        </w:rPr>
        <w:t>万元、违规支付</w:t>
      </w:r>
      <w:r>
        <w:rPr>
          <w:rFonts w:eastAsia="方正仿宋_GBK" w:hint="eastAsia"/>
          <w:szCs w:val="32"/>
        </w:rPr>
        <w:t>288.92</w:t>
      </w:r>
      <w:r>
        <w:rPr>
          <w:rFonts w:eastAsia="方正仿宋_GBK" w:hint="eastAsia"/>
          <w:szCs w:val="32"/>
        </w:rPr>
        <w:t>万元、扩大范围开支</w:t>
      </w:r>
      <w:r>
        <w:rPr>
          <w:rFonts w:eastAsia="方正仿宋_GBK" w:hint="eastAsia"/>
          <w:szCs w:val="32"/>
        </w:rPr>
        <w:t>214.98</w:t>
      </w:r>
      <w:r>
        <w:rPr>
          <w:rFonts w:eastAsia="方正仿宋_GBK" w:hint="eastAsia"/>
          <w:szCs w:val="32"/>
        </w:rPr>
        <w:t>万元；二是违反项目建设程序。先实施后决策、重点项目进度滞后、设施设备闲置或损坏；三是未编制重要规划或任务分工。北碚区“十四五”循环经济发展规划责任分工未明确，再生资源回收网点规划、建筑垃圾污染防治工作规划未编制；四是未建立健全制度机制。“无废城市”考核评价机制、固体废物数据共享机制、成渝共建相关制度未建立。五是固体废物监管不力。医疗废物超时未转移、建筑垃圾违法行为屡犯不改、无手续关停生活垃圾中转站。</w:t>
      </w:r>
    </w:p>
    <w:p w:rsidR="00E46185" w:rsidRDefault="00E46185" w:rsidP="00E46185">
      <w:pPr>
        <w:pStyle w:val="Style25"/>
        <w:adjustRightInd w:val="0"/>
        <w:snapToGrid w:val="0"/>
        <w:spacing w:after="0" w:line="560" w:lineRule="exact"/>
        <w:ind w:leftChars="0" w:left="0" w:firstLineChars="0" w:firstLine="636"/>
        <w:rPr>
          <w:rFonts w:eastAsia="方正黑体_GBK"/>
          <w:szCs w:val="32"/>
        </w:rPr>
      </w:pPr>
      <w:r>
        <w:rPr>
          <w:rFonts w:eastAsia="方正黑体_GBK"/>
          <w:szCs w:val="32"/>
        </w:rPr>
        <w:t>四、政府投资建设项目审计情况</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szCs w:val="32"/>
        </w:rPr>
        <w:t>2024</w:t>
      </w:r>
      <w:r>
        <w:rPr>
          <w:rFonts w:eastAsia="方正仿宋_GBK"/>
          <w:szCs w:val="32"/>
        </w:rPr>
        <w:t>年，</w:t>
      </w:r>
      <w:r>
        <w:rPr>
          <w:rFonts w:eastAsia="方正仿宋_GBK" w:hint="eastAsia"/>
          <w:szCs w:val="32"/>
        </w:rPr>
        <w:t>除进行了</w:t>
      </w:r>
      <w:r>
        <w:rPr>
          <w:rFonts w:eastAsia="方正仿宋_GBK" w:hint="eastAsia"/>
          <w:szCs w:val="32"/>
        </w:rPr>
        <w:t>2</w:t>
      </w:r>
      <w:r>
        <w:rPr>
          <w:rFonts w:eastAsia="方正仿宋_GBK" w:hint="eastAsia"/>
          <w:szCs w:val="32"/>
        </w:rPr>
        <w:t>个专项审计调查和</w:t>
      </w:r>
      <w:r>
        <w:rPr>
          <w:rFonts w:eastAsia="方正仿宋_GBK" w:hint="eastAsia"/>
          <w:szCs w:val="32"/>
        </w:rPr>
        <w:t>1</w:t>
      </w:r>
      <w:r>
        <w:rPr>
          <w:rFonts w:eastAsia="方正仿宋_GBK" w:hint="eastAsia"/>
          <w:szCs w:val="32"/>
        </w:rPr>
        <w:t>个决算审计项目外，同时在多个经济责任审计项目中关注了</w:t>
      </w:r>
      <w:r>
        <w:rPr>
          <w:rFonts w:eastAsia="方正仿宋_GBK"/>
          <w:szCs w:val="32"/>
        </w:rPr>
        <w:t>政府投资建设</w:t>
      </w:r>
      <w:r>
        <w:rPr>
          <w:rFonts w:eastAsia="方正仿宋_GBK" w:hint="eastAsia"/>
          <w:szCs w:val="32"/>
        </w:rPr>
        <w:t>内容</w:t>
      </w:r>
      <w:r>
        <w:rPr>
          <w:rFonts w:eastAsia="方正仿宋_GBK"/>
          <w:szCs w:val="32"/>
        </w:rPr>
        <w:t>，扎实、有效地开展了相关审计工作。审计发现以下主要问题：</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b/>
          <w:szCs w:val="32"/>
        </w:rPr>
        <w:t>一是基本建设程序履行不合规。</w:t>
      </w:r>
      <w:r>
        <w:rPr>
          <w:rFonts w:eastAsia="方正仿宋_GBK" w:hint="eastAsia"/>
          <w:szCs w:val="32"/>
        </w:rPr>
        <w:t>6</w:t>
      </w:r>
      <w:r>
        <w:rPr>
          <w:rFonts w:eastAsia="方正仿宋_GBK" w:hint="eastAsia"/>
          <w:szCs w:val="32"/>
        </w:rPr>
        <w:t>个审计项目发现</w:t>
      </w:r>
      <w:r>
        <w:rPr>
          <w:rFonts w:eastAsia="方正仿宋_GBK"/>
          <w:szCs w:val="32"/>
        </w:rPr>
        <w:t>存在</w:t>
      </w:r>
      <w:r>
        <w:rPr>
          <w:rFonts w:eastAsia="方正仿宋_GBK" w:hint="eastAsia"/>
          <w:szCs w:val="32"/>
        </w:rPr>
        <w:t>部分工程未按规定办理审批手续，</w:t>
      </w:r>
      <w:r>
        <w:rPr>
          <w:rFonts w:eastAsia="方正仿宋_GBK"/>
          <w:szCs w:val="32"/>
        </w:rPr>
        <w:t>部分采购项目拆分实施，</w:t>
      </w:r>
      <w:r>
        <w:rPr>
          <w:rFonts w:eastAsia="方正仿宋_GBK" w:hint="eastAsia"/>
          <w:szCs w:val="32"/>
        </w:rPr>
        <w:t>招标、比</w:t>
      </w:r>
      <w:r>
        <w:rPr>
          <w:rFonts w:eastAsia="方正仿宋_GBK"/>
          <w:szCs w:val="32"/>
        </w:rPr>
        <w:t>选文件</w:t>
      </w:r>
      <w:r>
        <w:rPr>
          <w:rFonts w:eastAsia="方正仿宋_GBK" w:hint="eastAsia"/>
          <w:szCs w:val="32"/>
        </w:rPr>
        <w:t>设置不合理条件限制、排斥潜在投标人，</w:t>
      </w:r>
      <w:r>
        <w:rPr>
          <w:rFonts w:eastAsia="方正仿宋_GBK"/>
          <w:szCs w:val="32"/>
        </w:rPr>
        <w:t>围标串标影响公平竞争等问题。</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b/>
          <w:szCs w:val="32"/>
        </w:rPr>
        <w:t>二是部分工程管理不规范。</w:t>
      </w:r>
      <w:r>
        <w:rPr>
          <w:rFonts w:eastAsia="方正仿宋_GBK" w:hint="eastAsia"/>
          <w:szCs w:val="32"/>
        </w:rPr>
        <w:t>7</w:t>
      </w:r>
      <w:r>
        <w:rPr>
          <w:rFonts w:eastAsia="方正仿宋_GBK" w:hint="eastAsia"/>
          <w:szCs w:val="32"/>
        </w:rPr>
        <w:t>个审计项目发现部分工程</w:t>
      </w:r>
      <w:r>
        <w:rPr>
          <w:rFonts w:eastAsia="方正仿宋_GBK"/>
          <w:szCs w:val="32"/>
        </w:rPr>
        <w:t>存在建设过程中对设计变更审核不严谨，对临时用地、土石方开挖等工程收方测量的签证管理不到位，监理、跟审、</w:t>
      </w:r>
      <w:r>
        <w:rPr>
          <w:rFonts w:eastAsia="方正仿宋_GBK" w:hint="eastAsia"/>
          <w:szCs w:val="32"/>
        </w:rPr>
        <w:t>代建</w:t>
      </w:r>
      <w:r>
        <w:rPr>
          <w:rFonts w:eastAsia="方正仿宋_GBK"/>
          <w:szCs w:val="32"/>
        </w:rPr>
        <w:t>等参建单位人员履职不当，档案资料收集整理不完善难以还原建设过程等问题。</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b/>
          <w:szCs w:val="32"/>
        </w:rPr>
        <w:lastRenderedPageBreak/>
        <w:t>三是工程造价控制不严格。</w:t>
      </w:r>
      <w:r>
        <w:rPr>
          <w:rFonts w:eastAsia="方正仿宋_GBK" w:hint="eastAsia"/>
          <w:szCs w:val="32"/>
        </w:rPr>
        <w:t>6</w:t>
      </w:r>
      <w:r>
        <w:rPr>
          <w:rFonts w:eastAsia="方正仿宋_GBK" w:hint="eastAsia"/>
          <w:szCs w:val="32"/>
        </w:rPr>
        <w:t>个审计项目发现部分工程</w:t>
      </w:r>
      <w:r>
        <w:rPr>
          <w:rFonts w:eastAsia="方正仿宋_GBK"/>
          <w:szCs w:val="32"/>
        </w:rPr>
        <w:t>存在</w:t>
      </w:r>
      <w:r>
        <w:rPr>
          <w:rFonts w:eastAsia="方正仿宋_GBK" w:hint="eastAsia"/>
          <w:szCs w:val="32"/>
        </w:rPr>
        <w:t>无计量依据办理结算，</w:t>
      </w:r>
      <w:r>
        <w:rPr>
          <w:rFonts w:eastAsia="方正仿宋_GBK"/>
          <w:szCs w:val="32"/>
        </w:rPr>
        <w:t>结决算办理进度缓慢，对工程款支付、结算审核把关不严</w:t>
      </w:r>
      <w:r>
        <w:rPr>
          <w:rFonts w:eastAsia="方正仿宋_GBK" w:hint="eastAsia"/>
          <w:szCs w:val="32"/>
        </w:rPr>
        <w:t>，</w:t>
      </w:r>
      <w:r>
        <w:rPr>
          <w:rFonts w:eastAsia="方正仿宋_GBK"/>
          <w:szCs w:val="32"/>
        </w:rPr>
        <w:t>增大结算风险等问题。</w:t>
      </w:r>
    </w:p>
    <w:p w:rsidR="00E46185" w:rsidRDefault="00E46185" w:rsidP="00E46185">
      <w:pPr>
        <w:pStyle w:val="Style25"/>
        <w:adjustRightInd w:val="0"/>
        <w:snapToGrid w:val="0"/>
        <w:spacing w:after="0" w:line="560" w:lineRule="exact"/>
        <w:ind w:leftChars="0" w:left="0" w:firstLineChars="0" w:firstLine="636"/>
        <w:rPr>
          <w:rFonts w:eastAsia="方正仿宋_GBK"/>
          <w:szCs w:val="32"/>
        </w:rPr>
      </w:pPr>
      <w:r>
        <w:rPr>
          <w:rFonts w:eastAsia="方正仿宋_GBK"/>
          <w:szCs w:val="32"/>
        </w:rPr>
        <w:t>此外，参与审计署组织的重庆市税务局</w:t>
      </w:r>
      <w:r>
        <w:rPr>
          <w:rFonts w:eastAsia="方正仿宋_GBK"/>
          <w:szCs w:val="32"/>
        </w:rPr>
        <w:t>2024</w:t>
      </w:r>
      <w:r>
        <w:rPr>
          <w:rFonts w:eastAsia="方正仿宋_GBK"/>
          <w:szCs w:val="32"/>
        </w:rPr>
        <w:t>年度税收和非税收入征管及部门预算执行等情况审计，市审计局组织的重庆市高标准农田改造提升项目实施情况专项审计调查、财政运行质效暨融资平台公司转型发展专项审计调查。聚焦税务部门主要税种征管等组织收入职责履行中的突出问题和重大风险隐患、高标准农田建设底数和质效、财政收入质量及融资平台公司转型发展现状等情况，精准揭示税收征管漏洞、高标准农田建设规划布局缺陷和</w:t>
      </w:r>
      <w:r>
        <w:rPr>
          <w:rFonts w:eastAsia="方正仿宋_GBK" w:hint="eastAsia"/>
          <w:szCs w:val="32"/>
        </w:rPr>
        <w:t>重点领域风险</w:t>
      </w:r>
      <w:r>
        <w:rPr>
          <w:rFonts w:eastAsia="方正仿宋_GBK"/>
          <w:szCs w:val="32"/>
        </w:rPr>
        <w:t>。促进深化税费收入征管改革，夯实粮食供给保障基础，保障财政平稳运行，充分发挥审计职能优势防范化解重大风险。</w:t>
      </w:r>
    </w:p>
    <w:p w:rsidR="00E46185" w:rsidRDefault="00E46185" w:rsidP="00E46185">
      <w:pPr>
        <w:pStyle w:val="Style25"/>
        <w:adjustRightInd w:val="0"/>
        <w:snapToGrid w:val="0"/>
        <w:spacing w:after="0" w:line="560" w:lineRule="exact"/>
        <w:ind w:leftChars="0" w:left="0" w:firstLineChars="0" w:firstLine="636"/>
      </w:pPr>
      <w:r>
        <w:rPr>
          <w:rFonts w:eastAsia="方正黑体_GBK"/>
          <w:szCs w:val="32"/>
        </w:rPr>
        <w:t>五、审计成果及重大违法违规问题查处情况</w:t>
      </w:r>
    </w:p>
    <w:p w:rsidR="00E46185" w:rsidRDefault="00E46185" w:rsidP="00E46185">
      <w:pPr>
        <w:pStyle w:val="Style25"/>
        <w:adjustRightInd w:val="0"/>
        <w:snapToGrid w:val="0"/>
        <w:spacing w:after="0" w:line="560" w:lineRule="exact"/>
        <w:ind w:leftChars="0" w:left="0" w:firstLineChars="0" w:firstLine="636"/>
      </w:pPr>
      <w:r>
        <w:rPr>
          <w:rFonts w:eastAsia="方正仿宋_GBK"/>
          <w:szCs w:val="32"/>
        </w:rPr>
        <w:t>上述审计查出的问题，对重大违纪违法问题线索和应当追究责任的，已依法移送有关部门查处；对违反财政财务收支法规的，已依法下达审计决定，要求有关单位予以纠正；对管理不规范的，已建议有关单位建章立制，切实加强内控管理。</w:t>
      </w:r>
      <w:r>
        <w:rPr>
          <w:rFonts w:eastAsia="方正仿宋_GBK"/>
          <w:szCs w:val="32"/>
        </w:rPr>
        <w:t>202</w:t>
      </w:r>
      <w:r>
        <w:rPr>
          <w:rFonts w:eastAsia="方正仿宋_GBK" w:hint="eastAsia"/>
          <w:szCs w:val="32"/>
        </w:rPr>
        <w:t>4</w:t>
      </w:r>
      <w:r>
        <w:rPr>
          <w:rFonts w:eastAsia="方正仿宋_GBK"/>
          <w:szCs w:val="32"/>
        </w:rPr>
        <w:t>年，</w:t>
      </w:r>
      <w:r>
        <w:rPr>
          <w:rFonts w:eastAsia="方正仿宋_GBK" w:hint="eastAsia"/>
          <w:szCs w:val="32"/>
        </w:rPr>
        <w:t>审计</w:t>
      </w:r>
      <w:r>
        <w:rPr>
          <w:rFonts w:eastAsia="方正仿宋_GBK"/>
          <w:szCs w:val="32"/>
        </w:rPr>
        <w:t>发现问题</w:t>
      </w:r>
      <w:r>
        <w:rPr>
          <w:rFonts w:eastAsia="方正仿宋_GBK" w:hint="eastAsia"/>
          <w:szCs w:val="32"/>
        </w:rPr>
        <w:t>514</w:t>
      </w:r>
      <w:r>
        <w:rPr>
          <w:rFonts w:eastAsia="方正仿宋_GBK" w:hint="eastAsia"/>
          <w:szCs w:val="32"/>
        </w:rPr>
        <w:t>个</w:t>
      </w:r>
      <w:r>
        <w:rPr>
          <w:rFonts w:eastAsia="方正仿宋_GBK"/>
          <w:szCs w:val="32"/>
        </w:rPr>
        <w:t>，</w:t>
      </w:r>
      <w:r>
        <w:rPr>
          <w:rFonts w:eastAsia="方正仿宋_GBK" w:hint="eastAsia"/>
          <w:szCs w:val="32"/>
        </w:rPr>
        <w:t>涉及</w:t>
      </w:r>
      <w:r>
        <w:rPr>
          <w:rFonts w:eastAsia="方正仿宋_GBK"/>
          <w:szCs w:val="32"/>
        </w:rPr>
        <w:t>违规</w:t>
      </w:r>
      <w:r>
        <w:rPr>
          <w:rFonts w:eastAsia="方正仿宋_GBK" w:hint="eastAsia"/>
          <w:szCs w:val="32"/>
        </w:rPr>
        <w:t>且</w:t>
      </w:r>
      <w:r>
        <w:rPr>
          <w:rFonts w:eastAsia="方正仿宋_GBK"/>
          <w:szCs w:val="32"/>
        </w:rPr>
        <w:t>应</w:t>
      </w:r>
      <w:r>
        <w:rPr>
          <w:rFonts w:eastAsia="方正仿宋_GBK" w:hint="eastAsia"/>
          <w:szCs w:val="32"/>
        </w:rPr>
        <w:t>上缴</w:t>
      </w:r>
      <w:r>
        <w:rPr>
          <w:rFonts w:eastAsia="方正仿宋_GBK"/>
          <w:szCs w:val="32"/>
        </w:rPr>
        <w:t>财政资金</w:t>
      </w:r>
      <w:r>
        <w:rPr>
          <w:rFonts w:eastAsia="方正仿宋_GBK" w:hint="eastAsia"/>
          <w:szCs w:val="32"/>
        </w:rPr>
        <w:t>12503</w:t>
      </w:r>
      <w:r>
        <w:rPr>
          <w:rFonts w:eastAsia="方正仿宋_GBK" w:hint="eastAsia"/>
          <w:szCs w:val="32"/>
        </w:rPr>
        <w:t>万</w:t>
      </w:r>
      <w:r>
        <w:rPr>
          <w:rFonts w:eastAsia="方正仿宋_GBK"/>
          <w:szCs w:val="32"/>
        </w:rPr>
        <w:t>元，核减投资额</w:t>
      </w:r>
      <w:r>
        <w:rPr>
          <w:rFonts w:eastAsia="方正仿宋_GBK" w:hint="eastAsia"/>
          <w:szCs w:val="32"/>
        </w:rPr>
        <w:t>726</w:t>
      </w:r>
      <w:r>
        <w:rPr>
          <w:rFonts w:eastAsia="方正仿宋_GBK"/>
          <w:szCs w:val="32"/>
        </w:rPr>
        <w:t>万元</w:t>
      </w:r>
      <w:r>
        <w:rPr>
          <w:rFonts w:eastAsia="方正仿宋_GBK" w:hint="eastAsia"/>
          <w:szCs w:val="32"/>
        </w:rPr>
        <w:t>。</w:t>
      </w:r>
      <w:r>
        <w:rPr>
          <w:rFonts w:eastAsia="方正仿宋_GBK"/>
          <w:szCs w:val="32"/>
        </w:rPr>
        <w:t>移送司法机关、纪检监察机关和有关部门处理事项</w:t>
      </w:r>
      <w:r>
        <w:rPr>
          <w:rFonts w:eastAsia="方正仿宋_GBK" w:hint="eastAsia"/>
          <w:szCs w:val="32"/>
        </w:rPr>
        <w:t>19</w:t>
      </w:r>
      <w:r>
        <w:rPr>
          <w:rFonts w:eastAsia="方正仿宋_GBK" w:hint="eastAsia"/>
          <w:szCs w:val="32"/>
        </w:rPr>
        <w:t>件，涉及</w:t>
      </w:r>
      <w:r>
        <w:rPr>
          <w:rFonts w:eastAsia="方正仿宋_GBK"/>
          <w:szCs w:val="32"/>
        </w:rPr>
        <w:t>金额</w:t>
      </w:r>
      <w:r>
        <w:rPr>
          <w:rFonts w:eastAsia="方正仿宋_GBK" w:hint="eastAsia"/>
          <w:szCs w:val="32"/>
        </w:rPr>
        <w:t>293</w:t>
      </w:r>
      <w:r>
        <w:rPr>
          <w:rFonts w:eastAsia="方正仿宋_GBK"/>
          <w:szCs w:val="32"/>
        </w:rPr>
        <w:t>万元</w:t>
      </w:r>
      <w:r>
        <w:rPr>
          <w:rFonts w:eastAsia="方正仿宋_GBK" w:hint="eastAsia"/>
          <w:szCs w:val="32"/>
        </w:rPr>
        <w:t>。提出</w:t>
      </w:r>
      <w:r>
        <w:rPr>
          <w:rFonts w:eastAsia="方正仿宋_GBK"/>
          <w:szCs w:val="32"/>
        </w:rPr>
        <w:t>审计建议</w:t>
      </w:r>
      <w:r>
        <w:rPr>
          <w:rFonts w:eastAsia="方正仿宋_GBK" w:hint="eastAsia"/>
          <w:szCs w:val="32"/>
        </w:rPr>
        <w:t>106</w:t>
      </w:r>
      <w:r>
        <w:rPr>
          <w:rFonts w:eastAsia="方正仿宋_GBK" w:hint="eastAsia"/>
          <w:szCs w:val="32"/>
        </w:rPr>
        <w:t>条</w:t>
      </w:r>
      <w:r>
        <w:rPr>
          <w:rFonts w:eastAsia="方正仿宋_GBK"/>
          <w:szCs w:val="32"/>
        </w:rPr>
        <w:t>，</w:t>
      </w:r>
      <w:r>
        <w:rPr>
          <w:rFonts w:eastAsia="方正仿宋_GBK" w:hint="eastAsia"/>
          <w:szCs w:val="32"/>
        </w:rPr>
        <w:t>均</w:t>
      </w:r>
      <w:r>
        <w:rPr>
          <w:rFonts w:eastAsia="方正仿宋_GBK"/>
          <w:szCs w:val="32"/>
        </w:rPr>
        <w:t>被被审计单位采纳。</w:t>
      </w:r>
    </w:p>
    <w:p w:rsidR="00E46185" w:rsidRDefault="00E46185" w:rsidP="00E46185">
      <w:pPr>
        <w:pStyle w:val="Style25"/>
        <w:adjustRightInd w:val="0"/>
        <w:snapToGrid w:val="0"/>
        <w:spacing w:after="0" w:line="560" w:lineRule="exact"/>
        <w:ind w:leftChars="0" w:left="0" w:firstLineChars="0" w:firstLine="636"/>
        <w:rPr>
          <w:rFonts w:ascii="方正黑体_GBK" w:eastAsia="方正黑体_GBK"/>
          <w:szCs w:val="32"/>
        </w:rPr>
      </w:pPr>
      <w:r>
        <w:rPr>
          <w:rFonts w:ascii="方正黑体_GBK" w:eastAsia="方正黑体_GBK" w:hint="eastAsia"/>
          <w:szCs w:val="32"/>
        </w:rPr>
        <w:lastRenderedPageBreak/>
        <w:t>六</w:t>
      </w:r>
      <w:r>
        <w:rPr>
          <w:rFonts w:ascii="方正黑体_GBK" w:eastAsia="方正黑体_GBK"/>
          <w:szCs w:val="32"/>
        </w:rPr>
        <w:t>、审计建议</w:t>
      </w:r>
    </w:p>
    <w:p w:rsidR="00E46185" w:rsidRDefault="00E46185" w:rsidP="00E46185">
      <w:pPr>
        <w:adjustRightInd w:val="0"/>
        <w:snapToGrid w:val="0"/>
        <w:spacing w:line="560" w:lineRule="exact"/>
        <w:ind w:firstLineChars="200" w:firstLine="640"/>
        <w:rPr>
          <w:rFonts w:eastAsia="方正仿宋_GBK"/>
          <w:szCs w:val="32"/>
        </w:rPr>
      </w:pPr>
      <w:r>
        <w:rPr>
          <w:rFonts w:ascii="方正楷体_GBK" w:eastAsia="方正楷体_GBK" w:hAnsi="方正楷体_GBK" w:cs="方正楷体_GBK" w:hint="eastAsia"/>
          <w:szCs w:val="32"/>
        </w:rPr>
        <w:t>（一）强化财政收支统筹，筑牢可持续发展根基。</w:t>
      </w:r>
      <w:r>
        <w:rPr>
          <w:rFonts w:eastAsia="方正仿宋_GBK" w:hint="eastAsia"/>
          <w:szCs w:val="32"/>
        </w:rPr>
        <w:t>统筹收入管理与支出结构优化，加强税源培育，盘活国有资产、资源，加大上级资金争取力度，挖掘增收潜力，加大上年补助收入和结转结余资金统筹力度，集中财力保重点提绩效。牢固树立过“紧日子”思想，压减一般性支出，兜牢“三保”底线，优化预算分配科学性。强化债务风险管控，坚守红线，严禁新增隐性债务。通过硬化预算约束、严肃财经纪律，提升财政资金使用规范性和安全性，夯实财政可持续发展基础。</w:t>
      </w:r>
    </w:p>
    <w:p w:rsidR="00E46185" w:rsidRDefault="00E46185" w:rsidP="00E46185">
      <w:pPr>
        <w:adjustRightInd w:val="0"/>
        <w:snapToGrid w:val="0"/>
        <w:spacing w:line="560" w:lineRule="exact"/>
        <w:ind w:firstLineChars="200" w:firstLine="640"/>
        <w:rPr>
          <w:rFonts w:eastAsia="方正仿宋_GBK"/>
          <w:szCs w:val="32"/>
        </w:rPr>
      </w:pPr>
      <w:r>
        <w:rPr>
          <w:rFonts w:ascii="方正楷体_GBK" w:eastAsia="方正楷体_GBK" w:hAnsi="方正楷体_GBK" w:cs="方正楷体_GBK" w:hint="eastAsia"/>
          <w:szCs w:val="32"/>
        </w:rPr>
        <w:t>（二）深化预算绩效管理，提升资金使用效益。</w:t>
      </w:r>
      <w:r>
        <w:rPr>
          <w:rFonts w:eastAsia="方正仿宋_GBK" w:hint="eastAsia"/>
          <w:szCs w:val="32"/>
        </w:rPr>
        <w:t>细化预算编制，做实绩效评价体系，强化专项资金全流程监督。持续加大民生投入，通过绩效导向优化资源配置，确保财政资金向重点领域和民生项目倾斜。推动预算编制与绩效管理深度融合，突出预算绩效评估，提升绩效目标质量，加强绩效评价结果运用，以科学评价机制倒逼部门提升资金使用效能。</w:t>
      </w:r>
    </w:p>
    <w:p w:rsidR="00E46185" w:rsidRDefault="00E46185" w:rsidP="00E46185">
      <w:pPr>
        <w:adjustRightInd w:val="0"/>
        <w:snapToGrid w:val="0"/>
        <w:spacing w:line="560" w:lineRule="exact"/>
        <w:ind w:firstLineChars="200" w:firstLine="640"/>
        <w:rPr>
          <w:rFonts w:eastAsia="方正仿宋_GBK"/>
          <w:szCs w:val="32"/>
        </w:rPr>
      </w:pPr>
      <w:r>
        <w:rPr>
          <w:rFonts w:ascii="方正楷体_GBK" w:eastAsia="方正楷体_GBK" w:hAnsi="方正楷体_GBK" w:cs="方正楷体_GBK" w:hint="eastAsia"/>
          <w:szCs w:val="32"/>
        </w:rPr>
        <w:t>（三）加强公共投资监管，保障项目高效运行。</w:t>
      </w:r>
      <w:r>
        <w:rPr>
          <w:rFonts w:eastAsia="方正仿宋_GBK" w:hint="eastAsia"/>
          <w:szCs w:val="32"/>
        </w:rPr>
        <w:t>规范国有投资项目全周期管理，严格执行基本建设程序，落实参建单位主体责任和职能</w:t>
      </w:r>
      <w:r>
        <w:rPr>
          <w:rFonts w:eastAsia="方正仿宋_GBK"/>
          <w:szCs w:val="32"/>
        </w:rPr>
        <w:t>部门</w:t>
      </w:r>
      <w:r>
        <w:rPr>
          <w:rFonts w:eastAsia="方正仿宋_GBK" w:hint="eastAsia"/>
          <w:szCs w:val="32"/>
        </w:rPr>
        <w:t>监管职责。强化项目前期调研和过程控制，严格落实工程变更审批与造价全过程管控，加强合同履行监管和竣工档案审核，确保项目按质按期推进。通过明确管理人员职责、加强必要性审查，防范投资风险，最大限度发挥国有建设资金使用效益。</w:t>
      </w:r>
    </w:p>
    <w:p w:rsidR="00E46185" w:rsidRDefault="00E46185" w:rsidP="00E46185">
      <w:pPr>
        <w:adjustRightInd w:val="0"/>
        <w:snapToGrid w:val="0"/>
        <w:spacing w:line="560" w:lineRule="exact"/>
        <w:ind w:firstLineChars="200" w:firstLine="640"/>
      </w:pPr>
      <w:r>
        <w:rPr>
          <w:rFonts w:ascii="方正楷体_GBK" w:eastAsia="方正楷体_GBK" w:hAnsi="方正楷体_GBK" w:cs="方正楷体_GBK" w:hint="eastAsia"/>
          <w:szCs w:val="32"/>
        </w:rPr>
        <w:lastRenderedPageBreak/>
        <w:t>（四）聚焦政策赋能和民生福祉，助推经济社会高质量发展。</w:t>
      </w:r>
      <w:r>
        <w:rPr>
          <w:rFonts w:eastAsia="方正仿宋_GBK" w:hint="eastAsia"/>
          <w:szCs w:val="32"/>
        </w:rPr>
        <w:t>紧扣国家战略导向，以政策落地为抓手优化营商环境，落实落细推动制造业高质量发展有关要求，有效推动智能化改造和数字化转型，科学运用财政资金杠杆作用，引导社会资本投向重点领域，培育经济新动能，实现财政金融扶持政策与产业发展的协同共振。加大保障和改善民生力度，持续关注、及时纠治殡葬领域管理、医疗机构运营、城镇老旧小区改造和“无废城市”建设现存问题和潜在风险，靶向发力守护民生底线，提升社会治理效能。</w:t>
      </w:r>
    </w:p>
    <w:p w:rsidR="00E46185" w:rsidRDefault="00E46185" w:rsidP="00E46185">
      <w:pPr>
        <w:adjustRightInd w:val="0"/>
        <w:snapToGrid w:val="0"/>
        <w:spacing w:line="560" w:lineRule="exact"/>
        <w:ind w:firstLineChars="200" w:firstLine="640"/>
        <w:rPr>
          <w:rFonts w:eastAsia="方正仿宋_GBK"/>
          <w:szCs w:val="32"/>
        </w:rPr>
      </w:pPr>
      <w:r>
        <w:rPr>
          <w:rFonts w:eastAsia="方正仿宋_GBK"/>
          <w:szCs w:val="32"/>
        </w:rPr>
        <w:t>本报告反映的是区级预算执行和其他财政收支审计查出的主要问题，对这些问题，区审计局依法征求了被审计单位意见，出具了审计报告、下达了审计决定；对重大违纪违法问题线索，依纪依法移送有关部门进一步查处。有关部门正在积极整改，区审计局将跟踪督促，年底前向区人大常委会报告全面整改情况。</w:t>
      </w:r>
    </w:p>
    <w:p w:rsidR="00E46185" w:rsidRDefault="00E46185" w:rsidP="00E46185">
      <w:pPr>
        <w:spacing w:line="560" w:lineRule="exact"/>
        <w:ind w:firstLineChars="200" w:firstLine="640"/>
        <w:rPr>
          <w:rFonts w:eastAsia="方正仿宋_GBK"/>
          <w:szCs w:val="32"/>
        </w:rPr>
      </w:pPr>
      <w:r>
        <w:rPr>
          <w:rFonts w:eastAsia="方正仿宋_GBK"/>
          <w:szCs w:val="32"/>
        </w:rPr>
        <w:t>主任、各位副主任、各位委员：</w:t>
      </w:r>
      <w:r>
        <w:rPr>
          <w:rFonts w:eastAsia="方正仿宋_GBK"/>
          <w:szCs w:val="32"/>
        </w:rPr>
        <w:t>202</w:t>
      </w:r>
      <w:r>
        <w:rPr>
          <w:rFonts w:eastAsia="方正仿宋_GBK" w:hint="eastAsia"/>
          <w:szCs w:val="32"/>
        </w:rPr>
        <w:t>4</w:t>
      </w:r>
      <w:r>
        <w:rPr>
          <w:rFonts w:eastAsia="方正仿宋_GBK"/>
          <w:szCs w:val="32"/>
        </w:rPr>
        <w:t>年是</w:t>
      </w:r>
      <w:r>
        <w:rPr>
          <w:rFonts w:eastAsia="方正仿宋_GBK" w:hint="eastAsia"/>
          <w:szCs w:val="32"/>
        </w:rPr>
        <w:t>“十四五”规划收官之年。</w:t>
      </w:r>
      <w:r>
        <w:rPr>
          <w:rFonts w:eastAsia="方正仿宋_GBK"/>
          <w:szCs w:val="32"/>
        </w:rPr>
        <w:t>我们将更加紧密地团结在以习近平同志为核心的党中央周围，</w:t>
      </w:r>
      <w:r>
        <w:rPr>
          <w:rFonts w:eastAsia="方正仿宋_GBK" w:hint="eastAsia"/>
          <w:szCs w:val="32"/>
        </w:rPr>
        <w:t>坚持</w:t>
      </w:r>
      <w:r>
        <w:rPr>
          <w:rFonts w:eastAsia="方正仿宋_GBK"/>
          <w:szCs w:val="32"/>
        </w:rPr>
        <w:t>以习近平新时代中国特色社会主义思想为指导，</w:t>
      </w:r>
      <w:r>
        <w:rPr>
          <w:rFonts w:eastAsia="方正仿宋_GBK" w:hint="eastAsia"/>
          <w:szCs w:val="32"/>
        </w:rPr>
        <w:t>深刻领悟“两个确立”的决定性意义，增强“四个意识”、坚定“四个自信”、做到“两个维护”，</w:t>
      </w:r>
      <w:r>
        <w:rPr>
          <w:rFonts w:eastAsia="方正仿宋_GBK"/>
          <w:szCs w:val="32"/>
        </w:rPr>
        <w:t>在市委、市政府和区委的坚强领导下，在区人大及其常委会的监督支持下，</w:t>
      </w:r>
      <w:r>
        <w:rPr>
          <w:rFonts w:eastAsia="方正仿宋_GBK" w:hint="eastAsia"/>
          <w:szCs w:val="32"/>
        </w:rPr>
        <w:t>科学规范开展审计工作，为以高质量审计监督护航现代化新重庆建设作出更大北碚贡献！</w:t>
      </w:r>
    </w:p>
    <w:p w:rsidR="00A92E35" w:rsidRPr="00E46185" w:rsidRDefault="00A92E35" w:rsidP="00E46185"/>
    <w:sectPr w:rsidR="00A92E35" w:rsidRPr="00E46185" w:rsidSect="00E46185">
      <w:footerReference w:type="even" r:id="rId7"/>
      <w:footerReference w:type="default" r:id="rId8"/>
      <w:pgSz w:w="11906" w:h="16838"/>
      <w:pgMar w:top="2098" w:right="1474" w:bottom="1985" w:left="1588" w:header="1417" w:footer="1417"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BA" w:rsidRDefault="00D138BA">
      <w:r>
        <w:separator/>
      </w:r>
    </w:p>
  </w:endnote>
  <w:endnote w:type="continuationSeparator" w:id="0">
    <w:p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charset w:val="00"/>
    <w:family w:val="swiss"/>
    <w:pitch w:val="variable"/>
    <w:sig w:usb0="E1002EFF" w:usb1="C000605B" w:usb2="00000029" w:usb3="00000000" w:csb0="000101FF" w:csb1="00000000"/>
  </w:font>
  <w:font w:name="方正仿宋_GBK">
    <w:charset w:val="86"/>
    <w:family w:val="script"/>
    <w:pitch w:val="fixed"/>
    <w:sig w:usb0="00000001" w:usb1="080E0000" w:usb2="00000010" w:usb3="00000000" w:csb0="00040000" w:csb1="00000000"/>
    <w:embedRegular r:id="rId1" w:subsetted="1" w:fontKey="{4C3EE911-20AF-46AF-951C-1B0C646935CE}"/>
    <w:embedBold r:id="rId2" w:subsetted="1" w:fontKey="{5666286F-99A1-469B-9545-76E2763F1C59}"/>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embedRegular r:id="rId3" w:subsetted="1" w:fontKey="{62B382CA-603C-4EDE-8B1C-7031FBE88937}"/>
  </w:font>
  <w:font w:name="方正楷体_GBK">
    <w:charset w:val="86"/>
    <w:family w:val="script"/>
    <w:pitch w:val="fixed"/>
    <w:sig w:usb0="00000001" w:usb1="080E0000" w:usb2="00000010" w:usb3="00000000" w:csb0="00040000" w:csb1="00000000"/>
    <w:embedRegular r:id="rId4" w:subsetted="1" w:fontKey="{BDEBBEEB-4657-4E44-9F75-6A2C8F4B5CEC}"/>
  </w:font>
  <w:font w:name="方正黑体_GBK">
    <w:charset w:val="86"/>
    <w:family w:val="script"/>
    <w:pitch w:val="fixed"/>
    <w:sig w:usb0="00000001" w:usb1="080E0000" w:usb2="00000010" w:usb3="00000000" w:csb0="00040000" w:csb1="00000000"/>
    <w:embedRegular r:id="rId5" w:subsetted="1" w:fontKey="{586F1DEE-3F3A-441A-ABEB-183A99910197}"/>
  </w:font>
  <w:font w:name="Calibri Light">
    <w:charset w:val="00"/>
    <w:family w:val="swiss"/>
    <w:pitch w:val="variable"/>
    <w:sig w:usb0="A00002EF" w:usb1="4000207B" w:usb2="00000000" w:usb3="00000000" w:csb0="0000019F" w:csb1="00000000"/>
  </w:font>
  <w:font w:name="Calibri">
    <w:altName w:val="DejaVu Sans"/>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35" w:rsidRDefault="0056659B">
    <w:pPr>
      <w:pStyle w:val="a8"/>
      <w:ind w:firstLineChars="100" w:firstLine="280"/>
    </w:pPr>
    <w:r>
      <w:rPr>
        <w:rFonts w:ascii="宋体" w:hAnsi="宋体"/>
        <w:sz w:val="28"/>
        <w:szCs w:val="28"/>
      </w:rPr>
      <w:t xml:space="preserve">— </w:t>
    </w:r>
    <w:sdt>
      <w:sdtPr>
        <w:rPr>
          <w:rFonts w:ascii="宋体" w:hAnsi="宋体"/>
          <w:sz w:val="28"/>
          <w:szCs w:val="28"/>
        </w:rPr>
        <w:id w:val="-168188903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46185" w:rsidRPr="00E46185">
          <w:rPr>
            <w:rFonts w:ascii="宋体" w:hAnsi="宋体"/>
            <w:noProof/>
            <w:sz w:val="28"/>
            <w:szCs w:val="28"/>
            <w:lang w:val="zh-CN"/>
          </w:rPr>
          <w:t>12</w:t>
        </w:r>
        <w:r>
          <w:rPr>
            <w:rFonts w:ascii="宋体" w:hAnsi="宋体"/>
            <w:sz w:val="28"/>
            <w:szCs w:val="28"/>
          </w:rPr>
          <w:fldChar w:fldCharType="end"/>
        </w:r>
      </w:sdtContent>
    </w:sdt>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35" w:rsidRDefault="0056659B">
    <w:pPr>
      <w:pStyle w:val="a8"/>
      <w:wordWrap w:val="0"/>
      <w:jc w:val="right"/>
      <w:rPr>
        <w:rFonts w:ascii="宋体" w:hAnsi="宋体"/>
        <w:sz w:val="28"/>
        <w:szCs w:val="28"/>
      </w:rPr>
    </w:pPr>
    <w:r>
      <w:rPr>
        <w:rFonts w:ascii="宋体" w:hAnsi="宋体"/>
        <w:sz w:val="28"/>
        <w:szCs w:val="28"/>
      </w:rPr>
      <w:t xml:space="preserve">— </w:t>
    </w:r>
    <w:sdt>
      <w:sdtPr>
        <w:rPr>
          <w:rFonts w:ascii="宋体" w:hAnsi="宋体"/>
          <w:sz w:val="28"/>
          <w:szCs w:val="28"/>
        </w:rPr>
        <w:id w:val="-2074428061"/>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46185" w:rsidRPr="00E46185">
          <w:rPr>
            <w:rFonts w:ascii="宋体" w:hAnsi="宋体"/>
            <w:noProof/>
            <w:sz w:val="28"/>
            <w:szCs w:val="28"/>
            <w:lang w:val="zh-CN"/>
          </w:rPr>
          <w:t>13</w:t>
        </w:r>
        <w:r>
          <w:rPr>
            <w:rFonts w:ascii="宋体" w:hAnsi="宋体"/>
            <w:sz w:val="28"/>
            <w:szCs w:val="28"/>
          </w:rPr>
          <w:fldChar w:fldCharType="end"/>
        </w:r>
      </w:sdtContent>
    </w:sdt>
    <w:r>
      <w:rPr>
        <w:rFonts w:ascii="宋体" w:hAnsi="宋体"/>
        <w:sz w:val="28"/>
        <w:szCs w:val="28"/>
      </w:rPr>
      <w:t xml:space="preserve"> —</w:t>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BA" w:rsidRDefault="00D138BA">
      <w:r>
        <w:separator/>
      </w:r>
    </w:p>
  </w:footnote>
  <w:footnote w:type="continuationSeparator" w:id="0">
    <w:p w:rsidR="00D138BA" w:rsidRDefault="00D13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hideSpellingErrors/>
  <w:defaultTabStop w:val="420"/>
  <w:evenAndOddHeaders/>
  <w:drawingGridHorizontalSpacing w:val="160"/>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F3"/>
    <w:rsid w:val="97F7FA79"/>
    <w:rsid w:val="99BB876E"/>
    <w:rsid w:val="9AC01795"/>
    <w:rsid w:val="9CFC4A78"/>
    <w:rsid w:val="9F6B50A6"/>
    <w:rsid w:val="A31B3A48"/>
    <w:rsid w:val="A57ADABE"/>
    <w:rsid w:val="A6F7EF56"/>
    <w:rsid w:val="A7FB4027"/>
    <w:rsid w:val="A7FBEC92"/>
    <w:rsid w:val="AAFD0B44"/>
    <w:rsid w:val="AEFAA8B0"/>
    <w:rsid w:val="AFEEE81E"/>
    <w:rsid w:val="AFFBABE3"/>
    <w:rsid w:val="AFFE8CF2"/>
    <w:rsid w:val="B6FF4CE9"/>
    <w:rsid w:val="B8FBF6CF"/>
    <w:rsid w:val="B8FCD63E"/>
    <w:rsid w:val="B9B99824"/>
    <w:rsid w:val="BA7D9CB8"/>
    <w:rsid w:val="BBD58C19"/>
    <w:rsid w:val="BDD09290"/>
    <w:rsid w:val="BDEAAD41"/>
    <w:rsid w:val="BDF6E98F"/>
    <w:rsid w:val="BDFD8667"/>
    <w:rsid w:val="BE3E8038"/>
    <w:rsid w:val="BE9DA6B9"/>
    <w:rsid w:val="BEF60441"/>
    <w:rsid w:val="BEFB3F98"/>
    <w:rsid w:val="BF461255"/>
    <w:rsid w:val="BF70893C"/>
    <w:rsid w:val="BF7EAF12"/>
    <w:rsid w:val="BF7FA081"/>
    <w:rsid w:val="BF9FF0A1"/>
    <w:rsid w:val="BFBFCDB6"/>
    <w:rsid w:val="BFEE0897"/>
    <w:rsid w:val="BFFB4B37"/>
    <w:rsid w:val="BFFF6A9A"/>
    <w:rsid w:val="C77D5603"/>
    <w:rsid w:val="C7CB9BCA"/>
    <w:rsid w:val="C9EA3A84"/>
    <w:rsid w:val="CC796FCA"/>
    <w:rsid w:val="CEFF3113"/>
    <w:rsid w:val="CFB7496B"/>
    <w:rsid w:val="D6BE9367"/>
    <w:rsid w:val="D6CD3A99"/>
    <w:rsid w:val="D71F33E0"/>
    <w:rsid w:val="D77DE6C0"/>
    <w:rsid w:val="D7FBCA82"/>
    <w:rsid w:val="D7FF76DD"/>
    <w:rsid w:val="DAF63A69"/>
    <w:rsid w:val="DBBC3ABF"/>
    <w:rsid w:val="DD6DD1E9"/>
    <w:rsid w:val="DEDF40E7"/>
    <w:rsid w:val="DEFC280B"/>
    <w:rsid w:val="DF37ABFB"/>
    <w:rsid w:val="DF7BF2D4"/>
    <w:rsid w:val="DF7DA10C"/>
    <w:rsid w:val="DF7FF9D6"/>
    <w:rsid w:val="DF9AD628"/>
    <w:rsid w:val="DFCE23CB"/>
    <w:rsid w:val="DFFB44C3"/>
    <w:rsid w:val="DFFB5696"/>
    <w:rsid w:val="DFFE25C0"/>
    <w:rsid w:val="E3B39611"/>
    <w:rsid w:val="E54F807A"/>
    <w:rsid w:val="E55B839F"/>
    <w:rsid w:val="E63D21A0"/>
    <w:rsid w:val="E8F3F1A4"/>
    <w:rsid w:val="EA3F5FCB"/>
    <w:rsid w:val="EB7FC31C"/>
    <w:rsid w:val="EBC91C5C"/>
    <w:rsid w:val="EBF5EE03"/>
    <w:rsid w:val="EBFAA1DA"/>
    <w:rsid w:val="ECCF6367"/>
    <w:rsid w:val="ED7F6251"/>
    <w:rsid w:val="EDE77027"/>
    <w:rsid w:val="EE7614BA"/>
    <w:rsid w:val="EE7FF405"/>
    <w:rsid w:val="EEB57654"/>
    <w:rsid w:val="EF65BB2C"/>
    <w:rsid w:val="EFA9C45E"/>
    <w:rsid w:val="EFBF0CDC"/>
    <w:rsid w:val="EFDF0931"/>
    <w:rsid w:val="F0FF4967"/>
    <w:rsid w:val="F3DF9CF7"/>
    <w:rsid w:val="F44DCE0A"/>
    <w:rsid w:val="F5DB1621"/>
    <w:rsid w:val="F5F7F560"/>
    <w:rsid w:val="F6BF7D05"/>
    <w:rsid w:val="F7AFEBE2"/>
    <w:rsid w:val="F7B743B5"/>
    <w:rsid w:val="F7BBCDD5"/>
    <w:rsid w:val="F7BD02D9"/>
    <w:rsid w:val="F7EE4650"/>
    <w:rsid w:val="F7EF2CF8"/>
    <w:rsid w:val="F7EF8A78"/>
    <w:rsid w:val="F7F7E00F"/>
    <w:rsid w:val="F7FFBE1A"/>
    <w:rsid w:val="F86F60BF"/>
    <w:rsid w:val="F8D3EE50"/>
    <w:rsid w:val="F957B69A"/>
    <w:rsid w:val="F99F8D1F"/>
    <w:rsid w:val="F9DB2656"/>
    <w:rsid w:val="F9FB736F"/>
    <w:rsid w:val="F9FF4464"/>
    <w:rsid w:val="FA7DFFC2"/>
    <w:rsid w:val="FB6B3490"/>
    <w:rsid w:val="FBBBB81A"/>
    <w:rsid w:val="FBBD7816"/>
    <w:rsid w:val="FBFF3842"/>
    <w:rsid w:val="FC5D8DCD"/>
    <w:rsid w:val="FD5078F0"/>
    <w:rsid w:val="FD675407"/>
    <w:rsid w:val="FD9F44AF"/>
    <w:rsid w:val="FDD6F9CB"/>
    <w:rsid w:val="FDDBCD8A"/>
    <w:rsid w:val="FDDF6FF5"/>
    <w:rsid w:val="FDEB190D"/>
    <w:rsid w:val="FDFCDD77"/>
    <w:rsid w:val="FE7B0197"/>
    <w:rsid w:val="FE7F12B6"/>
    <w:rsid w:val="FEAD697E"/>
    <w:rsid w:val="FEBD7EAF"/>
    <w:rsid w:val="FED76A6C"/>
    <w:rsid w:val="FEDE9671"/>
    <w:rsid w:val="FEE78DC0"/>
    <w:rsid w:val="FEFE25E3"/>
    <w:rsid w:val="FEFEA3F3"/>
    <w:rsid w:val="FF7F6D31"/>
    <w:rsid w:val="FF7F8CC6"/>
    <w:rsid w:val="FF975309"/>
    <w:rsid w:val="FF97C28E"/>
    <w:rsid w:val="FF98C49C"/>
    <w:rsid w:val="FFBBDED0"/>
    <w:rsid w:val="FFBF955C"/>
    <w:rsid w:val="FFBFA964"/>
    <w:rsid w:val="FFDDA88C"/>
    <w:rsid w:val="FFDF14AD"/>
    <w:rsid w:val="FFE36B8E"/>
    <w:rsid w:val="FFEE908D"/>
    <w:rsid w:val="FFEF3AEA"/>
    <w:rsid w:val="FFEFDB76"/>
    <w:rsid w:val="FFF38B01"/>
    <w:rsid w:val="FFF7FE81"/>
    <w:rsid w:val="FFFB2F00"/>
    <w:rsid w:val="FFFF0EEA"/>
    <w:rsid w:val="FFFF4E14"/>
    <w:rsid w:val="FFFFD216"/>
    <w:rsid w:val="FFFFFCB5"/>
    <w:rsid w:val="000030FB"/>
    <w:rsid w:val="0002460A"/>
    <w:rsid w:val="00061D60"/>
    <w:rsid w:val="000720D3"/>
    <w:rsid w:val="00072446"/>
    <w:rsid w:val="00077EA9"/>
    <w:rsid w:val="00084660"/>
    <w:rsid w:val="000B03DB"/>
    <w:rsid w:val="000C2063"/>
    <w:rsid w:val="000D4B0B"/>
    <w:rsid w:val="000E610A"/>
    <w:rsid w:val="000F71EC"/>
    <w:rsid w:val="00175011"/>
    <w:rsid w:val="0026587C"/>
    <w:rsid w:val="00286FF4"/>
    <w:rsid w:val="00287967"/>
    <w:rsid w:val="002D6F7C"/>
    <w:rsid w:val="00355D62"/>
    <w:rsid w:val="003C0636"/>
    <w:rsid w:val="003D0570"/>
    <w:rsid w:val="003D1CDC"/>
    <w:rsid w:val="003D2883"/>
    <w:rsid w:val="00433DEF"/>
    <w:rsid w:val="0043775D"/>
    <w:rsid w:val="0047591F"/>
    <w:rsid w:val="00487169"/>
    <w:rsid w:val="004A37E5"/>
    <w:rsid w:val="004C3A11"/>
    <w:rsid w:val="004D778A"/>
    <w:rsid w:val="004F5F6D"/>
    <w:rsid w:val="00523D15"/>
    <w:rsid w:val="00524298"/>
    <w:rsid w:val="00530DC5"/>
    <w:rsid w:val="00531ACB"/>
    <w:rsid w:val="0056659B"/>
    <w:rsid w:val="005B73F3"/>
    <w:rsid w:val="005E697C"/>
    <w:rsid w:val="00604F8B"/>
    <w:rsid w:val="0060584A"/>
    <w:rsid w:val="0061770D"/>
    <w:rsid w:val="00622A31"/>
    <w:rsid w:val="006D2A98"/>
    <w:rsid w:val="00772992"/>
    <w:rsid w:val="00796850"/>
    <w:rsid w:val="007F50DB"/>
    <w:rsid w:val="008A1F08"/>
    <w:rsid w:val="008E2519"/>
    <w:rsid w:val="00904D62"/>
    <w:rsid w:val="009420B6"/>
    <w:rsid w:val="00965F41"/>
    <w:rsid w:val="009760AD"/>
    <w:rsid w:val="009875C7"/>
    <w:rsid w:val="00A43C92"/>
    <w:rsid w:val="00A46C28"/>
    <w:rsid w:val="00A66F86"/>
    <w:rsid w:val="00A92E35"/>
    <w:rsid w:val="00AE342A"/>
    <w:rsid w:val="00AE5C92"/>
    <w:rsid w:val="00AF6BFD"/>
    <w:rsid w:val="00B42C5A"/>
    <w:rsid w:val="00B70143"/>
    <w:rsid w:val="00B86679"/>
    <w:rsid w:val="00B925D9"/>
    <w:rsid w:val="00BA0F64"/>
    <w:rsid w:val="00BF7457"/>
    <w:rsid w:val="00C07735"/>
    <w:rsid w:val="00C367BE"/>
    <w:rsid w:val="00C72193"/>
    <w:rsid w:val="00CA4911"/>
    <w:rsid w:val="00D1362F"/>
    <w:rsid w:val="00D138BA"/>
    <w:rsid w:val="00D35A4F"/>
    <w:rsid w:val="00D77381"/>
    <w:rsid w:val="00DB1DF5"/>
    <w:rsid w:val="00DB5E58"/>
    <w:rsid w:val="00DD5B44"/>
    <w:rsid w:val="00DF295F"/>
    <w:rsid w:val="00E037DD"/>
    <w:rsid w:val="00E22EE6"/>
    <w:rsid w:val="00E3209B"/>
    <w:rsid w:val="00E46185"/>
    <w:rsid w:val="00EC5DFF"/>
    <w:rsid w:val="00EE39AE"/>
    <w:rsid w:val="00F65C58"/>
    <w:rsid w:val="00F80444"/>
    <w:rsid w:val="00FC2BC6"/>
    <w:rsid w:val="02AB3C57"/>
    <w:rsid w:val="0AC9CCA7"/>
    <w:rsid w:val="0D087C14"/>
    <w:rsid w:val="0DBDAA74"/>
    <w:rsid w:val="0FFCC051"/>
    <w:rsid w:val="12973056"/>
    <w:rsid w:val="17DDC7BA"/>
    <w:rsid w:val="1BF550FC"/>
    <w:rsid w:val="1EFB0D8D"/>
    <w:rsid w:val="1F2B2E73"/>
    <w:rsid w:val="1F3ADC0B"/>
    <w:rsid w:val="1FBB592A"/>
    <w:rsid w:val="233586E6"/>
    <w:rsid w:val="263920A0"/>
    <w:rsid w:val="2A04596B"/>
    <w:rsid w:val="2C2D7517"/>
    <w:rsid w:val="2DB70ECE"/>
    <w:rsid w:val="2FD9ECDB"/>
    <w:rsid w:val="2FEF1CDF"/>
    <w:rsid w:val="2FFEB44B"/>
    <w:rsid w:val="33ABF36C"/>
    <w:rsid w:val="35DF5ECA"/>
    <w:rsid w:val="3637816C"/>
    <w:rsid w:val="36C71DEE"/>
    <w:rsid w:val="37FFF2E3"/>
    <w:rsid w:val="39D905D5"/>
    <w:rsid w:val="3A2F10AE"/>
    <w:rsid w:val="3AFFD8E8"/>
    <w:rsid w:val="3BDF0B10"/>
    <w:rsid w:val="3BE7B6DE"/>
    <w:rsid w:val="3BFB068E"/>
    <w:rsid w:val="3D6FC134"/>
    <w:rsid w:val="3D7F2FC7"/>
    <w:rsid w:val="3DFECA5F"/>
    <w:rsid w:val="3EF3F252"/>
    <w:rsid w:val="3EFFB4F1"/>
    <w:rsid w:val="3F4251CD"/>
    <w:rsid w:val="3F48C745"/>
    <w:rsid w:val="3F8C3E33"/>
    <w:rsid w:val="3F9D84BD"/>
    <w:rsid w:val="3FDF3FC9"/>
    <w:rsid w:val="3FF14484"/>
    <w:rsid w:val="40396FEA"/>
    <w:rsid w:val="43961F4B"/>
    <w:rsid w:val="449FDA08"/>
    <w:rsid w:val="452E7CA6"/>
    <w:rsid w:val="4BD77B16"/>
    <w:rsid w:val="4DFFF928"/>
    <w:rsid w:val="4EE95E3E"/>
    <w:rsid w:val="4EEFAE0D"/>
    <w:rsid w:val="4F387B3B"/>
    <w:rsid w:val="4FBD1CC5"/>
    <w:rsid w:val="4FEE189E"/>
    <w:rsid w:val="4FFF7336"/>
    <w:rsid w:val="51DFF3C9"/>
    <w:rsid w:val="538111BB"/>
    <w:rsid w:val="53BF54CA"/>
    <w:rsid w:val="54134879"/>
    <w:rsid w:val="54DDB097"/>
    <w:rsid w:val="57BED52B"/>
    <w:rsid w:val="57CFE8DA"/>
    <w:rsid w:val="57E7450E"/>
    <w:rsid w:val="59FB5489"/>
    <w:rsid w:val="5AA980CB"/>
    <w:rsid w:val="5D55D5E3"/>
    <w:rsid w:val="5D7F50DA"/>
    <w:rsid w:val="5DD9BA54"/>
    <w:rsid w:val="5DFB6886"/>
    <w:rsid w:val="5DFE7902"/>
    <w:rsid w:val="5DFFC76D"/>
    <w:rsid w:val="5EDFA007"/>
    <w:rsid w:val="5EF37EA4"/>
    <w:rsid w:val="5EF6BECA"/>
    <w:rsid w:val="5EFE434A"/>
    <w:rsid w:val="5F1F6CD6"/>
    <w:rsid w:val="5F7F33BA"/>
    <w:rsid w:val="5FD0380C"/>
    <w:rsid w:val="5FE54469"/>
    <w:rsid w:val="5FEFD40F"/>
    <w:rsid w:val="5FFFC2AA"/>
    <w:rsid w:val="62BBF994"/>
    <w:rsid w:val="62FF8C26"/>
    <w:rsid w:val="6353A8DA"/>
    <w:rsid w:val="63C86DC4"/>
    <w:rsid w:val="64ED9074"/>
    <w:rsid w:val="64FF5868"/>
    <w:rsid w:val="677FBF15"/>
    <w:rsid w:val="67FDC5B8"/>
    <w:rsid w:val="68F818E5"/>
    <w:rsid w:val="696BA1AA"/>
    <w:rsid w:val="6B182A49"/>
    <w:rsid w:val="6C7F9869"/>
    <w:rsid w:val="6CCA32AD"/>
    <w:rsid w:val="6D58536B"/>
    <w:rsid w:val="6DE17E7E"/>
    <w:rsid w:val="6DFB4378"/>
    <w:rsid w:val="6E5D64DA"/>
    <w:rsid w:val="6EFF6CD8"/>
    <w:rsid w:val="6F2C33A8"/>
    <w:rsid w:val="6F3C5785"/>
    <w:rsid w:val="6F7ECCBC"/>
    <w:rsid w:val="6FB766E6"/>
    <w:rsid w:val="6FF9664F"/>
    <w:rsid w:val="6FFB5FB0"/>
    <w:rsid w:val="72D933BD"/>
    <w:rsid w:val="73AF12B9"/>
    <w:rsid w:val="73DD8378"/>
    <w:rsid w:val="73F5556B"/>
    <w:rsid w:val="75F854AF"/>
    <w:rsid w:val="75FE1BDD"/>
    <w:rsid w:val="766F4F78"/>
    <w:rsid w:val="76BF31C1"/>
    <w:rsid w:val="76CB64D4"/>
    <w:rsid w:val="77AD8EB4"/>
    <w:rsid w:val="77B6A1BA"/>
    <w:rsid w:val="77CB14EE"/>
    <w:rsid w:val="77D747C7"/>
    <w:rsid w:val="77DEA6C0"/>
    <w:rsid w:val="77EED39A"/>
    <w:rsid w:val="77FD745A"/>
    <w:rsid w:val="77FD8C14"/>
    <w:rsid w:val="79EBE667"/>
    <w:rsid w:val="79FD800A"/>
    <w:rsid w:val="7ABB25ED"/>
    <w:rsid w:val="7ABFD927"/>
    <w:rsid w:val="7AE7ABA3"/>
    <w:rsid w:val="7AE9908B"/>
    <w:rsid w:val="7AFD99C6"/>
    <w:rsid w:val="7B6AF373"/>
    <w:rsid w:val="7B7AB812"/>
    <w:rsid w:val="7BEFB8B6"/>
    <w:rsid w:val="7BF74AA2"/>
    <w:rsid w:val="7C312F0C"/>
    <w:rsid w:val="7C5D535A"/>
    <w:rsid w:val="7C6DF461"/>
    <w:rsid w:val="7C76A969"/>
    <w:rsid w:val="7CD5FAF8"/>
    <w:rsid w:val="7D50C389"/>
    <w:rsid w:val="7D6C118C"/>
    <w:rsid w:val="7DAEF389"/>
    <w:rsid w:val="7DD44A85"/>
    <w:rsid w:val="7DF15C14"/>
    <w:rsid w:val="7E4F4FF6"/>
    <w:rsid w:val="7E759C43"/>
    <w:rsid w:val="7E796AFA"/>
    <w:rsid w:val="7ECF5925"/>
    <w:rsid w:val="7EE96BCD"/>
    <w:rsid w:val="7F2F1AF3"/>
    <w:rsid w:val="7F4F49BE"/>
    <w:rsid w:val="7F5E6B7F"/>
    <w:rsid w:val="7F759B44"/>
    <w:rsid w:val="7F7B7C33"/>
    <w:rsid w:val="7FA2E2BC"/>
    <w:rsid w:val="7FAFD7D7"/>
    <w:rsid w:val="7FB9DFE5"/>
    <w:rsid w:val="7FB9EF5D"/>
    <w:rsid w:val="7FCE560A"/>
    <w:rsid w:val="7FD55A90"/>
    <w:rsid w:val="7FD7290E"/>
    <w:rsid w:val="7FD78A85"/>
    <w:rsid w:val="7FDBE64C"/>
    <w:rsid w:val="7FDE2361"/>
    <w:rsid w:val="7FEF148E"/>
    <w:rsid w:val="7FEFBCA0"/>
    <w:rsid w:val="7FF1F62F"/>
    <w:rsid w:val="7FF77368"/>
    <w:rsid w:val="7FFFD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CF67E7"/>
  <w15:docId w15:val="{36C2F26F-B1C0-4C6A-9162-136DC37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32"/>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paragraph" w:styleId="4">
    <w:name w:val="heading 4"/>
    <w:basedOn w:val="2"/>
    <w:next w:val="a"/>
    <w:qFormat/>
    <w:pPr>
      <w:spacing w:before="280" w:after="290" w:line="372" w:lineRule="auto"/>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ascii="等线" w:eastAsia="等线" w:hAnsi="等线"/>
      <w:szCs w:val="22"/>
    </w:rPr>
  </w:style>
  <w:style w:type="paragraph" w:styleId="a4">
    <w:name w:val="annotation text"/>
    <w:basedOn w:val="a"/>
    <w:link w:val="a5"/>
    <w:qFormat/>
    <w:pPr>
      <w:jc w:val="left"/>
    </w:pPr>
  </w:style>
  <w:style w:type="paragraph" w:styleId="a6">
    <w:name w:val="Body Text"/>
    <w:basedOn w:val="a"/>
    <w:next w:val="a"/>
    <w:qFormat/>
    <w:pPr>
      <w:widowControl/>
      <w:adjustRightInd w:val="0"/>
      <w:snapToGrid w:val="0"/>
      <w:spacing w:after="120"/>
      <w:jc w:val="left"/>
    </w:pPr>
    <w:rPr>
      <w:rFonts w:ascii="Tahoma" w:eastAsia="方正仿宋_GBK" w:hAnsi="Tahoma"/>
      <w:szCs w:val="32"/>
    </w:rPr>
  </w:style>
  <w:style w:type="paragraph" w:styleId="a7">
    <w:name w:val="Body Text Indent"/>
    <w:basedOn w:val="a"/>
    <w:qFormat/>
    <w:pPr>
      <w:spacing w:after="120"/>
      <w:ind w:leftChars="200" w:left="420"/>
    </w:pPr>
    <w:rPr>
      <w:rFonts w:ascii="Tahoma" w:hAnsi="Tahoma"/>
      <w:lang w:val="en-GB"/>
    </w:rPr>
  </w:style>
  <w:style w:type="paragraph" w:styleId="a8">
    <w:name w:val="footer"/>
    <w:basedOn w:val="a"/>
    <w:next w:val="51"/>
    <w:link w:val="a9"/>
    <w:uiPriority w:val="99"/>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a6"/>
    <w:qFormat/>
    <w:pPr>
      <w:snapToGrid w:val="0"/>
      <w:jc w:val="left"/>
    </w:pPr>
    <w:rPr>
      <w:sz w:val="18"/>
      <w:szCs w:val="18"/>
    </w:rPr>
  </w:style>
  <w:style w:type="paragraph" w:styleId="ac">
    <w:name w:val="Normal (Web)"/>
    <w:basedOn w:val="a"/>
    <w:qFormat/>
    <w:rPr>
      <w:sz w:val="24"/>
    </w:rPr>
  </w:style>
  <w:style w:type="table" w:styleId="ad">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lang w:val="en-GB"/>
    </w:rPr>
  </w:style>
  <w:style w:type="paragraph" w:customStyle="1" w:styleId="Style25">
    <w:name w:val="_Style 25"/>
    <w:basedOn w:val="a7"/>
    <w:next w:val="a"/>
    <w:qFormat/>
    <w:pPr>
      <w:ind w:firstLineChars="200" w:firstLine="420"/>
    </w:pPr>
    <w:rPr>
      <w:rFonts w:ascii="Times New Roman" w:eastAsia="仿宋_GB2312" w:hAnsi="Times New Roman"/>
      <w:szCs w:val="22"/>
      <w:lang w:val="en-US"/>
    </w:rPr>
  </w:style>
  <w:style w:type="character" w:customStyle="1" w:styleId="a9">
    <w:name w:val="页脚 字符"/>
    <w:basedOn w:val="a1"/>
    <w:link w:val="a8"/>
    <w:uiPriority w:val="99"/>
    <w:qFormat/>
    <w:rPr>
      <w:kern w:val="2"/>
      <w:sz w:val="18"/>
    </w:rPr>
  </w:style>
  <w:style w:type="paragraph" w:styleId="af">
    <w:name w:val="List Paragraph"/>
    <w:basedOn w:val="a"/>
    <w:uiPriority w:val="99"/>
    <w:qFormat/>
    <w:pPr>
      <w:ind w:firstLineChars="200" w:firstLine="420"/>
    </w:pPr>
  </w:style>
  <w:style w:type="character" w:customStyle="1" w:styleId="a5">
    <w:name w:val="批注文字 字符"/>
    <w:basedOn w:val="a1"/>
    <w:link w:val="a4"/>
    <w:qFormat/>
    <w:rPr>
      <w:kern w:val="2"/>
      <w:sz w:val="32"/>
    </w:rPr>
  </w:style>
  <w:style w:type="character" w:customStyle="1" w:styleId="font21">
    <w:name w:val="font21"/>
    <w:basedOn w:val="a1"/>
    <w:qFormat/>
    <w:rPr>
      <w:rFonts w:ascii="Times New Roman" w:hAnsi="Times New Roman" w:cs="Times New Roman" w:hint="default"/>
      <w:color w:val="000000"/>
      <w:sz w:val="21"/>
      <w:szCs w:val="21"/>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袁景昭（公文专用）</cp:lastModifiedBy>
  <cp:revision>68</cp:revision>
  <cp:lastPrinted>2025-07-25T00:50:00Z</cp:lastPrinted>
  <dcterms:created xsi:type="dcterms:W3CDTF">2025-07-09T10:52:00Z</dcterms:created>
  <dcterms:modified xsi:type="dcterms:W3CDTF">2025-08-11T06:12:00Z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eyJoZGlkIjoiZGRiMWQ1NzU2MjI5NTFmZjcwYWIxZGQ3MGM0N2VkYTkiLCJ1c2VySWQiOiI3NzM3MjI1OTkifQ==</vt:lpwstr>
  </property>
  <property fmtid="{D5CDD505-2E9C-101B-9397-08002B2CF9AE}" pid="4" name="ICV">
    <vt:lpwstr>73709C36F651437F9168664D1D0B6F79_12</vt:lpwstr>
  </property>
</Properties>
</file>