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ordWrap/>
        <w:overflowPunct/>
        <w:topLinePunct w:val="0"/>
        <w:bidi w:val="0"/>
        <w:spacing w:line="600" w:lineRule="exact"/>
        <w:rPr>
          <w:rFonts w:ascii="Times New Roman" w:hAnsi="Times New Roman" w:eastAsia="方正小标宋_GBK" w:cs="Times New Roman"/>
          <w:b/>
          <w:bCs/>
          <w:sz w:val="44"/>
          <w:szCs w:val="44"/>
        </w:rPr>
      </w:pPr>
    </w:p>
    <w:p>
      <w:pPr>
        <w:keepNext w:val="0"/>
        <w:keepLines w:val="0"/>
        <w:pageBreakBefore w:val="0"/>
        <w:wordWrap/>
        <w:overflowPunct/>
        <w:topLinePunct w:val="0"/>
        <w:bidi w:val="0"/>
        <w:spacing w:line="600" w:lineRule="exact"/>
        <w:jc w:val="center"/>
        <w:rPr>
          <w:rFonts w:ascii="Times New Roman" w:hAnsi="Times New Roman" w:eastAsia="方正小标宋_GBK" w:cs="Times New Roman"/>
          <w:b/>
          <w:bCs/>
          <w:sz w:val="44"/>
          <w:szCs w:val="44"/>
        </w:rPr>
      </w:pPr>
    </w:p>
    <w:p>
      <w:pPr>
        <w:keepNext w:val="0"/>
        <w:keepLines w:val="0"/>
        <w:pageBreakBefore w:val="0"/>
        <w:widowControl w:val="0"/>
        <w:kinsoku/>
        <w:wordWrap/>
        <w:overflowPunct/>
        <w:topLinePunct w:val="0"/>
        <w:autoSpaceDE w:val="0"/>
        <w:autoSpaceDN/>
        <w:bidi w:val="0"/>
        <w:adjustRightInd/>
        <w:snapToGrid w:val="0"/>
        <w:spacing w:line="540" w:lineRule="exact"/>
        <w:ind w:left="0" w:leftChars="0" w:right="0" w:rightChars="0" w:firstLine="0" w:firstLineChars="0"/>
        <w:jc w:val="center"/>
        <w:textAlignment w:val="auto"/>
        <w:outlineLvl w:val="9"/>
        <w:rPr>
          <w:rFonts w:hint="eastAsia" w:ascii="方正小标宋_GBK" w:eastAsia="方正小标宋_GBK"/>
          <w:sz w:val="44"/>
          <w:szCs w:val="44"/>
        </w:rPr>
      </w:pPr>
      <w:r>
        <w:rPr>
          <w:rFonts w:hint="eastAsia" w:ascii="方正小标宋_GBK" w:eastAsia="方正小标宋_GBK"/>
          <w:sz w:val="44"/>
          <w:szCs w:val="44"/>
        </w:rPr>
        <w:t>重庆市北碚区人民政府办公室</w:t>
      </w: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ascii="Times New Roman" w:hAnsi="Times New Roman" w:eastAsia="方正小标宋_GBK" w:cs="Times New Roman"/>
          <w:b/>
          <w:sz w:val="44"/>
          <w:szCs w:val="44"/>
        </w:rPr>
      </w:pPr>
      <w:r>
        <w:rPr>
          <w:rFonts w:hint="eastAsia" w:ascii="方正小标宋_GBK" w:eastAsia="方正小标宋_GBK"/>
          <w:sz w:val="44"/>
          <w:szCs w:val="44"/>
        </w:rPr>
        <w:t>关于印发</w:t>
      </w:r>
      <w:r>
        <w:rPr>
          <w:rFonts w:eastAsia="方正小标宋_GBK"/>
          <w:sz w:val="44"/>
          <w:szCs w:val="44"/>
        </w:rPr>
        <w:t>北碚区加快软件</w:t>
      </w:r>
      <w:r>
        <w:rPr>
          <w:rFonts w:hint="eastAsia" w:eastAsia="方正小标宋_GBK"/>
          <w:sz w:val="44"/>
          <w:szCs w:val="44"/>
        </w:rPr>
        <w:t>和信息服务业</w:t>
      </w:r>
      <w:r>
        <w:rPr>
          <w:rFonts w:eastAsia="方正小标宋_GBK"/>
          <w:sz w:val="44"/>
          <w:szCs w:val="44"/>
        </w:rPr>
        <w:t>高质量发展</w:t>
      </w:r>
      <w:r>
        <w:rPr>
          <w:rFonts w:hint="eastAsia" w:eastAsia="方正小标宋_GBK"/>
          <w:sz w:val="44"/>
          <w:szCs w:val="44"/>
        </w:rPr>
        <w:t>若干措施（试行）</w:t>
      </w:r>
      <w:r>
        <w:rPr>
          <w:rFonts w:hint="eastAsia" w:ascii="方正小标宋_GBK" w:eastAsia="方正小标宋_GBK"/>
          <w:sz w:val="44"/>
          <w:szCs w:val="44"/>
        </w:rPr>
        <w:t>的通知</w:t>
      </w:r>
    </w:p>
    <w:p>
      <w:pPr>
        <w:keepNext w:val="0"/>
        <w:keepLines w:val="0"/>
        <w:pageBreakBefore w:val="0"/>
        <w:wordWrap/>
        <w:overflowPunct/>
        <w:topLinePunct w:val="0"/>
        <w:bidi w:val="0"/>
        <w:spacing w:line="600" w:lineRule="exact"/>
        <w:jc w:val="center"/>
        <w:rPr>
          <w:rFonts w:hint="default" w:ascii="Times New Roman" w:hAnsi="Times New Roman" w:eastAsia="方正仿宋_GBK" w:cs="Times New Roman"/>
          <w:snapToGrid w:val="0"/>
          <w:sz w:val="32"/>
          <w:szCs w:val="32"/>
        </w:rPr>
      </w:pPr>
      <w:r>
        <w:rPr>
          <w:rFonts w:ascii="Times New Roman" w:hAnsi="Times New Roman" w:eastAsia="方正仿宋_GBK"/>
          <w:sz w:val="32"/>
          <w:szCs w:val="32"/>
        </w:rPr>
        <w:t>北碚府办发〔202</w:t>
      </w:r>
      <w:r>
        <w:rPr>
          <w:rFonts w:hint="eastAsia" w:ascii="Times New Roman" w:hAnsi="Times New Roman" w:eastAsia="方正仿宋_GBK"/>
          <w:sz w:val="32"/>
          <w:szCs w:val="32"/>
          <w:lang w:val="en-US" w:eastAsia="zh-CN"/>
        </w:rPr>
        <w:t>2</w:t>
      </w:r>
      <w:r>
        <w:rPr>
          <w:rFonts w:hint="default" w:ascii="Times New Roman" w:hAnsi="Times New Roman" w:eastAsia="方正仿宋_GBK" w:cs="Times New Roman"/>
          <w:sz w:val="32"/>
          <w:szCs w:val="32"/>
        </w:rPr>
        <w:t>〕</w:t>
      </w:r>
      <w:r>
        <w:rPr>
          <w:rFonts w:hint="eastAsia" w:ascii="Times New Roman" w:hAnsi="Times New Roman" w:cs="Times New Roman"/>
          <w:sz w:val="32"/>
          <w:szCs w:val="32"/>
          <w:lang w:val="en-US" w:eastAsia="zh-CN"/>
        </w:rPr>
        <w:t>11</w:t>
      </w:r>
      <w:r>
        <w:rPr>
          <w:rFonts w:hint="eastAsia" w:cs="Times New Roman"/>
          <w:sz w:val="32"/>
          <w:szCs w:val="32"/>
          <w:lang w:val="en-US" w:eastAsia="zh-CN"/>
        </w:rPr>
        <w:t>4</w:t>
      </w:r>
      <w:r>
        <w:rPr>
          <w:rFonts w:hint="default" w:ascii="Times New Roman" w:hAnsi="Times New Roman" w:eastAsia="方正仿宋_GBK" w:cs="Times New Roman"/>
          <w:sz w:val="32"/>
          <w:szCs w:val="32"/>
        </w:rPr>
        <w:t>号</w:t>
      </w:r>
    </w:p>
    <w:p>
      <w:pPr>
        <w:pStyle w:val="2"/>
        <w:keepNext w:val="0"/>
        <w:keepLines w:val="0"/>
        <w:pageBreakBefore w:val="0"/>
        <w:wordWrap/>
        <w:overflowPunct/>
        <w:topLinePunct w:val="0"/>
        <w:bidi w:val="0"/>
        <w:spacing w:line="600" w:lineRule="exact"/>
      </w:pPr>
    </w:p>
    <w:p>
      <w:pPr>
        <w:keepNext w:val="0"/>
        <w:keepLines w:val="0"/>
        <w:pageBreakBefore w:val="0"/>
        <w:widowControl w:val="0"/>
        <w:kinsoku/>
        <w:overflowPunct/>
        <w:topLinePunct w:val="0"/>
        <w:autoSpaceDE w:val="0"/>
        <w:autoSpaceDN/>
        <w:bidi w:val="0"/>
        <w:adjustRightInd/>
        <w:snapToGrid/>
        <w:spacing w:line="600" w:lineRule="exact"/>
        <w:ind w:left="0" w:leftChars="0" w:right="0" w:rightChars="0"/>
        <w:textAlignment w:val="auto"/>
        <w:outlineLvl w:val="9"/>
        <w:rPr>
          <w:rFonts w:eastAsia="方正仿宋_GBK"/>
          <w:color w:val="auto"/>
          <w:kern w:val="0"/>
          <w:sz w:val="32"/>
          <w:szCs w:val="32"/>
          <w:lang w:bidi="ar"/>
        </w:rPr>
      </w:pPr>
      <w:r>
        <w:rPr>
          <w:rFonts w:hint="eastAsia" w:eastAsia="方正仿宋_GBK"/>
          <w:color w:val="auto"/>
          <w:kern w:val="0"/>
          <w:sz w:val="32"/>
          <w:szCs w:val="32"/>
          <w:lang w:eastAsia="zh-CN" w:bidi="ar"/>
        </w:rPr>
        <w:t>各镇人民政府、街道办事处，</w:t>
      </w:r>
      <w:r>
        <w:rPr>
          <w:rFonts w:hint="eastAsia" w:eastAsia="方正仿宋_GBK"/>
          <w:color w:val="auto"/>
          <w:kern w:val="0"/>
          <w:sz w:val="32"/>
          <w:szCs w:val="32"/>
          <w:lang w:bidi="ar"/>
        </w:rPr>
        <w:t>区政府各部门，各园城管委会，在碚市属各部门，有关单位：</w:t>
      </w:r>
    </w:p>
    <w:p>
      <w:pPr>
        <w:keepNext w:val="0"/>
        <w:keepLines w:val="0"/>
        <w:pageBreakBefore w:val="0"/>
        <w:widowControl w:val="0"/>
        <w:kinsoku/>
        <w:overflowPunct/>
        <w:topLinePunct w:val="0"/>
        <w:autoSpaceDE w:val="0"/>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方正仿宋_GBK" w:cs="Times New Roman"/>
          <w:color w:val="auto"/>
          <w:kern w:val="0"/>
          <w:sz w:val="32"/>
          <w:szCs w:val="32"/>
          <w:lang w:bidi="ar"/>
        </w:rPr>
      </w:pPr>
      <w:r>
        <w:rPr>
          <w:rFonts w:hint="eastAsia" w:eastAsia="方正仿宋_GBK"/>
          <w:color w:val="auto"/>
          <w:kern w:val="0"/>
          <w:sz w:val="32"/>
          <w:szCs w:val="32"/>
          <w:lang w:bidi="ar"/>
        </w:rPr>
        <w:t>《</w:t>
      </w:r>
      <w:r>
        <w:rPr>
          <w:rFonts w:hint="eastAsia" w:ascii="Times New Roman" w:hAnsi="Times New Roman" w:eastAsia="方正仿宋_GBK" w:cs="Times New Roman"/>
          <w:color w:val="auto"/>
          <w:kern w:val="0"/>
          <w:sz w:val="32"/>
          <w:szCs w:val="32"/>
          <w:lang w:bidi="ar"/>
        </w:rPr>
        <w:t>北碚区加快软件和信息服务业高质量发展若干措施（试行）</w:t>
      </w:r>
      <w:r>
        <w:rPr>
          <w:rFonts w:hint="eastAsia" w:eastAsia="方正仿宋_GBK"/>
          <w:color w:val="auto"/>
          <w:kern w:val="0"/>
          <w:sz w:val="32"/>
          <w:szCs w:val="32"/>
          <w:lang w:bidi="ar"/>
        </w:rPr>
        <w:t>》</w:t>
      </w:r>
      <w:r>
        <w:rPr>
          <w:rFonts w:hint="eastAsia" w:ascii="Times New Roman" w:hAnsi="Times New Roman" w:eastAsia="方正仿宋_GBK" w:cs="Times New Roman"/>
          <w:color w:val="auto"/>
          <w:kern w:val="0"/>
          <w:sz w:val="32"/>
          <w:szCs w:val="32"/>
          <w:lang w:bidi="ar"/>
        </w:rPr>
        <w:t>已经</w:t>
      </w:r>
      <w:r>
        <w:rPr>
          <w:rFonts w:hint="eastAsia" w:ascii="Times New Roman" w:hAnsi="Times New Roman" w:eastAsia="方正仿宋_GBK" w:cs="Times New Roman"/>
          <w:color w:val="auto"/>
          <w:kern w:val="0"/>
          <w:sz w:val="32"/>
          <w:szCs w:val="32"/>
          <w:lang w:val="en-US" w:eastAsia="zh-CN" w:bidi="ar"/>
        </w:rPr>
        <w:t>区委十</w:t>
      </w:r>
      <w:r>
        <w:rPr>
          <w:rFonts w:hint="default" w:ascii="Times New Roman" w:hAnsi="Times New Roman" w:eastAsia="方正仿宋_GBK" w:cs="Times New Roman"/>
          <w:color w:val="auto"/>
          <w:kern w:val="0"/>
          <w:sz w:val="32"/>
          <w:szCs w:val="32"/>
          <w:lang w:val="en-US" w:eastAsia="zh-CN" w:bidi="ar"/>
        </w:rPr>
        <w:t>三届38次常委会会议、</w:t>
      </w:r>
      <w:r>
        <w:rPr>
          <w:rFonts w:hint="default" w:ascii="Times New Roman" w:hAnsi="Times New Roman" w:eastAsia="方正仿宋_GBK" w:cs="Times New Roman"/>
          <w:color w:val="auto"/>
          <w:kern w:val="0"/>
          <w:sz w:val="32"/>
          <w:szCs w:val="32"/>
          <w:lang w:bidi="ar"/>
        </w:rPr>
        <w:t>区政府</w:t>
      </w:r>
      <w:r>
        <w:rPr>
          <w:rFonts w:hint="default" w:ascii="Times New Roman" w:hAnsi="Times New Roman" w:eastAsia="方正仿宋_GBK" w:cs="Times New Roman"/>
          <w:color w:val="auto"/>
          <w:kern w:val="0"/>
          <w:sz w:val="32"/>
          <w:szCs w:val="32"/>
          <w:lang w:val="en-US" w:eastAsia="zh-CN" w:bidi="ar"/>
        </w:rPr>
        <w:t>第23次常务会议审议通过</w:t>
      </w:r>
      <w:r>
        <w:rPr>
          <w:rFonts w:hint="default" w:ascii="Times New Roman" w:hAnsi="Times New Roman" w:eastAsia="方正仿宋_GBK" w:cs="Times New Roman"/>
          <w:color w:val="auto"/>
          <w:kern w:val="0"/>
          <w:sz w:val="32"/>
          <w:szCs w:val="32"/>
          <w:lang w:bidi="ar"/>
        </w:rPr>
        <w:t>，现印发给你们，请认真贯彻执行。</w:t>
      </w:r>
    </w:p>
    <w:p>
      <w:pPr>
        <w:keepNext w:val="0"/>
        <w:keepLines w:val="0"/>
        <w:pageBreakBefore w:val="0"/>
        <w:widowControl w:val="0"/>
        <w:kinsoku/>
        <w:overflowPunct/>
        <w:topLinePunct w:val="0"/>
        <w:autoSpaceDE w:val="0"/>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方正仿宋_GBK" w:cs="Times New Roman"/>
          <w:color w:val="000000"/>
          <w:kern w:val="0"/>
          <w:sz w:val="32"/>
          <w:szCs w:val="32"/>
          <w:lang w:bidi="ar"/>
        </w:rPr>
      </w:pPr>
      <w:r>
        <w:rPr>
          <w:rFonts w:hint="default" w:ascii="Times New Roman" w:hAnsi="Times New Roman" w:cs="Times New Roman"/>
        </w:rPr>
        <w:t xml:space="preserve"> </w:t>
      </w:r>
      <w:r>
        <w:rPr>
          <w:rFonts w:hint="default" w:ascii="Times New Roman" w:hAnsi="Times New Roman" w:eastAsia="方正仿宋_GBK" w:cs="Times New Roman"/>
          <w:color w:val="000000"/>
          <w:kern w:val="0"/>
          <w:sz w:val="32"/>
          <w:szCs w:val="32"/>
          <w:lang w:bidi="ar"/>
        </w:rPr>
        <w:t xml:space="preserve"> </w:t>
      </w:r>
    </w:p>
    <w:p>
      <w:pPr>
        <w:keepNext w:val="0"/>
        <w:keepLines w:val="0"/>
        <w:pageBreakBefore w:val="0"/>
        <w:widowControl w:val="0"/>
        <w:kinsoku/>
        <w:wordWrap w:val="0"/>
        <w:overflowPunct/>
        <w:topLinePunct w:val="0"/>
        <w:autoSpaceDE w:val="0"/>
        <w:autoSpaceDN/>
        <w:bidi w:val="0"/>
        <w:adjustRightInd/>
        <w:snapToGrid/>
        <w:spacing w:line="600" w:lineRule="exact"/>
        <w:ind w:left="0" w:leftChars="0" w:right="0" w:rightChars="0"/>
        <w:jc w:val="right"/>
        <w:textAlignment w:val="auto"/>
        <w:outlineLvl w:val="9"/>
        <w:rPr>
          <w:rFonts w:hint="default" w:ascii="Times New Roman" w:hAnsi="Times New Roman" w:eastAsia="方正仿宋_GBK" w:cs="Times New Roman"/>
          <w:color w:val="000000"/>
          <w:kern w:val="0"/>
          <w:sz w:val="32"/>
          <w:szCs w:val="32"/>
          <w:lang w:bidi="ar"/>
        </w:rPr>
      </w:pPr>
      <w:r>
        <w:rPr>
          <w:rFonts w:hint="default" w:ascii="Times New Roman" w:hAnsi="Times New Roman" w:eastAsia="方正仿宋_GBK" w:cs="Times New Roman"/>
          <w:color w:val="000000"/>
          <w:kern w:val="0"/>
          <w:sz w:val="32"/>
          <w:szCs w:val="32"/>
          <w:lang w:bidi="ar"/>
        </w:rPr>
        <w:t xml:space="preserve">重庆市北碚区人民政府办公室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120" w:firstLineChars="1600"/>
        <w:jc w:val="left"/>
        <w:textAlignment w:val="auto"/>
        <w:outlineLvl w:val="9"/>
        <w:rPr>
          <w:rFonts w:hint="eastAsia" w:eastAsia="方正仿宋_GBK"/>
          <w:sz w:val="32"/>
          <w:szCs w:val="20"/>
        </w:rPr>
      </w:pPr>
      <w:r>
        <w:rPr>
          <w:rFonts w:hint="default" w:ascii="Times New Roman" w:hAnsi="Times New Roman" w:eastAsia="方正仿宋_GBK" w:cs="Times New Roman"/>
          <w:color w:val="000000"/>
          <w:kern w:val="0"/>
          <w:sz w:val="32"/>
          <w:szCs w:val="32"/>
          <w:lang w:bidi="ar"/>
        </w:rPr>
        <w:t>2022年1</w:t>
      </w:r>
      <w:r>
        <w:rPr>
          <w:rFonts w:hint="default" w:ascii="Times New Roman" w:hAnsi="Times New Roman" w:eastAsia="方正仿宋_GBK" w:cs="Times New Roman"/>
          <w:color w:val="000000"/>
          <w:kern w:val="0"/>
          <w:sz w:val="32"/>
          <w:szCs w:val="32"/>
          <w:lang w:val="en-US" w:eastAsia="zh-CN" w:bidi="ar"/>
        </w:rPr>
        <w:t>2</w:t>
      </w:r>
      <w:r>
        <w:rPr>
          <w:rFonts w:hint="default" w:ascii="Times New Roman" w:hAnsi="Times New Roman" w:eastAsia="方正仿宋_GBK" w:cs="Times New Roman"/>
          <w:color w:val="000000"/>
          <w:kern w:val="0"/>
          <w:sz w:val="32"/>
          <w:szCs w:val="32"/>
          <w:lang w:bidi="ar"/>
        </w:rPr>
        <w:t>月</w:t>
      </w:r>
      <w:r>
        <w:rPr>
          <w:rFonts w:hint="default" w:ascii="Times New Roman" w:hAnsi="Times New Roman" w:eastAsia="方正仿宋_GBK" w:cs="Times New Roman"/>
          <w:color w:val="000000"/>
          <w:kern w:val="0"/>
          <w:sz w:val="32"/>
          <w:szCs w:val="32"/>
          <w:lang w:val="en-US" w:eastAsia="zh-CN" w:bidi="ar"/>
        </w:rPr>
        <w:t>27</w:t>
      </w:r>
      <w:r>
        <w:rPr>
          <w:rFonts w:hint="default" w:ascii="Times New Roman" w:hAnsi="Times New Roman" w:eastAsia="方正仿宋_GBK" w:cs="Times New Roman"/>
          <w:color w:val="000000"/>
          <w:kern w:val="0"/>
          <w:sz w:val="32"/>
          <w:szCs w:val="32"/>
          <w:lang w:bidi="ar"/>
        </w:rPr>
        <w:t>日</w:t>
      </w:r>
    </w:p>
    <w:p>
      <w:pPr>
        <w:pStyle w:val="14"/>
        <w:keepNext w:val="0"/>
        <w:keepLines w:val="0"/>
        <w:pageBreakBefore w:val="0"/>
        <w:widowControl/>
        <w:kinsoku w:val="0"/>
        <w:wordWrap/>
        <w:overflowPunct/>
        <w:topLinePunct w:val="0"/>
        <w:autoSpaceDE w:val="0"/>
        <w:autoSpaceDN w:val="0"/>
        <w:bidi w:val="0"/>
        <w:adjustRightInd w:val="0"/>
        <w:spacing w:beforeAutospacing="0" w:afterAutospacing="0" w:line="600" w:lineRule="exact"/>
        <w:ind w:firstLine="420"/>
        <w:jc w:val="center"/>
        <w:textAlignment w:val="baseline"/>
        <w:rPr>
          <w:rFonts w:ascii="Times New Roman" w:hAnsi="Times New Roman"/>
          <w:color w:val="000000"/>
          <w:sz w:val="32"/>
          <w:szCs w:val="32"/>
          <w:shd w:val="clear" w:color="auto" w:fill="FFFFFF"/>
        </w:rPr>
      </w:pPr>
    </w:p>
    <w:p>
      <w:pPr>
        <w:keepNext w:val="0"/>
        <w:keepLines w:val="0"/>
        <w:pageBreakBefore w:val="0"/>
        <w:widowControl/>
        <w:wordWrap/>
        <w:overflowPunct/>
        <w:topLinePunct w:val="0"/>
        <w:bidi w:val="0"/>
        <w:spacing w:line="600" w:lineRule="exact"/>
        <w:jc w:val="left"/>
        <w:rPr>
          <w:rFonts w:ascii="Times New Roman" w:hAnsi="Times New Roman" w:cs="Times New Roman"/>
          <w:color w:val="000000"/>
          <w:kern w:val="0"/>
          <w:szCs w:val="32"/>
          <w:shd w:val="clear" w:color="auto" w:fill="FFFFFF"/>
        </w:rPr>
      </w:pPr>
      <w:r>
        <w:rPr>
          <w:rFonts w:ascii="Times New Roman" w:hAnsi="Times New Roman"/>
          <w:color w:val="000000"/>
          <w:szCs w:val="32"/>
          <w:shd w:val="clear" w:color="auto" w:fill="FFFFFF"/>
        </w:rPr>
        <w:br w:type="page"/>
      </w:r>
    </w:p>
    <w:p>
      <w:pPr>
        <w:pStyle w:val="14"/>
        <w:keepNext w:val="0"/>
        <w:keepLines w:val="0"/>
        <w:pageBreakBefore w:val="0"/>
        <w:widowControl/>
        <w:kinsoku w:val="0"/>
        <w:wordWrap/>
        <w:overflowPunct/>
        <w:topLinePunct w:val="0"/>
        <w:autoSpaceDE w:val="0"/>
        <w:autoSpaceDN w:val="0"/>
        <w:bidi w:val="0"/>
        <w:adjustRightInd w:val="0"/>
        <w:spacing w:beforeAutospacing="0" w:afterAutospacing="0" w:line="600" w:lineRule="exact"/>
        <w:ind w:firstLine="420"/>
        <w:jc w:val="center"/>
        <w:textAlignment w:val="baseline"/>
        <w:rPr>
          <w:rFonts w:ascii="Times New Roman" w:hAnsi="Times New Roman"/>
          <w:color w:val="000000"/>
          <w:sz w:val="32"/>
          <w:szCs w:val="32"/>
        </w:rPr>
      </w:pPr>
    </w:p>
    <w:p>
      <w:pPr>
        <w:keepNext w:val="0"/>
        <w:keepLines w:val="0"/>
        <w:pageBreakBefore w:val="0"/>
        <w:widowControl w:val="0"/>
        <w:kinsoku/>
        <w:wordWrap/>
        <w:overflowPunct/>
        <w:topLinePunct w:val="0"/>
        <w:autoSpaceDE/>
        <w:autoSpaceDN/>
        <w:bidi w:val="0"/>
        <w:adjustRightInd/>
        <w:snapToGrid w:val="0"/>
        <w:spacing w:line="540" w:lineRule="exact"/>
        <w:ind w:left="0" w:leftChars="0" w:right="0" w:rightChars="0" w:firstLine="0" w:firstLineChars="0"/>
        <w:jc w:val="center"/>
        <w:textAlignment w:val="auto"/>
        <w:outlineLvl w:val="9"/>
        <w:rPr>
          <w:rFonts w:eastAsia="方正小标宋_GBK"/>
          <w:sz w:val="44"/>
          <w:szCs w:val="44"/>
        </w:rPr>
      </w:pPr>
      <w:r>
        <w:rPr>
          <w:rFonts w:eastAsia="方正小标宋_GBK"/>
          <w:sz w:val="44"/>
          <w:szCs w:val="44"/>
        </w:rPr>
        <w:t>北碚区加快软件</w:t>
      </w:r>
      <w:r>
        <w:rPr>
          <w:rFonts w:hint="eastAsia" w:eastAsia="方正小标宋_GBK"/>
          <w:sz w:val="44"/>
          <w:szCs w:val="44"/>
        </w:rPr>
        <w:t>和信息服务业</w:t>
      </w:r>
      <w:r>
        <w:rPr>
          <w:rFonts w:eastAsia="方正小标宋_GBK"/>
          <w:sz w:val="44"/>
          <w:szCs w:val="44"/>
        </w:rPr>
        <w:t>高质量发展</w:t>
      </w:r>
    </w:p>
    <w:p>
      <w:pPr>
        <w:keepNext w:val="0"/>
        <w:keepLines w:val="0"/>
        <w:pageBreakBefore w:val="0"/>
        <w:widowControl w:val="0"/>
        <w:kinsoku/>
        <w:wordWrap/>
        <w:overflowPunct/>
        <w:topLinePunct w:val="0"/>
        <w:autoSpaceDE w:val="0"/>
        <w:autoSpaceDN w:val="0"/>
        <w:bidi w:val="0"/>
        <w:adjustRightInd/>
        <w:spacing w:line="540" w:lineRule="exact"/>
        <w:jc w:val="center"/>
        <w:textAlignment w:val="auto"/>
        <w:rPr>
          <w:rFonts w:hint="eastAsia" w:ascii="方正小标宋_GBK" w:hAnsi="方正小标宋_GBK" w:eastAsia="方正小标宋_GBK"/>
          <w:snapToGrid w:val="0"/>
          <w:color w:val="0D0D0D"/>
          <w:sz w:val="44"/>
          <w:szCs w:val="44"/>
          <w:lang w:eastAsia="zh-CN"/>
        </w:rPr>
      </w:pPr>
      <w:r>
        <w:rPr>
          <w:rFonts w:hint="eastAsia" w:eastAsia="方正小标宋_GBK"/>
          <w:sz w:val="44"/>
          <w:szCs w:val="44"/>
        </w:rPr>
        <w:t>若干措施（试行</w:t>
      </w:r>
      <w:r>
        <w:rPr>
          <w:rFonts w:hint="eastAsia" w:eastAsia="方正小标宋_GBK"/>
          <w:sz w:val="44"/>
          <w:szCs w:val="44"/>
          <w:lang w:eastAsia="zh-CN"/>
        </w:rPr>
        <w:t>）</w:t>
      </w:r>
      <w:bookmarkStart w:id="0" w:name="_GoBack"/>
      <w:bookmarkEnd w:id="0"/>
    </w:p>
    <w:p>
      <w:pPr>
        <w:pStyle w:val="2"/>
        <w:keepNext w:val="0"/>
        <w:keepLines w:val="0"/>
        <w:pageBreakBefore w:val="0"/>
        <w:wordWrap/>
        <w:overflowPunct/>
        <w:topLinePunct w:val="0"/>
        <w:bidi w:val="0"/>
        <w:spacing w:line="600" w:lineRule="exact"/>
      </w:pPr>
    </w:p>
    <w:p>
      <w:pPr>
        <w:keepNext w:val="0"/>
        <w:keepLines w:val="0"/>
        <w:pageBreakBefore w:val="0"/>
        <w:overflowPunct/>
        <w:topLinePunct w:val="0"/>
        <w:bidi w:val="0"/>
        <w:spacing w:line="600" w:lineRule="exact"/>
        <w:jc w:val="center"/>
        <w:rPr>
          <w:rFonts w:eastAsia="方正黑体_GBK"/>
          <w:sz w:val="32"/>
          <w:szCs w:val="32"/>
        </w:rPr>
      </w:pPr>
      <w:r>
        <w:rPr>
          <w:rFonts w:eastAsia="方正黑体_GBK"/>
          <w:sz w:val="32"/>
          <w:szCs w:val="32"/>
        </w:rPr>
        <w:t>第一章</w:t>
      </w:r>
      <w:r>
        <w:rPr>
          <w:rFonts w:hint="eastAsia" w:eastAsia="方正黑体_GBK"/>
          <w:sz w:val="32"/>
          <w:szCs w:val="32"/>
          <w:lang w:val="en-US" w:eastAsia="zh-CN"/>
        </w:rPr>
        <w:t xml:space="preserve">  </w:t>
      </w:r>
      <w:r>
        <w:rPr>
          <w:rFonts w:hint="eastAsia" w:eastAsia="方正黑体_GBK"/>
          <w:sz w:val="32"/>
          <w:szCs w:val="32"/>
        </w:rPr>
        <w:t>适用范围</w:t>
      </w:r>
    </w:p>
    <w:p>
      <w:pPr>
        <w:keepNext w:val="0"/>
        <w:keepLines w:val="0"/>
        <w:pageBreakBefore w:val="0"/>
        <w:overflowPunct/>
        <w:topLinePunct w:val="0"/>
        <w:bidi w:val="0"/>
        <w:spacing w:line="600" w:lineRule="exact"/>
        <w:ind w:firstLine="643" w:firstLineChars="200"/>
        <w:rPr>
          <w:rFonts w:eastAsia="方正仿宋_GBK"/>
          <w:bCs/>
          <w:sz w:val="32"/>
          <w:szCs w:val="32"/>
        </w:rPr>
      </w:pPr>
      <w:r>
        <w:rPr>
          <w:rFonts w:eastAsia="方正仿宋_GBK"/>
          <w:b/>
          <w:sz w:val="32"/>
          <w:szCs w:val="32"/>
        </w:rPr>
        <w:t>第一条</w:t>
      </w:r>
      <w:r>
        <w:rPr>
          <w:rFonts w:hint="eastAsia" w:eastAsia="方正仿宋_GBK"/>
          <w:sz w:val="32"/>
          <w:szCs w:val="32"/>
        </w:rPr>
        <w:t xml:space="preserve"> </w:t>
      </w:r>
      <w:r>
        <w:rPr>
          <w:rFonts w:eastAsia="方正仿宋_GBK"/>
          <w:sz w:val="32"/>
          <w:szCs w:val="32"/>
        </w:rPr>
        <w:t>本</w:t>
      </w:r>
      <w:r>
        <w:rPr>
          <w:rFonts w:hint="eastAsia" w:eastAsia="方正仿宋_GBK"/>
          <w:sz w:val="32"/>
          <w:szCs w:val="32"/>
        </w:rPr>
        <w:t>措施</w:t>
      </w:r>
      <w:r>
        <w:rPr>
          <w:rFonts w:eastAsia="方正仿宋_GBK"/>
          <w:sz w:val="32"/>
          <w:szCs w:val="32"/>
        </w:rPr>
        <w:t>适用于商事登记在北碚区（不含两江直管区，下同），向市、区</w:t>
      </w:r>
      <w:r>
        <w:rPr>
          <w:rFonts w:hint="eastAsia" w:eastAsia="方正仿宋_GBK"/>
          <w:sz w:val="32"/>
          <w:szCs w:val="32"/>
        </w:rPr>
        <w:t>相关部门</w:t>
      </w:r>
      <w:r>
        <w:rPr>
          <w:rFonts w:eastAsia="方正仿宋_GBK"/>
          <w:sz w:val="32"/>
          <w:szCs w:val="32"/>
        </w:rPr>
        <w:t>报送统计报表，为区域经济</w:t>
      </w:r>
      <w:r>
        <w:rPr>
          <w:rFonts w:hint="eastAsia" w:eastAsia="方正仿宋_GBK"/>
          <w:sz w:val="32"/>
          <w:szCs w:val="32"/>
        </w:rPr>
        <w:t>社会</w:t>
      </w:r>
      <w:r>
        <w:rPr>
          <w:rFonts w:eastAsia="方正仿宋_GBK"/>
          <w:sz w:val="32"/>
          <w:szCs w:val="32"/>
        </w:rPr>
        <w:t>发展作出贡献</w:t>
      </w:r>
      <w:r>
        <w:rPr>
          <w:rFonts w:hint="eastAsia" w:eastAsia="方正仿宋_GBK"/>
          <w:bCs/>
          <w:sz w:val="32"/>
          <w:szCs w:val="32"/>
        </w:rPr>
        <w:t>且具有民事主体资格的</w:t>
      </w:r>
      <w:r>
        <w:rPr>
          <w:rFonts w:eastAsia="方正仿宋_GBK"/>
          <w:bCs/>
          <w:sz w:val="32"/>
          <w:szCs w:val="32"/>
        </w:rPr>
        <w:t>软件和信息服务业企业</w:t>
      </w:r>
      <w:r>
        <w:rPr>
          <w:rFonts w:hint="eastAsia" w:eastAsia="方正仿宋_GBK"/>
          <w:bCs/>
          <w:sz w:val="32"/>
          <w:szCs w:val="32"/>
        </w:rPr>
        <w:t>及</w:t>
      </w:r>
      <w:r>
        <w:rPr>
          <w:rFonts w:eastAsia="方正仿宋_GBK"/>
          <w:bCs/>
          <w:sz w:val="32"/>
          <w:szCs w:val="32"/>
        </w:rPr>
        <w:t>机构</w:t>
      </w:r>
      <w:r>
        <w:rPr>
          <w:rFonts w:hint="eastAsia" w:eastAsia="方正仿宋_GBK"/>
          <w:bCs/>
          <w:sz w:val="32"/>
          <w:szCs w:val="32"/>
        </w:rPr>
        <w:t>。</w:t>
      </w:r>
    </w:p>
    <w:p>
      <w:pPr>
        <w:keepNext w:val="0"/>
        <w:keepLines w:val="0"/>
        <w:pageBreakBefore w:val="0"/>
        <w:overflowPunct/>
        <w:topLinePunct w:val="0"/>
        <w:bidi w:val="0"/>
        <w:spacing w:line="600" w:lineRule="exact"/>
        <w:jc w:val="center"/>
        <w:rPr>
          <w:rFonts w:eastAsia="方正黑体_GBK"/>
          <w:sz w:val="32"/>
          <w:szCs w:val="32"/>
        </w:rPr>
      </w:pPr>
    </w:p>
    <w:p>
      <w:pPr>
        <w:keepNext w:val="0"/>
        <w:keepLines w:val="0"/>
        <w:pageBreakBefore w:val="0"/>
        <w:overflowPunct/>
        <w:topLinePunct w:val="0"/>
        <w:bidi w:val="0"/>
        <w:spacing w:line="600" w:lineRule="exact"/>
        <w:jc w:val="center"/>
        <w:rPr>
          <w:rFonts w:eastAsia="方正黑体_GBK"/>
          <w:sz w:val="32"/>
          <w:szCs w:val="32"/>
        </w:rPr>
      </w:pPr>
      <w:r>
        <w:rPr>
          <w:rFonts w:eastAsia="方正黑体_GBK"/>
          <w:sz w:val="32"/>
          <w:szCs w:val="32"/>
        </w:rPr>
        <w:t>第二章</w:t>
      </w:r>
      <w:r>
        <w:rPr>
          <w:rFonts w:hint="eastAsia" w:eastAsia="方正黑体_GBK"/>
          <w:sz w:val="32"/>
          <w:szCs w:val="32"/>
          <w:lang w:val="en-US" w:eastAsia="zh-CN"/>
        </w:rPr>
        <w:t xml:space="preserve">  </w:t>
      </w:r>
      <w:r>
        <w:rPr>
          <w:rFonts w:hint="eastAsia" w:eastAsia="方正黑体_GBK"/>
          <w:sz w:val="32"/>
          <w:szCs w:val="32"/>
        </w:rPr>
        <w:t>企业降本支持</w:t>
      </w:r>
    </w:p>
    <w:p>
      <w:pPr>
        <w:keepNext w:val="0"/>
        <w:keepLines w:val="0"/>
        <w:pageBreakBefore w:val="0"/>
        <w:overflowPunct/>
        <w:topLinePunct w:val="0"/>
        <w:bidi w:val="0"/>
        <w:spacing w:line="600" w:lineRule="exact"/>
        <w:ind w:firstLine="643" w:firstLineChars="200"/>
      </w:pPr>
      <w:r>
        <w:rPr>
          <w:rFonts w:eastAsia="方正仿宋_GBK"/>
          <w:b/>
          <w:sz w:val="32"/>
          <w:szCs w:val="32"/>
        </w:rPr>
        <w:t>第</w:t>
      </w:r>
      <w:r>
        <w:rPr>
          <w:rFonts w:hint="eastAsia" w:eastAsia="方正仿宋_GBK"/>
          <w:b/>
          <w:sz w:val="32"/>
          <w:szCs w:val="32"/>
        </w:rPr>
        <w:t>二</w:t>
      </w:r>
      <w:r>
        <w:rPr>
          <w:rFonts w:eastAsia="方正仿宋_GBK"/>
          <w:b/>
          <w:sz w:val="32"/>
          <w:szCs w:val="32"/>
        </w:rPr>
        <w:t>条</w:t>
      </w:r>
      <w:r>
        <w:rPr>
          <w:rFonts w:hint="eastAsia" w:eastAsia="方正仿宋_GBK"/>
          <w:b/>
          <w:sz w:val="32"/>
          <w:szCs w:val="32"/>
        </w:rPr>
        <w:t xml:space="preserve"> </w:t>
      </w:r>
      <w:r>
        <w:rPr>
          <w:rFonts w:hint="eastAsia" w:eastAsia="方正仿宋_GBK"/>
          <w:bCs/>
          <w:sz w:val="32"/>
          <w:szCs w:val="32"/>
        </w:rPr>
        <w:t>根据区位、物业等状况，鼓励分级分类将新入驻北碚区区属国有企业存量楼宇的软件和信息服务企业（机构）租金价格控制在</w:t>
      </w:r>
      <w:r>
        <w:rPr>
          <w:rFonts w:eastAsia="方正仿宋_GBK"/>
          <w:bCs/>
          <w:sz w:val="32"/>
          <w:szCs w:val="32"/>
        </w:rPr>
        <w:t>40</w:t>
      </w:r>
      <w:r>
        <w:rPr>
          <w:rFonts w:hint="eastAsia" w:eastAsia="方正仿宋_GBK"/>
          <w:bCs/>
          <w:sz w:val="32"/>
          <w:szCs w:val="32"/>
        </w:rPr>
        <w:t>元/</w:t>
      </w:r>
      <w:r>
        <w:rPr>
          <w:rFonts w:eastAsia="方正仿宋_GBK"/>
          <w:bCs/>
          <w:sz w:val="32"/>
          <w:szCs w:val="32"/>
        </w:rPr>
        <w:t>平方</w:t>
      </w:r>
      <w:r>
        <w:rPr>
          <w:rFonts w:hint="eastAsia" w:ascii="方正仿宋_GBK" w:hAnsi="方正仿宋_GBK" w:eastAsia="方正仿宋_GBK" w:cs="方正仿宋_GBK"/>
          <w:bCs/>
          <w:sz w:val="32"/>
          <w:szCs w:val="32"/>
        </w:rPr>
        <w:t>米·月以</w:t>
      </w:r>
      <w:r>
        <w:rPr>
          <w:rFonts w:hint="eastAsia" w:eastAsia="方正仿宋_GBK"/>
          <w:bCs/>
          <w:sz w:val="32"/>
          <w:szCs w:val="32"/>
        </w:rPr>
        <w:t>内。对新入驻国有产业楼宇的软件和信息服务企业（机构）</w:t>
      </w:r>
      <w:r>
        <w:rPr>
          <w:rFonts w:eastAsia="方正仿宋_GBK"/>
          <w:bCs/>
          <w:sz w:val="32"/>
          <w:szCs w:val="32"/>
        </w:rPr>
        <w:t>按1000元/平方米的标准一次性给予装修补贴，单个企业（机构）最高补贴</w:t>
      </w:r>
      <w:r>
        <w:rPr>
          <w:rFonts w:hint="eastAsia" w:eastAsia="方正仿宋_GBK"/>
          <w:bCs/>
          <w:sz w:val="32"/>
          <w:szCs w:val="32"/>
        </w:rPr>
        <w:t>面积</w:t>
      </w:r>
      <w:r>
        <w:rPr>
          <w:rFonts w:eastAsia="方正仿宋_GBK"/>
          <w:bCs/>
          <w:sz w:val="32"/>
          <w:szCs w:val="32"/>
        </w:rPr>
        <w:t>不超过1000</w:t>
      </w:r>
      <w:r>
        <w:rPr>
          <w:rFonts w:hint="eastAsia" w:eastAsia="方正仿宋_GBK"/>
          <w:bCs/>
          <w:sz w:val="32"/>
          <w:szCs w:val="32"/>
        </w:rPr>
        <w:t>平方米</w:t>
      </w:r>
      <w:r>
        <w:rPr>
          <w:rFonts w:eastAsia="方正仿宋_GBK"/>
          <w:bCs/>
          <w:sz w:val="32"/>
          <w:szCs w:val="32"/>
        </w:rPr>
        <w:t>。</w:t>
      </w:r>
      <w:r>
        <w:rPr>
          <w:rFonts w:hint="eastAsia" w:eastAsia="方正仿宋_GBK"/>
          <w:bCs/>
          <w:sz w:val="32"/>
          <w:szCs w:val="32"/>
        </w:rPr>
        <w:t>对其他市场主体存量楼宇，业主有意愿打造软件楼宇生态的，区里注入产业运营资源，对业主改造升级物业和租金给予一定资金政策支持。</w:t>
      </w:r>
      <w:r>
        <w:rPr>
          <w:rFonts w:eastAsia="方正仿宋_GBK"/>
          <w:bCs/>
          <w:sz w:val="32"/>
          <w:szCs w:val="32"/>
        </w:rPr>
        <w:t>（</w:t>
      </w:r>
      <w:r>
        <w:rPr>
          <w:rFonts w:eastAsia="方正楷体_GBK"/>
          <w:bCs/>
          <w:sz w:val="32"/>
          <w:szCs w:val="32"/>
        </w:rPr>
        <w:t>牵头单位：园城</w:t>
      </w:r>
      <w:r>
        <w:rPr>
          <w:rFonts w:hint="eastAsia" w:eastAsia="方正楷体_GBK"/>
          <w:bCs/>
          <w:sz w:val="32"/>
          <w:szCs w:val="32"/>
        </w:rPr>
        <w:t>公司</w:t>
      </w:r>
      <w:r>
        <w:rPr>
          <w:rFonts w:eastAsia="方正楷体_GBK"/>
          <w:bCs/>
          <w:sz w:val="32"/>
          <w:szCs w:val="32"/>
        </w:rPr>
        <w:t>，责任单位：区经</w:t>
      </w:r>
      <w:r>
        <w:rPr>
          <w:rFonts w:hint="eastAsia" w:eastAsia="方正楷体_GBK"/>
          <w:bCs/>
          <w:sz w:val="32"/>
          <w:szCs w:val="32"/>
        </w:rPr>
        <w:t>济</w:t>
      </w:r>
      <w:r>
        <w:rPr>
          <w:rFonts w:eastAsia="方正楷体_GBK"/>
          <w:bCs/>
          <w:sz w:val="32"/>
          <w:szCs w:val="32"/>
        </w:rPr>
        <w:t>信</w:t>
      </w:r>
      <w:r>
        <w:rPr>
          <w:rFonts w:hint="eastAsia" w:eastAsia="方正楷体_GBK"/>
          <w:bCs/>
          <w:sz w:val="32"/>
          <w:szCs w:val="32"/>
        </w:rPr>
        <w:t>息</w:t>
      </w:r>
      <w:r>
        <w:rPr>
          <w:rFonts w:eastAsia="方正楷体_GBK"/>
          <w:bCs/>
          <w:sz w:val="32"/>
          <w:szCs w:val="32"/>
        </w:rPr>
        <w:t>委、区商务委、区文</w:t>
      </w:r>
      <w:r>
        <w:rPr>
          <w:rFonts w:hint="eastAsia" w:eastAsia="方正楷体_GBK"/>
          <w:bCs/>
          <w:sz w:val="32"/>
          <w:szCs w:val="32"/>
        </w:rPr>
        <w:t>化</w:t>
      </w:r>
      <w:r>
        <w:rPr>
          <w:rFonts w:eastAsia="方正楷体_GBK"/>
          <w:bCs/>
          <w:sz w:val="32"/>
          <w:szCs w:val="32"/>
        </w:rPr>
        <w:t>旅</w:t>
      </w:r>
      <w:r>
        <w:rPr>
          <w:rFonts w:hint="eastAsia" w:eastAsia="方正楷体_GBK"/>
          <w:bCs/>
          <w:sz w:val="32"/>
          <w:szCs w:val="32"/>
        </w:rPr>
        <w:t>游</w:t>
      </w:r>
      <w:r>
        <w:rPr>
          <w:rFonts w:eastAsia="方正楷体_GBK"/>
          <w:bCs/>
          <w:sz w:val="32"/>
          <w:szCs w:val="32"/>
        </w:rPr>
        <w:t>委</w:t>
      </w:r>
      <w:r>
        <w:rPr>
          <w:rFonts w:eastAsia="方正仿宋_GBK"/>
          <w:bCs/>
          <w:sz w:val="32"/>
          <w:szCs w:val="32"/>
        </w:rPr>
        <w:t>）</w:t>
      </w:r>
    </w:p>
    <w:p>
      <w:pPr>
        <w:keepNext w:val="0"/>
        <w:keepLines w:val="0"/>
        <w:pageBreakBefore w:val="0"/>
        <w:overflowPunct/>
        <w:topLinePunct w:val="0"/>
        <w:bidi w:val="0"/>
        <w:spacing w:line="600" w:lineRule="exact"/>
        <w:jc w:val="center"/>
        <w:rPr>
          <w:rFonts w:eastAsia="方正黑体_GBK"/>
          <w:sz w:val="32"/>
          <w:szCs w:val="32"/>
        </w:rPr>
      </w:pPr>
    </w:p>
    <w:p>
      <w:pPr>
        <w:keepNext w:val="0"/>
        <w:keepLines w:val="0"/>
        <w:pageBreakBefore w:val="0"/>
        <w:overflowPunct/>
        <w:topLinePunct w:val="0"/>
        <w:bidi w:val="0"/>
        <w:spacing w:line="600" w:lineRule="exact"/>
        <w:jc w:val="center"/>
        <w:rPr>
          <w:rFonts w:eastAsia="方正黑体_GBK"/>
          <w:sz w:val="32"/>
          <w:szCs w:val="32"/>
        </w:rPr>
      </w:pPr>
      <w:r>
        <w:rPr>
          <w:rFonts w:eastAsia="方正黑体_GBK"/>
          <w:sz w:val="32"/>
          <w:szCs w:val="32"/>
        </w:rPr>
        <w:t>第</w:t>
      </w:r>
      <w:r>
        <w:rPr>
          <w:rFonts w:hint="eastAsia" w:eastAsia="方正黑体_GBK"/>
          <w:sz w:val="32"/>
          <w:szCs w:val="32"/>
        </w:rPr>
        <w:t>三</w:t>
      </w:r>
      <w:r>
        <w:rPr>
          <w:rFonts w:eastAsia="方正黑体_GBK"/>
          <w:sz w:val="32"/>
          <w:szCs w:val="32"/>
        </w:rPr>
        <w:t>章</w:t>
      </w:r>
      <w:r>
        <w:rPr>
          <w:rFonts w:hint="eastAsia" w:eastAsia="方正黑体_GBK"/>
          <w:sz w:val="32"/>
          <w:szCs w:val="32"/>
          <w:lang w:val="en-US" w:eastAsia="zh-CN"/>
        </w:rPr>
        <w:t xml:space="preserve">  </w:t>
      </w:r>
      <w:r>
        <w:rPr>
          <w:rFonts w:hint="eastAsia" w:eastAsia="方正黑体_GBK"/>
          <w:sz w:val="32"/>
          <w:szCs w:val="32"/>
        </w:rPr>
        <w:t>企业成长支持</w:t>
      </w:r>
    </w:p>
    <w:p>
      <w:pPr>
        <w:keepNext w:val="0"/>
        <w:keepLines w:val="0"/>
        <w:pageBreakBefore w:val="0"/>
        <w:overflowPunct/>
        <w:topLinePunct w:val="0"/>
        <w:bidi w:val="0"/>
        <w:spacing w:line="600" w:lineRule="exact"/>
        <w:ind w:firstLine="643" w:firstLineChars="200"/>
        <w:rPr>
          <w:rFonts w:eastAsia="方正仿宋_GBK"/>
          <w:bCs/>
          <w:sz w:val="32"/>
          <w:szCs w:val="32"/>
        </w:rPr>
      </w:pPr>
      <w:r>
        <w:rPr>
          <w:rFonts w:eastAsia="方正仿宋_GBK"/>
          <w:b/>
          <w:sz w:val="32"/>
          <w:szCs w:val="32"/>
        </w:rPr>
        <w:t>第</w:t>
      </w:r>
      <w:r>
        <w:rPr>
          <w:rFonts w:hint="eastAsia" w:eastAsia="方正仿宋_GBK"/>
          <w:b/>
          <w:sz w:val="32"/>
          <w:szCs w:val="32"/>
        </w:rPr>
        <w:t>三</w:t>
      </w:r>
      <w:r>
        <w:rPr>
          <w:rFonts w:eastAsia="方正仿宋_GBK"/>
          <w:b/>
          <w:sz w:val="32"/>
          <w:szCs w:val="32"/>
        </w:rPr>
        <w:t xml:space="preserve">条 </w:t>
      </w:r>
      <w:r>
        <w:rPr>
          <w:rFonts w:hint="eastAsia" w:eastAsia="方正仿宋_GBK"/>
          <w:bCs/>
          <w:sz w:val="32"/>
          <w:szCs w:val="32"/>
        </w:rPr>
        <w:t>对2022年1月1日后新入驻的软件和信息技术服务企业，软件业务年收入（以单个自然年度计算）首次突破</w:t>
      </w:r>
      <w:r>
        <w:rPr>
          <w:rFonts w:eastAsia="方正仿宋_GBK"/>
          <w:bCs/>
          <w:sz w:val="32"/>
          <w:szCs w:val="32"/>
        </w:rPr>
        <w:t>1000</w:t>
      </w:r>
      <w:r>
        <w:rPr>
          <w:rFonts w:hint="eastAsia" w:eastAsia="方正仿宋_GBK"/>
          <w:bCs/>
          <w:sz w:val="32"/>
          <w:szCs w:val="32"/>
        </w:rPr>
        <w:t>万元、</w:t>
      </w:r>
      <w:r>
        <w:rPr>
          <w:rFonts w:eastAsia="方正仿宋_GBK"/>
          <w:bCs/>
          <w:sz w:val="32"/>
          <w:szCs w:val="32"/>
        </w:rPr>
        <w:t>3000</w:t>
      </w:r>
      <w:r>
        <w:rPr>
          <w:rFonts w:hint="eastAsia" w:eastAsia="方正仿宋_GBK"/>
          <w:bCs/>
          <w:sz w:val="32"/>
          <w:szCs w:val="32"/>
        </w:rPr>
        <w:t>万元、</w:t>
      </w:r>
      <w:r>
        <w:rPr>
          <w:rFonts w:eastAsia="方正仿宋_GBK"/>
          <w:bCs/>
          <w:sz w:val="32"/>
          <w:szCs w:val="32"/>
        </w:rPr>
        <w:t>5000</w:t>
      </w:r>
      <w:r>
        <w:rPr>
          <w:rFonts w:hint="eastAsia" w:eastAsia="方正仿宋_GBK"/>
          <w:bCs/>
          <w:sz w:val="32"/>
          <w:szCs w:val="32"/>
        </w:rPr>
        <w:t>万元的企业，分别给予5</w:t>
      </w:r>
      <w:r>
        <w:rPr>
          <w:rFonts w:eastAsia="方正仿宋_GBK"/>
          <w:bCs/>
          <w:sz w:val="32"/>
          <w:szCs w:val="32"/>
        </w:rPr>
        <w:t>0</w:t>
      </w:r>
      <w:r>
        <w:rPr>
          <w:rFonts w:hint="eastAsia" w:eastAsia="方正仿宋_GBK"/>
          <w:bCs/>
          <w:sz w:val="32"/>
          <w:szCs w:val="32"/>
        </w:rPr>
        <w:t>万元、1</w:t>
      </w:r>
      <w:r>
        <w:rPr>
          <w:rFonts w:eastAsia="方正仿宋_GBK"/>
          <w:bCs/>
          <w:sz w:val="32"/>
          <w:szCs w:val="32"/>
        </w:rPr>
        <w:t>00</w:t>
      </w:r>
      <w:r>
        <w:rPr>
          <w:rFonts w:hint="eastAsia" w:eastAsia="方正仿宋_GBK"/>
          <w:bCs/>
          <w:sz w:val="32"/>
          <w:szCs w:val="32"/>
        </w:rPr>
        <w:t>万元、1</w:t>
      </w:r>
      <w:r>
        <w:rPr>
          <w:rFonts w:eastAsia="方正仿宋_GBK"/>
          <w:bCs/>
          <w:sz w:val="32"/>
          <w:szCs w:val="32"/>
        </w:rPr>
        <w:t>50</w:t>
      </w:r>
      <w:r>
        <w:rPr>
          <w:rFonts w:hint="eastAsia" w:eastAsia="方正仿宋_GBK"/>
          <w:bCs/>
          <w:sz w:val="32"/>
          <w:szCs w:val="32"/>
        </w:rPr>
        <w:t>万元的奖励，进档补差。软件业务年收入首次超过1亿元的企业，按照“一事一议”方式予以政策支持。对首次获得市级“专精特新”称号的企业，给予5万元一次性奖励。对首次获得国家专精特新“小巨人”称号的企业，给予25万元一次性奖励。对首次获得国家重点支持的“小巨人”企业，给予国家支持资金50%的配套奖励，不超过50万元。对成功上市和挂牌的区内软件和信息服务企业，按照《北碚区支持企业改制上市“沃土”（2</w:t>
      </w:r>
      <w:r>
        <w:rPr>
          <w:rFonts w:eastAsia="方正仿宋_GBK"/>
          <w:bCs/>
          <w:sz w:val="32"/>
          <w:szCs w:val="32"/>
        </w:rPr>
        <w:t>021-2025</w:t>
      </w:r>
      <w:r>
        <w:rPr>
          <w:rFonts w:hint="eastAsia" w:eastAsia="方正仿宋_GBK"/>
          <w:bCs/>
          <w:sz w:val="32"/>
          <w:szCs w:val="32"/>
        </w:rPr>
        <w:t>）计划（暂行）》分阶段给予发展扶持。</w:t>
      </w:r>
      <w:r>
        <w:rPr>
          <w:rFonts w:eastAsia="方正仿宋_GBK"/>
          <w:bCs/>
          <w:sz w:val="32"/>
          <w:szCs w:val="32"/>
        </w:rPr>
        <w:t>（</w:t>
      </w:r>
      <w:r>
        <w:rPr>
          <w:rFonts w:eastAsia="方正楷体_GBK"/>
          <w:bCs/>
          <w:sz w:val="32"/>
          <w:szCs w:val="32"/>
        </w:rPr>
        <w:t>牵头单位：区经</w:t>
      </w:r>
      <w:r>
        <w:rPr>
          <w:rFonts w:hint="eastAsia" w:eastAsia="方正楷体_GBK"/>
          <w:bCs/>
          <w:sz w:val="32"/>
          <w:szCs w:val="32"/>
        </w:rPr>
        <w:t>济</w:t>
      </w:r>
      <w:r>
        <w:rPr>
          <w:rFonts w:eastAsia="方正楷体_GBK"/>
          <w:bCs/>
          <w:sz w:val="32"/>
          <w:szCs w:val="32"/>
        </w:rPr>
        <w:t>信</w:t>
      </w:r>
      <w:r>
        <w:rPr>
          <w:rFonts w:hint="eastAsia" w:eastAsia="方正楷体_GBK"/>
          <w:bCs/>
          <w:sz w:val="32"/>
          <w:szCs w:val="32"/>
        </w:rPr>
        <w:t>息</w:t>
      </w:r>
      <w:r>
        <w:rPr>
          <w:rFonts w:eastAsia="方正楷体_GBK"/>
          <w:bCs/>
          <w:sz w:val="32"/>
          <w:szCs w:val="32"/>
        </w:rPr>
        <w:t>委，责任单位：</w:t>
      </w:r>
      <w:r>
        <w:rPr>
          <w:rFonts w:hint="eastAsia" w:eastAsia="方正楷体_GBK"/>
          <w:bCs/>
          <w:sz w:val="32"/>
          <w:szCs w:val="32"/>
        </w:rPr>
        <w:t>区财政局、区金融发展中心</w:t>
      </w:r>
      <w:r>
        <w:rPr>
          <w:rFonts w:eastAsia="方正仿宋_GBK"/>
          <w:bCs/>
          <w:sz w:val="32"/>
          <w:szCs w:val="32"/>
        </w:rPr>
        <w:t>）</w:t>
      </w:r>
    </w:p>
    <w:p>
      <w:pPr>
        <w:keepNext w:val="0"/>
        <w:keepLines w:val="0"/>
        <w:pageBreakBefore w:val="0"/>
        <w:overflowPunct/>
        <w:topLinePunct w:val="0"/>
        <w:bidi w:val="0"/>
        <w:spacing w:line="600" w:lineRule="exact"/>
        <w:ind w:firstLine="643" w:firstLineChars="200"/>
        <w:rPr>
          <w:rFonts w:eastAsia="方正仿宋_GBK"/>
          <w:bCs/>
          <w:sz w:val="32"/>
          <w:szCs w:val="32"/>
        </w:rPr>
      </w:pPr>
      <w:r>
        <w:rPr>
          <w:rFonts w:hint="eastAsia" w:eastAsia="方正仿宋_GBK"/>
          <w:b/>
          <w:sz w:val="32"/>
          <w:szCs w:val="32"/>
        </w:rPr>
        <w:t>第四条</w:t>
      </w:r>
      <w:r>
        <w:rPr>
          <w:rFonts w:hint="eastAsia" w:eastAsia="方正仿宋_GBK"/>
          <w:bCs/>
          <w:sz w:val="32"/>
          <w:szCs w:val="32"/>
        </w:rPr>
        <w:t xml:space="preserve"> 积极鼓励</w:t>
      </w:r>
      <w:r>
        <w:rPr>
          <w:rFonts w:eastAsia="方正仿宋_GBK"/>
          <w:bCs/>
          <w:sz w:val="32"/>
          <w:szCs w:val="32"/>
        </w:rPr>
        <w:t>电子信息、汽</w:t>
      </w:r>
      <w:r>
        <w:rPr>
          <w:rFonts w:hint="eastAsia" w:eastAsia="方正仿宋_GBK"/>
          <w:bCs/>
          <w:sz w:val="32"/>
          <w:szCs w:val="32"/>
        </w:rPr>
        <w:t>摩</w:t>
      </w:r>
      <w:r>
        <w:rPr>
          <w:rFonts w:eastAsia="方正仿宋_GBK"/>
          <w:bCs/>
          <w:sz w:val="32"/>
          <w:szCs w:val="32"/>
        </w:rPr>
        <w:t>、材料、仪器仪表、装备制造等领域的企业依托自身在工艺流程的独特优势，开发工业研发设计、仿真验证、生产制造、经营管理等环节</w:t>
      </w:r>
      <w:r>
        <w:rPr>
          <w:rFonts w:hint="eastAsia" w:eastAsia="方正仿宋_GBK"/>
          <w:bCs/>
          <w:sz w:val="32"/>
          <w:szCs w:val="32"/>
        </w:rPr>
        <w:t>行业通用软件，并优先在区内推广使用</w:t>
      </w:r>
      <w:r>
        <w:rPr>
          <w:rFonts w:eastAsia="方正仿宋_GBK"/>
          <w:bCs/>
          <w:sz w:val="32"/>
          <w:szCs w:val="32"/>
        </w:rPr>
        <w:t>。对</w:t>
      </w:r>
      <w:r>
        <w:rPr>
          <w:rFonts w:hint="eastAsia" w:eastAsia="方正仿宋_GBK"/>
          <w:bCs/>
          <w:sz w:val="32"/>
          <w:szCs w:val="32"/>
        </w:rPr>
        <w:t>上述制造企业</w:t>
      </w:r>
      <w:r>
        <w:rPr>
          <w:rFonts w:eastAsia="方正仿宋_GBK"/>
          <w:bCs/>
          <w:sz w:val="32"/>
          <w:szCs w:val="32"/>
        </w:rPr>
        <w:t>新</w:t>
      </w:r>
      <w:r>
        <w:rPr>
          <w:rFonts w:hint="eastAsia" w:eastAsia="方正仿宋_GBK"/>
          <w:bCs/>
          <w:sz w:val="32"/>
          <w:szCs w:val="32"/>
        </w:rPr>
        <w:t>设</w:t>
      </w:r>
      <w:r>
        <w:rPr>
          <w:rFonts w:eastAsia="方正仿宋_GBK"/>
          <w:bCs/>
          <w:sz w:val="32"/>
          <w:szCs w:val="32"/>
        </w:rPr>
        <w:t>立</w:t>
      </w:r>
      <w:r>
        <w:rPr>
          <w:rFonts w:hint="eastAsia" w:eastAsia="方正仿宋_GBK"/>
          <w:bCs/>
          <w:sz w:val="32"/>
          <w:szCs w:val="32"/>
        </w:rPr>
        <w:t>的具有民事主体资格的</w:t>
      </w:r>
      <w:r>
        <w:rPr>
          <w:rFonts w:eastAsia="方正仿宋_GBK"/>
          <w:bCs/>
          <w:sz w:val="32"/>
          <w:szCs w:val="32"/>
        </w:rPr>
        <w:t>软件</w:t>
      </w:r>
      <w:r>
        <w:rPr>
          <w:rFonts w:hint="eastAsia" w:eastAsia="方正仿宋_GBK"/>
          <w:bCs/>
          <w:sz w:val="32"/>
          <w:szCs w:val="32"/>
        </w:rPr>
        <w:t>和信息服务</w:t>
      </w:r>
      <w:r>
        <w:rPr>
          <w:rFonts w:eastAsia="方正仿宋_GBK"/>
          <w:bCs/>
          <w:sz w:val="32"/>
          <w:szCs w:val="32"/>
        </w:rPr>
        <w:t>企业，按</w:t>
      </w:r>
      <w:r>
        <w:rPr>
          <w:rFonts w:hint="eastAsia" w:eastAsia="方正仿宋_GBK"/>
          <w:bCs/>
          <w:sz w:val="32"/>
          <w:szCs w:val="32"/>
        </w:rPr>
        <w:t>该新成立的</w:t>
      </w:r>
      <w:r>
        <w:rPr>
          <w:rFonts w:eastAsia="方正仿宋_GBK"/>
          <w:bCs/>
          <w:sz w:val="32"/>
          <w:szCs w:val="32"/>
        </w:rPr>
        <w:t>软件</w:t>
      </w:r>
      <w:r>
        <w:rPr>
          <w:rFonts w:hint="eastAsia" w:eastAsia="方正仿宋_GBK"/>
          <w:bCs/>
          <w:sz w:val="32"/>
          <w:szCs w:val="32"/>
        </w:rPr>
        <w:t>和信息服务</w:t>
      </w:r>
      <w:r>
        <w:rPr>
          <w:rFonts w:eastAsia="方正仿宋_GBK"/>
          <w:bCs/>
          <w:sz w:val="32"/>
          <w:szCs w:val="32"/>
        </w:rPr>
        <w:t>企业</w:t>
      </w:r>
      <w:r>
        <w:rPr>
          <w:rFonts w:hint="eastAsia" w:eastAsia="方正仿宋_GBK"/>
          <w:bCs/>
          <w:sz w:val="32"/>
          <w:szCs w:val="32"/>
        </w:rPr>
        <w:t>当年软件业务</w:t>
      </w:r>
      <w:r>
        <w:rPr>
          <w:rFonts w:eastAsia="方正仿宋_GBK"/>
          <w:bCs/>
          <w:sz w:val="32"/>
          <w:szCs w:val="32"/>
        </w:rPr>
        <w:t>收入的10％给予一次性奖励，</w:t>
      </w:r>
      <w:r>
        <w:rPr>
          <w:rFonts w:hint="eastAsia" w:eastAsia="方正仿宋_GBK"/>
          <w:bCs/>
          <w:sz w:val="32"/>
          <w:szCs w:val="32"/>
        </w:rPr>
        <w:t>原则上新成立的当年软件业务收入不得低于100万元，对单个企业支持总额</w:t>
      </w:r>
      <w:r>
        <w:rPr>
          <w:rFonts w:eastAsia="方正仿宋_GBK"/>
          <w:bCs/>
          <w:sz w:val="32"/>
          <w:szCs w:val="32"/>
        </w:rPr>
        <w:t>不超过100万元。（</w:t>
      </w:r>
      <w:r>
        <w:rPr>
          <w:rFonts w:eastAsia="方正楷体_GBK"/>
          <w:bCs/>
          <w:sz w:val="32"/>
          <w:szCs w:val="32"/>
        </w:rPr>
        <w:t>牵头单位：区经</w:t>
      </w:r>
      <w:r>
        <w:rPr>
          <w:rFonts w:hint="eastAsia" w:eastAsia="方正楷体_GBK"/>
          <w:bCs/>
          <w:sz w:val="32"/>
          <w:szCs w:val="32"/>
        </w:rPr>
        <w:t>济</w:t>
      </w:r>
      <w:r>
        <w:rPr>
          <w:rFonts w:eastAsia="方正楷体_GBK"/>
          <w:bCs/>
          <w:sz w:val="32"/>
          <w:szCs w:val="32"/>
        </w:rPr>
        <w:t>信</w:t>
      </w:r>
      <w:r>
        <w:rPr>
          <w:rFonts w:hint="eastAsia" w:eastAsia="方正楷体_GBK"/>
          <w:bCs/>
          <w:sz w:val="32"/>
          <w:szCs w:val="32"/>
        </w:rPr>
        <w:t>息</w:t>
      </w:r>
      <w:r>
        <w:rPr>
          <w:rFonts w:eastAsia="方正楷体_GBK"/>
          <w:bCs/>
          <w:sz w:val="32"/>
          <w:szCs w:val="32"/>
        </w:rPr>
        <w:t>委，责任单位：园城</w:t>
      </w:r>
      <w:r>
        <w:rPr>
          <w:rFonts w:hint="eastAsia" w:eastAsia="方正楷体_GBK"/>
          <w:bCs/>
          <w:sz w:val="32"/>
          <w:szCs w:val="32"/>
        </w:rPr>
        <w:t>公司</w:t>
      </w:r>
      <w:r>
        <w:rPr>
          <w:rFonts w:eastAsia="方正仿宋_GBK"/>
          <w:bCs/>
          <w:sz w:val="32"/>
          <w:szCs w:val="32"/>
        </w:rPr>
        <w:t>）</w:t>
      </w:r>
    </w:p>
    <w:p>
      <w:pPr>
        <w:keepNext w:val="0"/>
        <w:keepLines w:val="0"/>
        <w:pageBreakBefore w:val="0"/>
        <w:overflowPunct/>
        <w:topLinePunct w:val="0"/>
        <w:bidi w:val="0"/>
        <w:spacing w:line="600" w:lineRule="exact"/>
        <w:ind w:firstLine="643" w:firstLineChars="200"/>
        <w:rPr>
          <w:rFonts w:eastAsia="方正楷体_GBK"/>
          <w:bCs/>
          <w:sz w:val="32"/>
          <w:szCs w:val="32"/>
        </w:rPr>
      </w:pPr>
      <w:r>
        <w:rPr>
          <w:rFonts w:eastAsia="方正仿宋_GBK"/>
          <w:b/>
          <w:sz w:val="32"/>
          <w:szCs w:val="32"/>
        </w:rPr>
        <w:t>第</w:t>
      </w:r>
      <w:r>
        <w:rPr>
          <w:rFonts w:hint="eastAsia" w:eastAsia="方正仿宋_GBK"/>
          <w:b/>
          <w:sz w:val="32"/>
          <w:szCs w:val="32"/>
        </w:rPr>
        <w:t>五</w:t>
      </w:r>
      <w:r>
        <w:rPr>
          <w:rFonts w:eastAsia="方正仿宋_GBK"/>
          <w:b/>
          <w:sz w:val="32"/>
          <w:szCs w:val="32"/>
        </w:rPr>
        <w:t>条</w:t>
      </w:r>
      <w:r>
        <w:rPr>
          <w:rFonts w:hint="eastAsia" w:eastAsia="方正仿宋_GBK"/>
          <w:b/>
          <w:sz w:val="32"/>
          <w:szCs w:val="32"/>
        </w:rPr>
        <w:t xml:space="preserve"> </w:t>
      </w:r>
      <w:r>
        <w:rPr>
          <w:rFonts w:hint="eastAsia" w:eastAsia="方正仿宋_GBK"/>
          <w:bCs/>
          <w:sz w:val="32"/>
          <w:szCs w:val="32"/>
        </w:rPr>
        <w:t>对</w:t>
      </w:r>
      <w:r>
        <w:rPr>
          <w:rFonts w:eastAsia="方正仿宋_GBK"/>
          <w:bCs/>
          <w:sz w:val="32"/>
          <w:szCs w:val="32"/>
        </w:rPr>
        <w:t>国家重点软件企业、中国软件与信息技术服务</w:t>
      </w:r>
      <w:r>
        <w:rPr>
          <w:rFonts w:hint="eastAsia" w:eastAsia="方正仿宋_GBK"/>
          <w:bCs/>
          <w:sz w:val="32"/>
          <w:szCs w:val="32"/>
        </w:rPr>
        <w:t>行业</w:t>
      </w:r>
      <w:r>
        <w:rPr>
          <w:rFonts w:eastAsia="方正仿宋_GBK"/>
          <w:bCs/>
          <w:sz w:val="32"/>
          <w:szCs w:val="32"/>
        </w:rPr>
        <w:t>综合竞争力</w:t>
      </w:r>
      <w:r>
        <w:rPr>
          <w:rFonts w:hint="eastAsia" w:eastAsia="方正仿宋_GBK"/>
          <w:bCs/>
          <w:sz w:val="32"/>
          <w:szCs w:val="32"/>
        </w:rPr>
        <w:t>较强的软件</w:t>
      </w:r>
      <w:r>
        <w:rPr>
          <w:rFonts w:eastAsia="方正仿宋_GBK"/>
          <w:bCs/>
          <w:sz w:val="32"/>
          <w:szCs w:val="32"/>
        </w:rPr>
        <w:t>企业，可按照</w:t>
      </w:r>
      <w:r>
        <w:rPr>
          <w:rFonts w:hint="eastAsia" w:eastAsia="方正仿宋_GBK"/>
          <w:bCs/>
          <w:sz w:val="32"/>
          <w:szCs w:val="32"/>
        </w:rPr>
        <w:t>“</w:t>
      </w:r>
      <w:r>
        <w:rPr>
          <w:rFonts w:eastAsia="方正仿宋_GBK"/>
          <w:bCs/>
          <w:sz w:val="32"/>
          <w:szCs w:val="32"/>
        </w:rPr>
        <w:t>一事一议</w:t>
      </w:r>
      <w:r>
        <w:rPr>
          <w:rFonts w:hint="eastAsia" w:eastAsia="方正仿宋_GBK"/>
          <w:bCs/>
          <w:sz w:val="32"/>
          <w:szCs w:val="32"/>
        </w:rPr>
        <w:t>”</w:t>
      </w:r>
      <w:r>
        <w:rPr>
          <w:rFonts w:eastAsia="方正仿宋_GBK"/>
          <w:bCs/>
          <w:sz w:val="32"/>
          <w:szCs w:val="32"/>
        </w:rPr>
        <w:t>原则</w:t>
      </w:r>
      <w:r>
        <w:rPr>
          <w:rFonts w:hint="eastAsia" w:eastAsia="方正仿宋_GBK"/>
          <w:bCs/>
          <w:sz w:val="32"/>
          <w:szCs w:val="32"/>
        </w:rPr>
        <w:t>给予最高</w:t>
      </w:r>
      <w:r>
        <w:rPr>
          <w:rFonts w:eastAsia="方正仿宋_GBK"/>
          <w:bCs/>
          <w:sz w:val="32"/>
          <w:szCs w:val="32"/>
        </w:rPr>
        <w:t>500</w:t>
      </w:r>
      <w:r>
        <w:rPr>
          <w:rFonts w:hint="eastAsia" w:eastAsia="方正仿宋_GBK"/>
          <w:bCs/>
          <w:sz w:val="32"/>
          <w:szCs w:val="32"/>
        </w:rPr>
        <w:t>万元一次性补助。鼓励软件企业在我区设立区域总部。</w:t>
      </w:r>
      <w:r>
        <w:rPr>
          <w:rFonts w:eastAsia="方正楷体_GBK"/>
          <w:bCs/>
          <w:sz w:val="32"/>
          <w:szCs w:val="32"/>
        </w:rPr>
        <w:t>（牵头单位：区经</w:t>
      </w:r>
      <w:r>
        <w:rPr>
          <w:rFonts w:hint="eastAsia" w:eastAsia="方正楷体_GBK"/>
          <w:bCs/>
          <w:sz w:val="32"/>
          <w:szCs w:val="32"/>
        </w:rPr>
        <w:t>济</w:t>
      </w:r>
      <w:r>
        <w:rPr>
          <w:rFonts w:eastAsia="方正楷体_GBK"/>
          <w:bCs/>
          <w:sz w:val="32"/>
          <w:szCs w:val="32"/>
        </w:rPr>
        <w:t>信</w:t>
      </w:r>
      <w:r>
        <w:rPr>
          <w:rFonts w:hint="eastAsia" w:eastAsia="方正楷体_GBK"/>
          <w:bCs/>
          <w:sz w:val="32"/>
          <w:szCs w:val="32"/>
        </w:rPr>
        <w:t>息</w:t>
      </w:r>
      <w:r>
        <w:rPr>
          <w:rFonts w:eastAsia="方正楷体_GBK"/>
          <w:bCs/>
          <w:sz w:val="32"/>
          <w:szCs w:val="32"/>
        </w:rPr>
        <w:t>委，责任单位：区招</w:t>
      </w:r>
      <w:r>
        <w:rPr>
          <w:rFonts w:hint="eastAsia" w:eastAsia="方正楷体_GBK"/>
          <w:bCs/>
          <w:sz w:val="32"/>
          <w:szCs w:val="32"/>
        </w:rPr>
        <w:t>商</w:t>
      </w:r>
      <w:r>
        <w:rPr>
          <w:rFonts w:eastAsia="方正楷体_GBK"/>
          <w:bCs/>
          <w:sz w:val="32"/>
          <w:szCs w:val="32"/>
        </w:rPr>
        <w:t>投</w:t>
      </w:r>
      <w:r>
        <w:rPr>
          <w:rFonts w:hint="eastAsia" w:eastAsia="方正楷体_GBK"/>
          <w:bCs/>
          <w:sz w:val="32"/>
          <w:szCs w:val="32"/>
        </w:rPr>
        <w:t>资</w:t>
      </w:r>
      <w:r>
        <w:rPr>
          <w:rFonts w:eastAsia="方正楷体_GBK"/>
          <w:bCs/>
          <w:sz w:val="32"/>
          <w:szCs w:val="32"/>
        </w:rPr>
        <w:t>局、区科技局、园城</w:t>
      </w:r>
      <w:r>
        <w:rPr>
          <w:rFonts w:hint="eastAsia" w:eastAsia="方正楷体_GBK"/>
          <w:bCs/>
          <w:sz w:val="32"/>
          <w:szCs w:val="32"/>
        </w:rPr>
        <w:t>公司</w:t>
      </w:r>
      <w:r>
        <w:rPr>
          <w:rFonts w:eastAsia="方正楷体_GBK"/>
          <w:bCs/>
          <w:sz w:val="32"/>
          <w:szCs w:val="32"/>
        </w:rPr>
        <w:t>）</w:t>
      </w:r>
    </w:p>
    <w:p>
      <w:pPr>
        <w:keepNext w:val="0"/>
        <w:keepLines w:val="0"/>
        <w:pageBreakBefore w:val="0"/>
        <w:overflowPunct/>
        <w:topLinePunct w:val="0"/>
        <w:bidi w:val="0"/>
        <w:spacing w:line="600" w:lineRule="exact"/>
        <w:jc w:val="center"/>
        <w:rPr>
          <w:rFonts w:eastAsia="方正黑体_GBK"/>
          <w:sz w:val="32"/>
          <w:szCs w:val="32"/>
        </w:rPr>
      </w:pPr>
    </w:p>
    <w:p>
      <w:pPr>
        <w:keepNext w:val="0"/>
        <w:keepLines w:val="0"/>
        <w:pageBreakBefore w:val="0"/>
        <w:overflowPunct/>
        <w:topLinePunct w:val="0"/>
        <w:bidi w:val="0"/>
        <w:spacing w:line="600" w:lineRule="exact"/>
        <w:jc w:val="center"/>
        <w:rPr>
          <w:rFonts w:eastAsia="方正黑体_GBK"/>
          <w:sz w:val="32"/>
          <w:szCs w:val="32"/>
        </w:rPr>
      </w:pPr>
      <w:r>
        <w:rPr>
          <w:rFonts w:eastAsia="方正黑体_GBK"/>
          <w:sz w:val="32"/>
          <w:szCs w:val="32"/>
        </w:rPr>
        <w:t>第</w:t>
      </w:r>
      <w:r>
        <w:rPr>
          <w:rFonts w:hint="eastAsia" w:eastAsia="方正黑体_GBK"/>
          <w:sz w:val="32"/>
          <w:szCs w:val="32"/>
        </w:rPr>
        <w:t>四</w:t>
      </w:r>
      <w:r>
        <w:rPr>
          <w:rFonts w:eastAsia="方正黑体_GBK"/>
          <w:sz w:val="32"/>
          <w:szCs w:val="32"/>
        </w:rPr>
        <w:t>章</w:t>
      </w:r>
      <w:r>
        <w:rPr>
          <w:rFonts w:hint="eastAsia" w:eastAsia="方正黑体_GBK"/>
          <w:sz w:val="32"/>
          <w:szCs w:val="32"/>
          <w:lang w:val="en-US" w:eastAsia="zh-CN"/>
        </w:rPr>
        <w:t xml:space="preserve">  </w:t>
      </w:r>
      <w:r>
        <w:rPr>
          <w:rFonts w:hint="eastAsia" w:eastAsia="方正黑体_GBK"/>
          <w:sz w:val="32"/>
          <w:szCs w:val="32"/>
        </w:rPr>
        <w:t>人才建设支持</w:t>
      </w:r>
    </w:p>
    <w:p>
      <w:pPr>
        <w:keepNext w:val="0"/>
        <w:keepLines w:val="0"/>
        <w:pageBreakBefore w:val="0"/>
        <w:overflowPunct/>
        <w:topLinePunct w:val="0"/>
        <w:bidi w:val="0"/>
        <w:spacing w:line="600" w:lineRule="exact"/>
        <w:ind w:firstLine="643" w:firstLineChars="200"/>
        <w:rPr>
          <w:rFonts w:eastAsia="方正楷体_GBK"/>
          <w:bCs/>
          <w:sz w:val="32"/>
          <w:szCs w:val="32"/>
        </w:rPr>
      </w:pPr>
      <w:r>
        <w:rPr>
          <w:rFonts w:eastAsia="方正仿宋_GBK"/>
          <w:b/>
          <w:bCs/>
          <w:sz w:val="32"/>
          <w:szCs w:val="32"/>
        </w:rPr>
        <w:t>第</w:t>
      </w:r>
      <w:r>
        <w:rPr>
          <w:rFonts w:hint="eastAsia" w:eastAsia="方正仿宋_GBK"/>
          <w:b/>
          <w:bCs/>
          <w:sz w:val="32"/>
          <w:szCs w:val="32"/>
        </w:rPr>
        <w:t>六</w:t>
      </w:r>
      <w:r>
        <w:rPr>
          <w:rFonts w:eastAsia="方正仿宋_GBK"/>
          <w:b/>
          <w:bCs/>
          <w:sz w:val="32"/>
          <w:szCs w:val="32"/>
        </w:rPr>
        <w:t xml:space="preserve">条 </w:t>
      </w:r>
      <w:r>
        <w:rPr>
          <w:rFonts w:hint="eastAsia" w:eastAsia="方正仿宋_GBK"/>
          <w:bCs/>
          <w:sz w:val="32"/>
          <w:szCs w:val="32"/>
        </w:rPr>
        <w:t>2022年1月1日后</w:t>
      </w:r>
      <w:r>
        <w:rPr>
          <w:rFonts w:hint="eastAsia" w:eastAsia="方正仿宋_GBK"/>
          <w:sz w:val="32"/>
          <w:szCs w:val="32"/>
        </w:rPr>
        <w:t>首次在碚全职工作并与软件相关企业签订1年（含）以上劳动（聘用）合同、按规定缴纳社会保险费的软件人才，根据计算机技术与软件专业技术资格等级（对取得企业认证资格的软件人才参照</w:t>
      </w:r>
      <w:r>
        <w:rPr>
          <w:rFonts w:hint="eastAsia" w:eastAsia="方正仿宋_GBK"/>
          <w:bCs/>
          <w:sz w:val="32"/>
          <w:szCs w:val="32"/>
        </w:rPr>
        <w:t>计算机技术与软件专业技术资格</w:t>
      </w:r>
      <w:r>
        <w:rPr>
          <w:rFonts w:hint="eastAsia" w:eastAsia="方正仿宋_GBK"/>
          <w:sz w:val="32"/>
          <w:szCs w:val="32"/>
        </w:rPr>
        <w:t>等级标准执行，未/不分等级的参照中级标准执行），</w:t>
      </w:r>
      <w:r>
        <w:rPr>
          <w:rFonts w:hint="eastAsia" w:eastAsia="方正仿宋_GBK"/>
          <w:bCs/>
          <w:sz w:val="32"/>
          <w:szCs w:val="32"/>
        </w:rPr>
        <w:t>按照初级最高</w:t>
      </w:r>
      <w:r>
        <w:rPr>
          <w:rFonts w:eastAsia="方正仿宋_GBK"/>
          <w:sz w:val="32"/>
          <w:szCs w:val="32"/>
        </w:rPr>
        <w:t>2</w:t>
      </w:r>
      <w:r>
        <w:rPr>
          <w:rFonts w:hint="eastAsia" w:eastAsia="方正仿宋_GBK"/>
          <w:sz w:val="32"/>
          <w:szCs w:val="32"/>
        </w:rPr>
        <w:t>万元/人</w:t>
      </w:r>
      <w:r>
        <w:rPr>
          <w:rFonts w:hint="eastAsia" w:eastAsia="方正仿宋_GBK"/>
          <w:bCs/>
          <w:sz w:val="32"/>
          <w:szCs w:val="32"/>
        </w:rPr>
        <w:t>、中级最高</w:t>
      </w:r>
      <w:r>
        <w:rPr>
          <w:rFonts w:eastAsia="方正仿宋_GBK"/>
          <w:sz w:val="32"/>
          <w:szCs w:val="32"/>
        </w:rPr>
        <w:t>3</w:t>
      </w:r>
      <w:r>
        <w:rPr>
          <w:rFonts w:hint="eastAsia" w:eastAsia="方正仿宋_GBK"/>
          <w:sz w:val="32"/>
          <w:szCs w:val="32"/>
        </w:rPr>
        <w:t>万元/人</w:t>
      </w:r>
      <w:r>
        <w:rPr>
          <w:rFonts w:hint="eastAsia" w:eastAsia="方正仿宋_GBK"/>
          <w:bCs/>
          <w:sz w:val="32"/>
          <w:szCs w:val="32"/>
        </w:rPr>
        <w:t>、高级最高</w:t>
      </w:r>
      <w:r>
        <w:rPr>
          <w:rFonts w:eastAsia="方正仿宋_GBK"/>
          <w:sz w:val="32"/>
          <w:szCs w:val="32"/>
        </w:rPr>
        <w:t>5</w:t>
      </w:r>
      <w:r>
        <w:rPr>
          <w:rFonts w:hint="eastAsia" w:eastAsia="方正仿宋_GBK"/>
          <w:sz w:val="32"/>
          <w:szCs w:val="32"/>
        </w:rPr>
        <w:t>万元/人给予一次性人才奖励。单次享受奖励人员不超过企业总人数的</w:t>
      </w:r>
      <w:r>
        <w:rPr>
          <w:rFonts w:eastAsia="方正仿宋_GBK"/>
          <w:sz w:val="32"/>
          <w:szCs w:val="32"/>
        </w:rPr>
        <w:t>60%</w:t>
      </w:r>
      <w:r>
        <w:rPr>
          <w:rFonts w:hint="eastAsia" w:eastAsia="方正仿宋_GBK"/>
          <w:sz w:val="32"/>
          <w:szCs w:val="32"/>
        </w:rPr>
        <w:t>，年度内单个企业最高不超过2</w:t>
      </w:r>
      <w:r>
        <w:rPr>
          <w:rFonts w:eastAsia="方正仿宋_GBK"/>
          <w:sz w:val="32"/>
          <w:szCs w:val="32"/>
        </w:rPr>
        <w:t>00</w:t>
      </w:r>
      <w:r>
        <w:rPr>
          <w:rFonts w:hint="eastAsia" w:eastAsia="方正仿宋_GBK"/>
          <w:sz w:val="32"/>
          <w:szCs w:val="32"/>
        </w:rPr>
        <w:t>万元。对引进</w:t>
      </w:r>
      <w:r>
        <w:rPr>
          <w:rFonts w:eastAsia="方正仿宋_GBK"/>
          <w:sz w:val="32"/>
          <w:szCs w:val="32"/>
        </w:rPr>
        <w:t>的</w:t>
      </w:r>
      <w:r>
        <w:rPr>
          <w:rFonts w:hint="eastAsia" w:eastAsia="方正仿宋_GBK"/>
          <w:sz w:val="32"/>
          <w:szCs w:val="32"/>
        </w:rPr>
        <w:t>履行</w:t>
      </w:r>
      <w:r>
        <w:rPr>
          <w:rFonts w:eastAsia="方正仿宋_GBK"/>
          <w:sz w:val="32"/>
          <w:szCs w:val="32"/>
        </w:rPr>
        <w:t>个税缴纳义务的</w:t>
      </w:r>
      <w:r>
        <w:rPr>
          <w:rFonts w:hint="eastAsia" w:eastAsia="方正仿宋_GBK"/>
          <w:sz w:val="32"/>
          <w:szCs w:val="32"/>
        </w:rPr>
        <w:t>软件</w:t>
      </w:r>
      <w:r>
        <w:rPr>
          <w:rFonts w:eastAsia="方正仿宋_GBK"/>
          <w:sz w:val="32"/>
          <w:szCs w:val="32"/>
        </w:rPr>
        <w:t>人才</w:t>
      </w:r>
      <w:r>
        <w:rPr>
          <w:rFonts w:hint="eastAsia" w:eastAsia="方正仿宋_GBK"/>
          <w:sz w:val="32"/>
          <w:szCs w:val="32"/>
        </w:rPr>
        <w:t>给予</w:t>
      </w:r>
      <w:r>
        <w:rPr>
          <w:rFonts w:eastAsia="方正仿宋_GBK"/>
          <w:sz w:val="32"/>
          <w:szCs w:val="32"/>
        </w:rPr>
        <w:t>适当的</w:t>
      </w:r>
      <w:r>
        <w:rPr>
          <w:rFonts w:hint="eastAsia" w:eastAsia="方正仿宋_GBK"/>
          <w:sz w:val="32"/>
          <w:szCs w:val="32"/>
        </w:rPr>
        <w:t>奖励。支持软件和信息服务企业与职业院校、培训机构共建软件人才培训基地，基地投入运行并经认定后，根据培训规模、项目实施效果给予一次性最高50万元补助。</w:t>
      </w:r>
      <w:r>
        <w:rPr>
          <w:rFonts w:eastAsia="方正楷体_GBK"/>
          <w:bCs/>
          <w:sz w:val="32"/>
          <w:szCs w:val="32"/>
        </w:rPr>
        <w:t>（牵头单位：区经</w:t>
      </w:r>
      <w:r>
        <w:rPr>
          <w:rFonts w:hint="eastAsia" w:eastAsia="方正楷体_GBK"/>
          <w:bCs/>
          <w:sz w:val="32"/>
          <w:szCs w:val="32"/>
        </w:rPr>
        <w:t>济</w:t>
      </w:r>
      <w:r>
        <w:rPr>
          <w:rFonts w:eastAsia="方正楷体_GBK"/>
          <w:bCs/>
          <w:sz w:val="32"/>
          <w:szCs w:val="32"/>
        </w:rPr>
        <w:t>信</w:t>
      </w:r>
      <w:r>
        <w:rPr>
          <w:rFonts w:hint="eastAsia" w:eastAsia="方正楷体_GBK"/>
          <w:bCs/>
          <w:sz w:val="32"/>
          <w:szCs w:val="32"/>
        </w:rPr>
        <w:t>息</w:t>
      </w:r>
      <w:r>
        <w:rPr>
          <w:rFonts w:eastAsia="方正楷体_GBK"/>
          <w:bCs/>
          <w:sz w:val="32"/>
          <w:szCs w:val="32"/>
        </w:rPr>
        <w:t>委，责任单位：</w:t>
      </w:r>
      <w:r>
        <w:rPr>
          <w:rFonts w:hint="eastAsia" w:eastAsia="方正楷体_GBK"/>
          <w:bCs/>
          <w:sz w:val="32"/>
          <w:szCs w:val="32"/>
        </w:rPr>
        <w:t>区人才办、</w:t>
      </w:r>
      <w:r>
        <w:rPr>
          <w:rFonts w:eastAsia="方正楷体_GBK"/>
          <w:bCs/>
          <w:sz w:val="32"/>
          <w:szCs w:val="32"/>
        </w:rPr>
        <w:t>区</w:t>
      </w:r>
      <w:r>
        <w:rPr>
          <w:rFonts w:hint="eastAsia" w:eastAsia="方正楷体_GBK"/>
          <w:bCs/>
          <w:sz w:val="32"/>
          <w:szCs w:val="32"/>
        </w:rPr>
        <w:t>人力社保</w:t>
      </w:r>
      <w:r>
        <w:rPr>
          <w:rFonts w:eastAsia="方正楷体_GBK"/>
          <w:bCs/>
          <w:sz w:val="32"/>
          <w:szCs w:val="32"/>
        </w:rPr>
        <w:t>局</w:t>
      </w:r>
      <w:r>
        <w:rPr>
          <w:rFonts w:hint="eastAsia" w:eastAsia="方正楷体_GBK"/>
          <w:bCs/>
          <w:sz w:val="32"/>
          <w:szCs w:val="32"/>
        </w:rPr>
        <w:t>）</w:t>
      </w:r>
    </w:p>
    <w:p>
      <w:pPr>
        <w:keepNext w:val="0"/>
        <w:keepLines w:val="0"/>
        <w:pageBreakBefore w:val="0"/>
        <w:overflowPunct/>
        <w:topLinePunct w:val="0"/>
        <w:bidi w:val="0"/>
        <w:spacing w:line="600" w:lineRule="exact"/>
        <w:jc w:val="center"/>
        <w:rPr>
          <w:rFonts w:eastAsia="方正黑体_GBK"/>
          <w:sz w:val="32"/>
          <w:szCs w:val="32"/>
        </w:rPr>
      </w:pPr>
    </w:p>
    <w:p>
      <w:pPr>
        <w:keepNext w:val="0"/>
        <w:keepLines w:val="0"/>
        <w:pageBreakBefore w:val="0"/>
        <w:overflowPunct/>
        <w:topLinePunct w:val="0"/>
        <w:bidi w:val="0"/>
        <w:spacing w:line="600" w:lineRule="exact"/>
        <w:jc w:val="center"/>
        <w:rPr>
          <w:rFonts w:eastAsia="方正黑体_GBK"/>
          <w:sz w:val="32"/>
          <w:szCs w:val="32"/>
        </w:rPr>
      </w:pPr>
      <w:r>
        <w:rPr>
          <w:rFonts w:eastAsia="方正黑体_GBK"/>
          <w:sz w:val="32"/>
          <w:szCs w:val="32"/>
        </w:rPr>
        <w:t>第</w:t>
      </w:r>
      <w:r>
        <w:rPr>
          <w:rFonts w:hint="eastAsia" w:eastAsia="方正黑体_GBK"/>
          <w:sz w:val="32"/>
          <w:szCs w:val="32"/>
        </w:rPr>
        <w:t>五</w:t>
      </w:r>
      <w:r>
        <w:rPr>
          <w:rFonts w:eastAsia="方正黑体_GBK"/>
          <w:sz w:val="32"/>
          <w:szCs w:val="32"/>
        </w:rPr>
        <w:t>章</w:t>
      </w:r>
      <w:r>
        <w:rPr>
          <w:rFonts w:hint="eastAsia" w:eastAsia="方正黑体_GBK"/>
          <w:sz w:val="32"/>
          <w:szCs w:val="32"/>
          <w:lang w:val="en-US" w:eastAsia="zh-CN"/>
        </w:rPr>
        <w:t xml:space="preserve">  </w:t>
      </w:r>
      <w:r>
        <w:rPr>
          <w:rFonts w:hint="eastAsia" w:eastAsia="方正黑体_GBK"/>
          <w:sz w:val="32"/>
          <w:szCs w:val="32"/>
        </w:rPr>
        <w:t>研发创新支持</w:t>
      </w:r>
    </w:p>
    <w:p>
      <w:pPr>
        <w:keepNext w:val="0"/>
        <w:keepLines w:val="0"/>
        <w:pageBreakBefore w:val="0"/>
        <w:overflowPunct/>
        <w:topLinePunct w:val="0"/>
        <w:bidi w:val="0"/>
        <w:spacing w:line="600" w:lineRule="exact"/>
        <w:ind w:firstLine="643" w:firstLineChars="200"/>
        <w:rPr>
          <w:rFonts w:eastAsia="方正楷体_GBK"/>
          <w:bCs/>
          <w:sz w:val="32"/>
          <w:szCs w:val="32"/>
        </w:rPr>
      </w:pPr>
      <w:r>
        <w:rPr>
          <w:rFonts w:eastAsia="方正仿宋_GBK"/>
          <w:b/>
          <w:bCs/>
          <w:sz w:val="32"/>
          <w:szCs w:val="32"/>
        </w:rPr>
        <w:t>第</w:t>
      </w:r>
      <w:r>
        <w:rPr>
          <w:rFonts w:hint="eastAsia" w:eastAsia="方正仿宋_GBK"/>
          <w:b/>
          <w:bCs/>
          <w:sz w:val="32"/>
          <w:szCs w:val="32"/>
        </w:rPr>
        <w:t>七</w:t>
      </w:r>
      <w:r>
        <w:rPr>
          <w:rFonts w:eastAsia="方正仿宋_GBK"/>
          <w:b/>
          <w:bCs/>
          <w:sz w:val="32"/>
          <w:szCs w:val="32"/>
        </w:rPr>
        <w:t xml:space="preserve">条 </w:t>
      </w:r>
      <w:r>
        <w:rPr>
          <w:rFonts w:hint="eastAsia" w:eastAsia="方正仿宋_GBK"/>
          <w:sz w:val="32"/>
          <w:szCs w:val="32"/>
        </w:rPr>
        <w:t>对主导制修订国家标准、行业标准、地方标准、团体标准的企业，每项分别给予10万元、5万元、3万元、2万元一次性财政扶持。</w:t>
      </w:r>
      <w:r>
        <w:rPr>
          <w:rFonts w:eastAsia="方正仿宋_GBK"/>
          <w:sz w:val="32"/>
          <w:szCs w:val="32"/>
        </w:rPr>
        <w:t>对</w:t>
      </w:r>
      <w:r>
        <w:rPr>
          <w:rFonts w:hint="eastAsia" w:eastAsia="方正仿宋_GBK"/>
          <w:sz w:val="32"/>
          <w:szCs w:val="32"/>
        </w:rPr>
        <w:t>新获得发明</w:t>
      </w:r>
      <w:r>
        <w:rPr>
          <w:rFonts w:eastAsia="方正仿宋_GBK"/>
          <w:sz w:val="32"/>
          <w:szCs w:val="32"/>
        </w:rPr>
        <w:t>专利</w:t>
      </w:r>
      <w:r>
        <w:rPr>
          <w:rFonts w:hint="eastAsia" w:eastAsia="方正仿宋_GBK"/>
          <w:sz w:val="32"/>
          <w:szCs w:val="32"/>
        </w:rPr>
        <w:t>、测评报告、</w:t>
      </w:r>
      <w:r>
        <w:rPr>
          <w:rFonts w:eastAsia="方正仿宋_GBK"/>
          <w:sz w:val="32"/>
          <w:szCs w:val="32"/>
        </w:rPr>
        <w:t>软件著作权的</w:t>
      </w:r>
      <w:r>
        <w:rPr>
          <w:rFonts w:hint="eastAsia" w:eastAsia="方正仿宋_GBK"/>
          <w:sz w:val="32"/>
          <w:szCs w:val="32"/>
        </w:rPr>
        <w:t>软件和信息服务</w:t>
      </w:r>
      <w:r>
        <w:rPr>
          <w:rFonts w:eastAsia="方正仿宋_GBK"/>
          <w:sz w:val="32"/>
          <w:szCs w:val="32"/>
        </w:rPr>
        <w:t>企业，给予2000</w:t>
      </w:r>
      <w:r>
        <w:rPr>
          <w:rFonts w:hint="eastAsia" w:eastAsia="方正仿宋_GBK"/>
          <w:sz w:val="32"/>
          <w:szCs w:val="32"/>
        </w:rPr>
        <w:t>元/件一次性</w:t>
      </w:r>
      <w:r>
        <w:rPr>
          <w:rFonts w:eastAsia="方正仿宋_GBK"/>
          <w:sz w:val="32"/>
          <w:szCs w:val="32"/>
        </w:rPr>
        <w:t>奖励</w:t>
      </w:r>
      <w:r>
        <w:rPr>
          <w:rFonts w:hint="eastAsia" w:eastAsia="方正仿宋_GBK"/>
          <w:sz w:val="32"/>
          <w:szCs w:val="32"/>
        </w:rPr>
        <w:t>。</w:t>
      </w:r>
      <w:r>
        <w:rPr>
          <w:rFonts w:eastAsia="方正楷体_GBK"/>
          <w:bCs/>
          <w:sz w:val="32"/>
          <w:szCs w:val="32"/>
        </w:rPr>
        <w:t>（牵头单位：区</w:t>
      </w:r>
      <w:r>
        <w:rPr>
          <w:rFonts w:hint="eastAsia" w:eastAsia="方正楷体_GBK"/>
          <w:bCs/>
          <w:sz w:val="32"/>
          <w:szCs w:val="32"/>
        </w:rPr>
        <w:t>市场监管局，责任单位：区财政局、区经济信息委</w:t>
      </w:r>
      <w:r>
        <w:rPr>
          <w:rFonts w:eastAsia="方正楷体_GBK"/>
          <w:bCs/>
          <w:sz w:val="32"/>
          <w:szCs w:val="32"/>
        </w:rPr>
        <w:t>）</w:t>
      </w:r>
    </w:p>
    <w:p>
      <w:pPr>
        <w:keepNext w:val="0"/>
        <w:keepLines w:val="0"/>
        <w:pageBreakBefore w:val="0"/>
        <w:overflowPunct/>
        <w:topLinePunct w:val="0"/>
        <w:bidi w:val="0"/>
        <w:spacing w:line="600" w:lineRule="exact"/>
        <w:ind w:firstLine="643" w:firstLineChars="200"/>
        <w:rPr>
          <w:rFonts w:eastAsia="方正楷体_GBK"/>
          <w:bCs/>
          <w:sz w:val="32"/>
          <w:szCs w:val="32"/>
        </w:rPr>
      </w:pPr>
      <w:r>
        <w:rPr>
          <w:rFonts w:hint="eastAsia" w:eastAsia="方正仿宋_GBK"/>
          <w:b/>
          <w:bCs/>
          <w:sz w:val="32"/>
          <w:szCs w:val="32"/>
        </w:rPr>
        <w:t>第八条</w:t>
      </w:r>
      <w:r>
        <w:rPr>
          <w:rFonts w:hint="eastAsia" w:eastAsia="方正仿宋_GBK"/>
          <w:sz w:val="32"/>
          <w:szCs w:val="32"/>
        </w:rPr>
        <w:t xml:space="preserve"> 支持企业申请“</w:t>
      </w:r>
      <w:r>
        <w:rPr>
          <w:rFonts w:eastAsia="方正仿宋_GBK"/>
          <w:sz w:val="32"/>
          <w:szCs w:val="32"/>
        </w:rPr>
        <w:t>双软认证</w:t>
      </w:r>
      <w:r>
        <w:rPr>
          <w:rFonts w:hint="eastAsia" w:eastAsia="方正仿宋_GBK"/>
          <w:sz w:val="32"/>
          <w:szCs w:val="32"/>
        </w:rPr>
        <w:t>”</w:t>
      </w:r>
      <w:r>
        <w:rPr>
          <w:rFonts w:eastAsia="方正仿宋_GBK"/>
          <w:sz w:val="32"/>
          <w:szCs w:val="32"/>
        </w:rPr>
        <w:t>（软件产品登记、软件企业认定），对成功</w:t>
      </w:r>
      <w:r>
        <w:rPr>
          <w:rFonts w:hint="eastAsia" w:ascii="方正仿宋_GBK" w:hAnsi="方正仿宋_GBK" w:eastAsia="方正仿宋_GBK" w:cs="方正仿宋_GBK"/>
          <w:sz w:val="32"/>
          <w:szCs w:val="32"/>
        </w:rPr>
        <w:t>获批“双软认证”的企</w:t>
      </w:r>
      <w:r>
        <w:rPr>
          <w:rFonts w:eastAsia="方正仿宋_GBK"/>
          <w:sz w:val="32"/>
          <w:szCs w:val="32"/>
        </w:rPr>
        <w:t>业可</w:t>
      </w:r>
      <w:r>
        <w:rPr>
          <w:rFonts w:hint="eastAsia" w:eastAsia="方正仿宋_GBK"/>
          <w:sz w:val="32"/>
          <w:szCs w:val="32"/>
        </w:rPr>
        <w:t>按</w:t>
      </w:r>
      <w:r>
        <w:rPr>
          <w:rFonts w:eastAsia="方正仿宋_GBK"/>
          <w:sz w:val="32"/>
          <w:szCs w:val="32"/>
        </w:rPr>
        <w:t>国家规定享受企业所得税</w:t>
      </w:r>
      <w:r>
        <w:rPr>
          <w:rFonts w:hint="eastAsia" w:eastAsia="方正仿宋_GBK"/>
          <w:sz w:val="32"/>
          <w:szCs w:val="32"/>
        </w:rPr>
        <w:t>“</w:t>
      </w:r>
      <w:r>
        <w:rPr>
          <w:rFonts w:eastAsia="方正仿宋_GBK"/>
          <w:sz w:val="32"/>
          <w:szCs w:val="32"/>
        </w:rPr>
        <w:t>两免三减半</w:t>
      </w:r>
      <w:r>
        <w:rPr>
          <w:rFonts w:hint="eastAsia" w:eastAsia="方正仿宋_GBK"/>
          <w:sz w:val="32"/>
          <w:szCs w:val="32"/>
        </w:rPr>
        <w:t>”</w:t>
      </w:r>
      <w:r>
        <w:rPr>
          <w:rFonts w:eastAsia="方正仿宋_GBK"/>
          <w:sz w:val="32"/>
          <w:szCs w:val="32"/>
        </w:rPr>
        <w:t>、增值税即征即退等政策</w:t>
      </w:r>
      <w:r>
        <w:rPr>
          <w:rFonts w:hint="eastAsia" w:eastAsia="方正仿宋_GBK"/>
          <w:sz w:val="32"/>
          <w:szCs w:val="32"/>
        </w:rPr>
        <w:t>。对具有自主知识产权，纳入市级认定的首版次软件产品、重点软件产品，根据技术水平，给予企业最高5</w:t>
      </w:r>
      <w:r>
        <w:rPr>
          <w:rFonts w:eastAsia="方正仿宋_GBK"/>
          <w:sz w:val="32"/>
          <w:szCs w:val="32"/>
        </w:rPr>
        <w:t>0</w:t>
      </w:r>
      <w:r>
        <w:rPr>
          <w:rFonts w:hint="eastAsia" w:eastAsia="方正仿宋_GBK"/>
          <w:sz w:val="32"/>
          <w:szCs w:val="32"/>
        </w:rPr>
        <w:t>万元奖励。</w:t>
      </w:r>
      <w:r>
        <w:rPr>
          <w:rFonts w:eastAsia="方正楷体_GBK"/>
          <w:bCs/>
          <w:sz w:val="32"/>
          <w:szCs w:val="32"/>
        </w:rPr>
        <w:t>（牵头单位：区经</w:t>
      </w:r>
      <w:r>
        <w:rPr>
          <w:rFonts w:hint="eastAsia" w:eastAsia="方正楷体_GBK"/>
          <w:bCs/>
          <w:sz w:val="32"/>
          <w:szCs w:val="32"/>
        </w:rPr>
        <w:t>济</w:t>
      </w:r>
      <w:r>
        <w:rPr>
          <w:rFonts w:eastAsia="方正楷体_GBK"/>
          <w:bCs/>
          <w:sz w:val="32"/>
          <w:szCs w:val="32"/>
        </w:rPr>
        <w:t>信</w:t>
      </w:r>
      <w:r>
        <w:rPr>
          <w:rFonts w:hint="eastAsia" w:eastAsia="方正楷体_GBK"/>
          <w:bCs/>
          <w:sz w:val="32"/>
          <w:szCs w:val="32"/>
        </w:rPr>
        <w:t>息</w:t>
      </w:r>
      <w:r>
        <w:rPr>
          <w:rFonts w:eastAsia="方正楷体_GBK"/>
          <w:bCs/>
          <w:sz w:val="32"/>
          <w:szCs w:val="32"/>
        </w:rPr>
        <w:t>委</w:t>
      </w:r>
      <w:r>
        <w:rPr>
          <w:rFonts w:hint="eastAsia" w:eastAsia="方正楷体_GBK"/>
          <w:bCs/>
          <w:sz w:val="32"/>
          <w:szCs w:val="32"/>
        </w:rPr>
        <w:t>，责任单位：区税务局、园城公司</w:t>
      </w:r>
      <w:r>
        <w:rPr>
          <w:rFonts w:eastAsia="方正楷体_GBK"/>
          <w:bCs/>
          <w:sz w:val="32"/>
          <w:szCs w:val="32"/>
        </w:rPr>
        <w:t>）</w:t>
      </w:r>
    </w:p>
    <w:p>
      <w:pPr>
        <w:keepNext w:val="0"/>
        <w:keepLines w:val="0"/>
        <w:pageBreakBefore w:val="0"/>
        <w:overflowPunct/>
        <w:topLinePunct w:val="0"/>
        <w:bidi w:val="0"/>
        <w:spacing w:line="600" w:lineRule="exact"/>
        <w:jc w:val="center"/>
        <w:rPr>
          <w:rFonts w:eastAsia="方正黑体_GBK"/>
          <w:sz w:val="32"/>
          <w:szCs w:val="32"/>
        </w:rPr>
      </w:pPr>
    </w:p>
    <w:p>
      <w:pPr>
        <w:keepNext w:val="0"/>
        <w:keepLines w:val="0"/>
        <w:pageBreakBefore w:val="0"/>
        <w:overflowPunct/>
        <w:topLinePunct w:val="0"/>
        <w:bidi w:val="0"/>
        <w:spacing w:line="600" w:lineRule="exact"/>
        <w:jc w:val="center"/>
        <w:rPr>
          <w:rFonts w:eastAsia="方正黑体_GBK"/>
          <w:sz w:val="32"/>
          <w:szCs w:val="32"/>
        </w:rPr>
      </w:pPr>
      <w:r>
        <w:rPr>
          <w:rFonts w:eastAsia="方正黑体_GBK"/>
          <w:sz w:val="32"/>
          <w:szCs w:val="32"/>
        </w:rPr>
        <w:t>第</w:t>
      </w:r>
      <w:r>
        <w:rPr>
          <w:rFonts w:hint="eastAsia" w:eastAsia="方正黑体_GBK"/>
          <w:sz w:val="32"/>
          <w:szCs w:val="32"/>
        </w:rPr>
        <w:t>六</w:t>
      </w:r>
      <w:r>
        <w:rPr>
          <w:rFonts w:eastAsia="方正黑体_GBK"/>
          <w:sz w:val="32"/>
          <w:szCs w:val="32"/>
        </w:rPr>
        <w:t>章</w:t>
      </w:r>
      <w:r>
        <w:rPr>
          <w:rFonts w:hint="eastAsia" w:eastAsia="方正黑体_GBK"/>
          <w:sz w:val="32"/>
          <w:szCs w:val="32"/>
          <w:lang w:val="en-US" w:eastAsia="zh-CN"/>
        </w:rPr>
        <w:t xml:space="preserve">  </w:t>
      </w:r>
      <w:r>
        <w:rPr>
          <w:rFonts w:hint="eastAsia" w:eastAsia="方正黑体_GBK"/>
          <w:sz w:val="32"/>
          <w:szCs w:val="32"/>
        </w:rPr>
        <w:t>要素保障支持</w:t>
      </w:r>
    </w:p>
    <w:p>
      <w:pPr>
        <w:keepNext w:val="0"/>
        <w:keepLines w:val="0"/>
        <w:pageBreakBefore w:val="0"/>
        <w:overflowPunct/>
        <w:topLinePunct w:val="0"/>
        <w:bidi w:val="0"/>
        <w:spacing w:line="600" w:lineRule="exact"/>
        <w:ind w:firstLine="643" w:firstLineChars="200"/>
        <w:rPr>
          <w:rFonts w:eastAsia="方正楷体_GBK"/>
          <w:color w:val="FF0000"/>
          <w:sz w:val="32"/>
          <w:szCs w:val="32"/>
        </w:rPr>
      </w:pPr>
      <w:r>
        <w:rPr>
          <w:rFonts w:hint="eastAsia" w:eastAsia="方正仿宋_GBK"/>
          <w:b/>
          <w:bCs/>
          <w:sz w:val="32"/>
          <w:szCs w:val="32"/>
        </w:rPr>
        <w:t xml:space="preserve">第九条 </w:t>
      </w:r>
      <w:r>
        <w:rPr>
          <w:rFonts w:hint="eastAsia" w:ascii="方正仿宋_GBK" w:hAnsi="方正仿宋_GBK" w:eastAsia="方正仿宋_GBK" w:cs="方正仿宋_GBK"/>
          <w:sz w:val="32"/>
          <w:szCs w:val="32"/>
        </w:rPr>
        <w:t>支持企业建设重点实验室、新型研发机构、工程研究中心、公共服务平台、运营管理平台，最高给予50万元一次性补助。支持行业联盟入驻，引导成立软件行业协会、产业技术联盟，对新成立的软件行业协会（产业技术联盟）根据实际运营成效最高给予20万元一次性奖励。对组织申报开展市级（含）以上软件展会、论坛、比赛等重大活动，按照“一事一议”给予专项支持。</w:t>
      </w:r>
      <w:r>
        <w:rPr>
          <w:rFonts w:eastAsia="方正楷体_GBK"/>
          <w:sz w:val="32"/>
          <w:szCs w:val="32"/>
        </w:rPr>
        <w:t>（牵头单位：区经</w:t>
      </w:r>
      <w:r>
        <w:rPr>
          <w:rFonts w:hint="eastAsia" w:eastAsia="方正楷体_GBK"/>
          <w:sz w:val="32"/>
          <w:szCs w:val="32"/>
        </w:rPr>
        <w:t>济</w:t>
      </w:r>
      <w:r>
        <w:rPr>
          <w:rFonts w:eastAsia="方正楷体_GBK"/>
          <w:sz w:val="32"/>
          <w:szCs w:val="32"/>
        </w:rPr>
        <w:t>信</w:t>
      </w:r>
      <w:r>
        <w:rPr>
          <w:rFonts w:hint="eastAsia" w:eastAsia="方正楷体_GBK"/>
          <w:sz w:val="32"/>
          <w:szCs w:val="32"/>
        </w:rPr>
        <w:t>息</w:t>
      </w:r>
      <w:r>
        <w:rPr>
          <w:rFonts w:eastAsia="方正楷体_GBK"/>
          <w:sz w:val="32"/>
          <w:szCs w:val="32"/>
        </w:rPr>
        <w:t>委，责任单位：</w:t>
      </w:r>
      <w:r>
        <w:rPr>
          <w:rFonts w:hint="eastAsia" w:eastAsia="方正楷体_GBK"/>
          <w:sz w:val="32"/>
          <w:szCs w:val="32"/>
        </w:rPr>
        <w:t>园城公司、</w:t>
      </w:r>
      <w:r>
        <w:rPr>
          <w:rFonts w:eastAsia="方正楷体_GBK"/>
          <w:sz w:val="32"/>
          <w:szCs w:val="32"/>
        </w:rPr>
        <w:t>区科技局、区财政局、区民政局）</w:t>
      </w:r>
    </w:p>
    <w:p>
      <w:pPr>
        <w:keepNext w:val="0"/>
        <w:keepLines w:val="0"/>
        <w:pageBreakBefore w:val="0"/>
        <w:overflowPunct/>
        <w:topLinePunct w:val="0"/>
        <w:bidi w:val="0"/>
        <w:spacing w:line="600" w:lineRule="exact"/>
        <w:ind w:firstLine="643" w:firstLineChars="200"/>
        <w:rPr>
          <w:rFonts w:eastAsia="方正楷体_GBK"/>
          <w:sz w:val="32"/>
          <w:szCs w:val="32"/>
        </w:rPr>
      </w:pPr>
      <w:r>
        <w:rPr>
          <w:rFonts w:eastAsia="方正仿宋_GBK"/>
          <w:b/>
          <w:bCs/>
          <w:sz w:val="32"/>
          <w:szCs w:val="32"/>
        </w:rPr>
        <w:t>第</w:t>
      </w:r>
      <w:r>
        <w:rPr>
          <w:rFonts w:hint="eastAsia" w:eastAsia="方正仿宋_GBK"/>
          <w:b/>
          <w:bCs/>
          <w:sz w:val="32"/>
          <w:szCs w:val="32"/>
        </w:rPr>
        <w:t>十</w:t>
      </w:r>
      <w:r>
        <w:rPr>
          <w:rFonts w:eastAsia="方正仿宋_GBK"/>
          <w:b/>
          <w:bCs/>
          <w:sz w:val="32"/>
          <w:szCs w:val="32"/>
        </w:rPr>
        <w:t>条</w:t>
      </w:r>
      <w:r>
        <w:rPr>
          <w:rFonts w:hint="eastAsia" w:eastAsia="方正仿宋_GBK"/>
          <w:b/>
          <w:bCs/>
          <w:sz w:val="32"/>
          <w:szCs w:val="32"/>
        </w:rPr>
        <w:t xml:space="preserve"> </w:t>
      </w:r>
      <w:r>
        <w:rPr>
          <w:rFonts w:eastAsia="方正仿宋_GBK"/>
          <w:sz w:val="32"/>
          <w:szCs w:val="32"/>
        </w:rPr>
        <w:t>在符合政务功能和需求的前提下，行政机关、事业单位</w:t>
      </w:r>
      <w:r>
        <w:rPr>
          <w:rFonts w:hint="eastAsia" w:eastAsia="方正仿宋_GBK"/>
          <w:sz w:val="32"/>
          <w:szCs w:val="32"/>
        </w:rPr>
        <w:t>、园城公司</w:t>
      </w:r>
      <w:r>
        <w:rPr>
          <w:rFonts w:eastAsia="方正仿宋_GBK"/>
          <w:sz w:val="32"/>
          <w:szCs w:val="32"/>
        </w:rPr>
        <w:t>为在区内的软件</w:t>
      </w:r>
      <w:r>
        <w:rPr>
          <w:rFonts w:hint="eastAsia" w:eastAsia="方正仿宋_GBK"/>
          <w:sz w:val="32"/>
          <w:szCs w:val="32"/>
        </w:rPr>
        <w:t>和信息服务</w:t>
      </w:r>
      <w:r>
        <w:rPr>
          <w:rFonts w:eastAsia="方正仿宋_GBK"/>
          <w:sz w:val="32"/>
          <w:szCs w:val="32"/>
        </w:rPr>
        <w:t>企业（机构）提供试点和推广平台，拓展市场。</w:t>
      </w:r>
      <w:r>
        <w:rPr>
          <w:rFonts w:hint="eastAsia" w:eastAsia="方正仿宋_GBK"/>
          <w:sz w:val="32"/>
          <w:szCs w:val="32"/>
        </w:rPr>
        <w:t>非涉密政务数据资源、政务信息资源根据使用条件和适用范围依法对相关企业（机构）有序开放。</w:t>
      </w:r>
      <w:r>
        <w:rPr>
          <w:rFonts w:eastAsia="方正楷体_GBK"/>
          <w:sz w:val="32"/>
          <w:szCs w:val="32"/>
        </w:rPr>
        <w:t>（牵头单位：区大数据</w:t>
      </w:r>
      <w:r>
        <w:rPr>
          <w:rFonts w:hint="eastAsia" w:eastAsia="方正楷体_GBK"/>
          <w:sz w:val="32"/>
          <w:szCs w:val="32"/>
        </w:rPr>
        <w:t>发展</w:t>
      </w:r>
      <w:r>
        <w:rPr>
          <w:rFonts w:eastAsia="方正楷体_GBK"/>
          <w:sz w:val="32"/>
          <w:szCs w:val="32"/>
        </w:rPr>
        <w:t>局，责任单位：区信息中心、相关部门、园城</w:t>
      </w:r>
      <w:r>
        <w:rPr>
          <w:rFonts w:hint="eastAsia" w:eastAsia="方正楷体_GBK"/>
          <w:sz w:val="32"/>
          <w:szCs w:val="32"/>
        </w:rPr>
        <w:t>公司</w:t>
      </w:r>
      <w:r>
        <w:rPr>
          <w:rFonts w:eastAsia="方正楷体_GBK"/>
          <w:sz w:val="32"/>
          <w:szCs w:val="32"/>
        </w:rPr>
        <w:t>）</w:t>
      </w:r>
    </w:p>
    <w:p>
      <w:pPr>
        <w:keepNext w:val="0"/>
        <w:keepLines w:val="0"/>
        <w:pageBreakBefore w:val="0"/>
        <w:overflowPunct/>
        <w:topLinePunct w:val="0"/>
        <w:bidi w:val="0"/>
        <w:spacing w:line="600" w:lineRule="exact"/>
        <w:ind w:firstLine="643" w:firstLineChars="200"/>
        <w:rPr>
          <w:rFonts w:eastAsia="方正楷体_GBK"/>
          <w:sz w:val="32"/>
          <w:szCs w:val="32"/>
        </w:rPr>
      </w:pPr>
      <w:r>
        <w:rPr>
          <w:rFonts w:eastAsia="方正仿宋_GBK"/>
          <w:b/>
          <w:bCs/>
          <w:sz w:val="32"/>
          <w:szCs w:val="32"/>
        </w:rPr>
        <w:t>第</w:t>
      </w:r>
      <w:r>
        <w:rPr>
          <w:rFonts w:hint="eastAsia" w:eastAsia="方正仿宋_GBK"/>
          <w:b/>
          <w:bCs/>
          <w:sz w:val="32"/>
          <w:szCs w:val="32"/>
        </w:rPr>
        <w:t>十一</w:t>
      </w:r>
      <w:r>
        <w:rPr>
          <w:rFonts w:eastAsia="方正仿宋_GBK"/>
          <w:b/>
          <w:bCs/>
          <w:sz w:val="32"/>
          <w:szCs w:val="32"/>
        </w:rPr>
        <w:t xml:space="preserve">条 </w:t>
      </w:r>
      <w:r>
        <w:rPr>
          <w:rFonts w:eastAsia="方正仿宋_GBK"/>
          <w:sz w:val="32"/>
          <w:szCs w:val="32"/>
        </w:rPr>
        <w:t>探索实施</w:t>
      </w:r>
      <w:r>
        <w:rPr>
          <w:rFonts w:hint="eastAsia" w:eastAsia="方正仿宋_GBK"/>
          <w:sz w:val="32"/>
          <w:szCs w:val="32"/>
        </w:rPr>
        <w:t>“</w:t>
      </w:r>
      <w:r>
        <w:rPr>
          <w:rFonts w:eastAsia="方正仿宋_GBK"/>
          <w:sz w:val="32"/>
          <w:szCs w:val="32"/>
        </w:rPr>
        <w:t>包容、审慎、开放</w:t>
      </w:r>
      <w:r>
        <w:rPr>
          <w:rFonts w:hint="eastAsia" w:eastAsia="方正仿宋_GBK"/>
          <w:sz w:val="32"/>
          <w:szCs w:val="32"/>
        </w:rPr>
        <w:t>”</w:t>
      </w:r>
      <w:r>
        <w:rPr>
          <w:rFonts w:eastAsia="方正仿宋_GBK"/>
          <w:sz w:val="32"/>
          <w:szCs w:val="32"/>
        </w:rPr>
        <w:t>监管模式。建立</w:t>
      </w:r>
      <w:r>
        <w:rPr>
          <w:rFonts w:hint="eastAsia" w:eastAsia="方正仿宋_GBK"/>
          <w:sz w:val="32"/>
          <w:szCs w:val="32"/>
        </w:rPr>
        <w:t>软件产业发展</w:t>
      </w:r>
      <w:r>
        <w:rPr>
          <w:rFonts w:eastAsia="方正仿宋_GBK"/>
          <w:sz w:val="32"/>
          <w:szCs w:val="32"/>
        </w:rPr>
        <w:t>容错纠错机制，实施</w:t>
      </w:r>
      <w:r>
        <w:rPr>
          <w:rFonts w:hint="eastAsia" w:eastAsia="方正仿宋_GBK"/>
          <w:sz w:val="32"/>
          <w:szCs w:val="32"/>
        </w:rPr>
        <w:t>“</w:t>
      </w:r>
      <w:r>
        <w:rPr>
          <w:rFonts w:eastAsia="方正仿宋_GBK"/>
          <w:sz w:val="32"/>
          <w:szCs w:val="32"/>
        </w:rPr>
        <w:t>包容期</w:t>
      </w:r>
      <w:r>
        <w:rPr>
          <w:rFonts w:hint="eastAsia" w:eastAsia="方正仿宋_GBK"/>
          <w:sz w:val="32"/>
          <w:szCs w:val="32"/>
        </w:rPr>
        <w:t>”</w:t>
      </w:r>
      <w:r>
        <w:rPr>
          <w:rFonts w:eastAsia="方正仿宋_GBK"/>
          <w:sz w:val="32"/>
          <w:szCs w:val="32"/>
        </w:rPr>
        <w:t>管理和柔性监管</w:t>
      </w:r>
      <w:r>
        <w:rPr>
          <w:rFonts w:hint="eastAsia" w:eastAsia="方正仿宋_GBK"/>
          <w:sz w:val="32"/>
          <w:szCs w:val="32"/>
        </w:rPr>
        <w:t>。建立</w:t>
      </w:r>
      <w:r>
        <w:rPr>
          <w:rFonts w:eastAsia="方正仿宋_GBK"/>
          <w:sz w:val="32"/>
          <w:szCs w:val="32"/>
        </w:rPr>
        <w:t>应用场景建设容错纠错机制</w:t>
      </w:r>
      <w:r>
        <w:rPr>
          <w:rFonts w:hint="eastAsia" w:eastAsia="方正仿宋_GBK"/>
          <w:sz w:val="32"/>
          <w:szCs w:val="32"/>
        </w:rPr>
        <w:t>，</w:t>
      </w:r>
      <w:r>
        <w:rPr>
          <w:rFonts w:eastAsia="方正仿宋_GBK"/>
          <w:sz w:val="32"/>
          <w:szCs w:val="32"/>
        </w:rPr>
        <w:t>组织实施前瞻性、验证性、试验性应用场景项目，依法审慎开展行政执法</w:t>
      </w:r>
      <w:r>
        <w:rPr>
          <w:rFonts w:hint="eastAsia" w:eastAsia="方正仿宋_GBK"/>
          <w:sz w:val="32"/>
          <w:szCs w:val="32"/>
        </w:rPr>
        <w:t>，</w:t>
      </w:r>
      <w:r>
        <w:rPr>
          <w:rFonts w:eastAsia="方正仿宋_GBK"/>
          <w:sz w:val="32"/>
          <w:szCs w:val="32"/>
        </w:rPr>
        <w:t>推动监管模式创新。</w:t>
      </w:r>
      <w:r>
        <w:rPr>
          <w:rFonts w:hint="eastAsia" w:eastAsia="方正仿宋_GBK"/>
          <w:sz w:val="32"/>
          <w:szCs w:val="32"/>
        </w:rPr>
        <w:t>按照“政府引导、社会参与、市场运作”方式，设立</w:t>
      </w:r>
      <w:r>
        <w:rPr>
          <w:rFonts w:eastAsia="方正仿宋_GBK"/>
          <w:sz w:val="32"/>
          <w:szCs w:val="32"/>
        </w:rPr>
        <w:t>软件</w:t>
      </w:r>
      <w:r>
        <w:rPr>
          <w:rFonts w:hint="eastAsia" w:eastAsia="方正仿宋_GBK"/>
          <w:sz w:val="32"/>
          <w:szCs w:val="32"/>
        </w:rPr>
        <w:t>和信息服务业投资</w:t>
      </w:r>
      <w:r>
        <w:rPr>
          <w:rFonts w:eastAsia="方正仿宋_GBK"/>
          <w:sz w:val="32"/>
          <w:szCs w:val="32"/>
        </w:rPr>
        <w:t>基金</w:t>
      </w:r>
      <w:r>
        <w:rPr>
          <w:rFonts w:hint="eastAsia" w:eastAsia="方正仿宋_GBK"/>
          <w:sz w:val="32"/>
          <w:szCs w:val="32"/>
        </w:rPr>
        <w:t>、种子基金</w:t>
      </w:r>
      <w:r>
        <w:rPr>
          <w:rFonts w:eastAsia="方正仿宋_GBK"/>
          <w:sz w:val="32"/>
          <w:szCs w:val="32"/>
        </w:rPr>
        <w:t>，</w:t>
      </w:r>
      <w:r>
        <w:rPr>
          <w:rFonts w:hint="eastAsia" w:eastAsia="方正仿宋_GBK"/>
          <w:sz w:val="32"/>
          <w:szCs w:val="32"/>
        </w:rPr>
        <w:t>引导金融机构、科创基金、产业基金、私募基金优先支持软件和信息服务业项目。鼓励软件和信息服务企业面向资本市场直接融资，支持并引导辖区金融机构探索</w:t>
      </w:r>
      <w:r>
        <w:rPr>
          <w:rFonts w:eastAsia="方正仿宋_GBK"/>
          <w:sz w:val="32"/>
          <w:szCs w:val="32"/>
        </w:rPr>
        <w:t>以软件专利或著作权</w:t>
      </w:r>
      <w:r>
        <w:rPr>
          <w:rFonts w:hint="eastAsia" w:eastAsia="方正仿宋_GBK"/>
          <w:sz w:val="32"/>
          <w:szCs w:val="32"/>
        </w:rPr>
        <w:t>作价等新模式融资</w:t>
      </w:r>
      <w:r>
        <w:rPr>
          <w:rFonts w:eastAsia="方正仿宋_GBK"/>
          <w:sz w:val="32"/>
          <w:szCs w:val="32"/>
        </w:rPr>
        <w:t>。</w:t>
      </w:r>
      <w:r>
        <w:rPr>
          <w:rFonts w:eastAsia="方正楷体_GBK"/>
          <w:sz w:val="32"/>
          <w:szCs w:val="32"/>
        </w:rPr>
        <w:t>（牵头单位：区金融</w:t>
      </w:r>
      <w:r>
        <w:rPr>
          <w:rFonts w:hint="eastAsia" w:eastAsia="方正楷体_GBK"/>
          <w:sz w:val="32"/>
          <w:szCs w:val="32"/>
        </w:rPr>
        <w:t>发展</w:t>
      </w:r>
      <w:r>
        <w:rPr>
          <w:rFonts w:eastAsia="方正楷体_GBK"/>
          <w:sz w:val="32"/>
          <w:szCs w:val="32"/>
        </w:rPr>
        <w:t>中心，责任单位：</w:t>
      </w:r>
      <w:r>
        <w:rPr>
          <w:rFonts w:hint="eastAsia" w:eastAsia="方正楷体_GBK"/>
          <w:sz w:val="32"/>
          <w:szCs w:val="32"/>
        </w:rPr>
        <w:t>区财政局、</w:t>
      </w:r>
      <w:r>
        <w:rPr>
          <w:rFonts w:eastAsia="方正楷体_GBK"/>
          <w:sz w:val="32"/>
          <w:szCs w:val="32"/>
        </w:rPr>
        <w:t>区经</w:t>
      </w:r>
      <w:r>
        <w:rPr>
          <w:rFonts w:hint="eastAsia" w:eastAsia="方正楷体_GBK"/>
          <w:sz w:val="32"/>
          <w:szCs w:val="32"/>
        </w:rPr>
        <w:t>济</w:t>
      </w:r>
      <w:r>
        <w:rPr>
          <w:rFonts w:eastAsia="方正楷体_GBK"/>
          <w:sz w:val="32"/>
          <w:szCs w:val="32"/>
        </w:rPr>
        <w:t>信</w:t>
      </w:r>
      <w:r>
        <w:rPr>
          <w:rFonts w:hint="eastAsia" w:eastAsia="方正楷体_GBK"/>
          <w:sz w:val="32"/>
          <w:szCs w:val="32"/>
        </w:rPr>
        <w:t>息</w:t>
      </w:r>
      <w:r>
        <w:rPr>
          <w:rFonts w:eastAsia="方正楷体_GBK"/>
          <w:sz w:val="32"/>
          <w:szCs w:val="32"/>
        </w:rPr>
        <w:t>委）</w:t>
      </w:r>
    </w:p>
    <w:p>
      <w:pPr>
        <w:keepNext w:val="0"/>
        <w:keepLines w:val="0"/>
        <w:pageBreakBefore w:val="0"/>
        <w:overflowPunct/>
        <w:topLinePunct w:val="0"/>
        <w:bidi w:val="0"/>
        <w:spacing w:line="600" w:lineRule="exact"/>
        <w:jc w:val="center"/>
        <w:rPr>
          <w:rFonts w:eastAsia="方正黑体_GBK"/>
          <w:sz w:val="32"/>
          <w:szCs w:val="32"/>
        </w:rPr>
      </w:pPr>
    </w:p>
    <w:p>
      <w:pPr>
        <w:keepNext w:val="0"/>
        <w:keepLines w:val="0"/>
        <w:pageBreakBefore w:val="0"/>
        <w:overflowPunct/>
        <w:topLinePunct w:val="0"/>
        <w:bidi w:val="0"/>
        <w:spacing w:line="600" w:lineRule="exact"/>
        <w:jc w:val="center"/>
        <w:rPr>
          <w:rFonts w:eastAsia="方正黑体_GBK"/>
          <w:sz w:val="32"/>
          <w:szCs w:val="32"/>
        </w:rPr>
      </w:pPr>
      <w:r>
        <w:rPr>
          <w:rFonts w:eastAsia="方正黑体_GBK"/>
          <w:sz w:val="32"/>
          <w:szCs w:val="32"/>
        </w:rPr>
        <w:t>第</w:t>
      </w:r>
      <w:r>
        <w:rPr>
          <w:rFonts w:hint="eastAsia" w:eastAsia="方正黑体_GBK"/>
          <w:sz w:val="32"/>
          <w:szCs w:val="32"/>
        </w:rPr>
        <w:t>七</w:t>
      </w:r>
      <w:r>
        <w:rPr>
          <w:rFonts w:eastAsia="方正黑体_GBK"/>
          <w:sz w:val="32"/>
          <w:szCs w:val="32"/>
        </w:rPr>
        <w:t>章</w:t>
      </w:r>
      <w:r>
        <w:rPr>
          <w:rFonts w:hint="eastAsia" w:eastAsia="方正黑体_GBK"/>
          <w:sz w:val="32"/>
          <w:szCs w:val="32"/>
          <w:lang w:val="en-US" w:eastAsia="zh-CN"/>
        </w:rPr>
        <w:t xml:space="preserve">  </w:t>
      </w:r>
      <w:r>
        <w:rPr>
          <w:rFonts w:hint="eastAsia" w:eastAsia="方正黑体_GBK"/>
          <w:sz w:val="32"/>
          <w:szCs w:val="32"/>
        </w:rPr>
        <w:t>其他</w:t>
      </w:r>
    </w:p>
    <w:p>
      <w:pPr>
        <w:keepNext w:val="0"/>
        <w:keepLines w:val="0"/>
        <w:pageBreakBefore w:val="0"/>
        <w:wordWrap/>
        <w:overflowPunct/>
        <w:topLinePunct w:val="0"/>
        <w:autoSpaceDE w:val="0"/>
        <w:autoSpaceDN w:val="0"/>
        <w:bidi w:val="0"/>
        <w:spacing w:line="600" w:lineRule="exact"/>
        <w:ind w:firstLine="643" w:firstLineChars="200"/>
        <w:rPr>
          <w:rFonts w:ascii="Times New Roman" w:hAnsi="Times New Roman" w:cs="Times New Roman"/>
        </w:rPr>
      </w:pPr>
      <w:r>
        <w:rPr>
          <w:rFonts w:eastAsia="方正仿宋_GBK"/>
          <w:b/>
          <w:sz w:val="32"/>
          <w:szCs w:val="32"/>
        </w:rPr>
        <w:t>第十二条</w:t>
      </w:r>
      <w:r>
        <w:rPr>
          <w:rFonts w:hint="eastAsia" w:eastAsia="方正仿宋_GBK"/>
          <w:sz w:val="32"/>
          <w:szCs w:val="32"/>
        </w:rPr>
        <w:t xml:space="preserve"> </w:t>
      </w:r>
      <w:r>
        <w:rPr>
          <w:rFonts w:eastAsia="方正仿宋_GBK"/>
          <w:sz w:val="32"/>
          <w:szCs w:val="32"/>
        </w:rPr>
        <w:t>本措施自</w:t>
      </w:r>
      <w:r>
        <w:rPr>
          <w:rFonts w:hint="eastAsia" w:eastAsia="方正仿宋_GBK"/>
          <w:sz w:val="32"/>
          <w:szCs w:val="32"/>
        </w:rPr>
        <w:t>印发之日</w:t>
      </w:r>
      <w:r>
        <w:rPr>
          <w:rFonts w:eastAsia="方正仿宋_GBK"/>
          <w:sz w:val="32"/>
          <w:szCs w:val="32"/>
        </w:rPr>
        <w:t>起施行</w:t>
      </w:r>
      <w:r>
        <w:rPr>
          <w:rFonts w:hint="eastAsia" w:eastAsia="方正仿宋_GBK"/>
          <w:sz w:val="32"/>
          <w:szCs w:val="32"/>
        </w:rPr>
        <w:t>，有效期至2025年12月31日</w:t>
      </w:r>
      <w:r>
        <w:rPr>
          <w:rFonts w:eastAsia="方正仿宋_GBK"/>
          <w:sz w:val="32"/>
          <w:szCs w:val="32"/>
        </w:rPr>
        <w:t>。相关实施细则由区软件产业发展工作领导小组</w:t>
      </w:r>
      <w:r>
        <w:rPr>
          <w:rFonts w:hint="eastAsia" w:eastAsia="方正仿宋_GBK"/>
          <w:sz w:val="32"/>
          <w:szCs w:val="32"/>
        </w:rPr>
        <w:t>（办公室）</w:t>
      </w:r>
      <w:r>
        <w:rPr>
          <w:rFonts w:eastAsia="方正仿宋_GBK"/>
          <w:sz w:val="32"/>
          <w:szCs w:val="32"/>
        </w:rPr>
        <w:t>制定</w:t>
      </w:r>
      <w:r>
        <w:rPr>
          <w:rFonts w:hint="eastAsia" w:eastAsia="方正仿宋_GBK"/>
          <w:sz w:val="32"/>
          <w:szCs w:val="32"/>
        </w:rPr>
        <w:t>并</w:t>
      </w:r>
      <w:r>
        <w:rPr>
          <w:rFonts w:eastAsia="方正仿宋_GBK"/>
          <w:sz w:val="32"/>
          <w:szCs w:val="32"/>
        </w:rPr>
        <w:t>视情况适时调整。</w:t>
      </w:r>
    </w:p>
    <w:sectPr>
      <w:headerReference r:id="rId5" w:type="default"/>
      <w:footerReference r:id="rId6" w:type="default"/>
      <w:pgSz w:w="11906" w:h="16838"/>
      <w:pgMar w:top="1962" w:right="1474" w:bottom="1848" w:left="1587" w:header="851" w:footer="992" w:gutter="0"/>
      <w:pgNumType w:fmt="numberInDash"/>
      <w:cols w:space="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9" w:usb3="00000000" w:csb0="0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left" w:pos="8004"/>
      </w:tabs>
      <w:spacing w:line="240" w:lineRule="exact"/>
      <w:ind w:left="7296" w:leftChars="2280" w:firstLine="6400" w:firstLineChars="2000"/>
      <w:rPr>
        <w:rFonts w:eastAsia="仿宋"/>
        <w:sz w:val="32"/>
        <w:szCs w:val="48"/>
      </w:rPr>
    </w:pPr>
    <w:r>
      <w:rPr>
        <w:sz w:val="32"/>
      </w:rPr>
      <w:pict>
        <v:shape id="_x0000_s1028" o:spid="_x0000_s1028" o:spt="202" type="#_x0000_t202" style="position:absolute;left:0pt;margin-top:0pt;height:144pt;width:41pt;mso-position-horizontal:outside;mso-position-horizontal-relative:margin;z-index:251661312;mso-width-relative:page;mso-height-relative:page;" filled="f" stroked="f" coordsize="21600,21600">
          <v:path/>
          <v:fill on="f" focussize="0,0"/>
          <v:stroke on="f" weight="0.5pt" joinstyle="miter"/>
          <v:imagedata o:title=""/>
          <o:lock v:ext="edit"/>
          <v:textbox inset="0mm,0mm,0mm,0mm" style="mso-fit-shape-to-text:t;">
            <w:txbxContent>
              <w:p>
                <w:pPr>
                  <w:pStyle w:val="11"/>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w:r>
    <w:r>
      <w:rPr>
        <w:rFonts w:hint="eastAsia" w:eastAsia="仿宋"/>
        <w:sz w:val="32"/>
        <w:szCs w:val="48"/>
      </w:rPr>
      <w:tab/>
    </w:r>
    <w:r>
      <w:rPr>
        <w:rFonts w:hint="eastAsia" w:eastAsia="仿宋"/>
        <w:sz w:val="32"/>
        <w:szCs w:val="48"/>
      </w:rPr>
      <w:tab/>
    </w:r>
    <w:r>
      <w:rPr>
        <w:rFonts w:hint="eastAsia" w:eastAsia="仿宋"/>
        <w:sz w:val="32"/>
        <w:szCs w:val="48"/>
      </w:rPr>
      <w:tab/>
    </w:r>
  </w:p>
  <w:p>
    <w:pPr>
      <w:pStyle w:val="12"/>
      <w:tabs>
        <w:tab w:val="center" w:pos="1480"/>
        <w:tab w:val="clear" w:pos="4153"/>
      </w:tabs>
      <w:wordWrap w:val="0"/>
      <w:ind w:left="2870" w:leftChars="897" w:firstLine="9296" w:firstLineChars="2905"/>
      <w:jc w:val="right"/>
      <w:rPr>
        <w:rFonts w:hint="eastAsia" w:ascii="宋体" w:hAnsi="宋体" w:eastAsia="宋体" w:cs="宋体"/>
        <w:b/>
        <w:bCs/>
        <w:color w:val="005192"/>
        <w:sz w:val="28"/>
        <w:szCs w:val="44"/>
        <w:lang w:val="en-US" w:eastAsia="zh-CN"/>
      </w:rPr>
    </w:pPr>
    <w:r>
      <w:rPr>
        <w:color w:val="FAFAFA"/>
        <w:sz w:val="32"/>
      </w:rPr>
      <w:pict>
        <v:line id="_x0000_s1027" o:spid="_x0000_s1027" o:spt="20" style="position:absolute;left:0pt;margin-left:-0.1pt;margin-top:11.35pt;height:0.15pt;width:442.25pt;z-index:251660288;mso-width-relative:page;mso-height-relative:page;"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path arrowok="t"/>
          <v:fill focussize="0,0"/>
          <v:stroke weight="1.75pt" color="#005192" joinstyle="miter"/>
          <v:imagedata o:title=""/>
          <o:lock v:ext="edit"/>
        </v:line>
      </w:pict>
    </w:r>
    <w:r>
      <w:rPr>
        <w:rFonts w:hint="eastAsia" w:ascii="宋体" w:hAnsi="宋体" w:eastAsia="宋体" w:cs="宋体"/>
        <w:b/>
        <w:bCs/>
        <w:color w:val="005192"/>
        <w:sz w:val="28"/>
        <w:szCs w:val="44"/>
      </w:rPr>
      <w:t>重  重庆市北碚区人民政府办公室发布</w:t>
    </w:r>
    <w:r>
      <w:rPr>
        <w:rFonts w:hint="eastAsia" w:ascii="宋体" w:hAnsi="宋体" w:eastAsia="宋体" w:cs="宋体"/>
        <w:b/>
        <w:bCs/>
        <w:color w:val="005192"/>
        <w:sz w:val="28"/>
        <w:szCs w:val="44"/>
        <w:lang w:val="en-US" w:eastAsia="zh-CN"/>
      </w:rPr>
      <w:t xml:space="preserve"> </w:t>
    </w:r>
  </w:p>
  <w:p>
    <w:pPr>
      <w:pStyle w:val="12"/>
      <w:wordWrap w:val="0"/>
      <w:ind w:left="7296" w:leftChars="2280" w:firstLine="5622" w:firstLineChars="2000"/>
      <w:jc w:val="right"/>
      <w:rPr>
        <w:rFonts w:ascii="宋体" w:hAnsi="宋体" w:eastAsia="宋体" w:cs="宋体"/>
        <w:b/>
        <w:bCs/>
        <w:color w:val="005192"/>
        <w:sz w:val="28"/>
        <w:szCs w:val="4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extAlignment w:val="center"/>
      <w:rPr>
        <w:rFonts w:ascii="方正仿宋_GBK" w:hAnsi="方正仿宋_GBK" w:cs="方正仿宋_GBK"/>
        <w:b/>
        <w:bCs/>
        <w:color w:val="000000" w:themeColor="text1"/>
        <w:sz w:val="32"/>
      </w:rPr>
    </w:pPr>
    <w:r>
      <w:rPr>
        <w:rFonts w:ascii="方正仿宋_GBK" w:hAnsi="方正仿宋_GBK" w:cs="方正仿宋_GBK"/>
        <w:b/>
        <w:bCs/>
        <w:color w:val="000000" w:themeColor="text1"/>
        <w:sz w:val="32"/>
      </w:rPr>
      <w:pict>
        <v:line id="_x0000_s1026" o:spid="_x0000_s1026" o:spt="20" style="position:absolute;left:0pt;margin-left:-0.1pt;margin-top:54.35pt;height:0pt;width:442.55pt;z-index:251659264;mso-width-relative:page;mso-height-relative:page;" stroked="t" coordsize="21600,21600" o:gfxdata="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RTNv+dUAAAAJAQAADwAAAAAAAAABACAAAAAiAAAAZHJzL2Rvd25yZXYueG1sUEsBAhQAFAAA&#10;AAgAh07iQAXuux7yAQAAvQMAAA4AAAAAAAAAAQAgAAAAJAEAAGRycy9lMm9Eb2MueG1sUEsFBgAA&#10;AAAGAAYAWQEAAIgFAAAAAA==&#10;">
          <v:path arrowok="t"/>
          <v:fill focussize="0,0"/>
          <v:stroke weight="1.75pt" color="#005192" joinstyle="miter"/>
          <v:imagedata o:title=""/>
          <o:lock v:ext="edit"/>
        </v:line>
      </w:pict>
    </w:r>
  </w:p>
  <w:p>
    <w:pPr>
      <w:pStyle w:val="12"/>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rPr>
      <w:t>重庆市北碚区人民政府行政规范性文件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2E2ZGIzMTIyYmZlZTcyNzhkNzk1YjA3MzI0OTQ5NDgifQ=="/>
  </w:docVars>
  <w:rsids>
    <w:rsidRoot w:val="00172A27"/>
    <w:rsid w:val="00000594"/>
    <w:rsid w:val="00172A27"/>
    <w:rsid w:val="001B00AD"/>
    <w:rsid w:val="001B0C3C"/>
    <w:rsid w:val="002963A0"/>
    <w:rsid w:val="00322702"/>
    <w:rsid w:val="003B35F6"/>
    <w:rsid w:val="00491008"/>
    <w:rsid w:val="006652C9"/>
    <w:rsid w:val="0068461A"/>
    <w:rsid w:val="007016CA"/>
    <w:rsid w:val="00824B3D"/>
    <w:rsid w:val="00894209"/>
    <w:rsid w:val="00AA2604"/>
    <w:rsid w:val="00C646AA"/>
    <w:rsid w:val="00CF260E"/>
    <w:rsid w:val="00D16FFA"/>
    <w:rsid w:val="00D70E6D"/>
    <w:rsid w:val="00DB0A33"/>
    <w:rsid w:val="00F42979"/>
    <w:rsid w:val="00F9303E"/>
    <w:rsid w:val="00FA12F6"/>
    <w:rsid w:val="019E71BD"/>
    <w:rsid w:val="04B679C3"/>
    <w:rsid w:val="05F07036"/>
    <w:rsid w:val="06E00104"/>
    <w:rsid w:val="080F63D8"/>
    <w:rsid w:val="08EB6313"/>
    <w:rsid w:val="09341458"/>
    <w:rsid w:val="098254C2"/>
    <w:rsid w:val="0A766EDE"/>
    <w:rsid w:val="0AD64BE8"/>
    <w:rsid w:val="0B0912D7"/>
    <w:rsid w:val="0E025194"/>
    <w:rsid w:val="152D2DCA"/>
    <w:rsid w:val="187168EA"/>
    <w:rsid w:val="196673CA"/>
    <w:rsid w:val="1B252AAD"/>
    <w:rsid w:val="1CF734C9"/>
    <w:rsid w:val="1DEC284C"/>
    <w:rsid w:val="1E4E59B9"/>
    <w:rsid w:val="1E6523AC"/>
    <w:rsid w:val="218A3AC3"/>
    <w:rsid w:val="22440422"/>
    <w:rsid w:val="22BB4BBB"/>
    <w:rsid w:val="2609577F"/>
    <w:rsid w:val="29DE3C75"/>
    <w:rsid w:val="2AA54DE6"/>
    <w:rsid w:val="2AEB3417"/>
    <w:rsid w:val="2B2771BA"/>
    <w:rsid w:val="2EB770C5"/>
    <w:rsid w:val="31A15F24"/>
    <w:rsid w:val="34AB41DD"/>
    <w:rsid w:val="36FB1DF0"/>
    <w:rsid w:val="39047388"/>
    <w:rsid w:val="395347B5"/>
    <w:rsid w:val="39A232A0"/>
    <w:rsid w:val="39E745AA"/>
    <w:rsid w:val="3B5A6BBB"/>
    <w:rsid w:val="3EDA13A6"/>
    <w:rsid w:val="417B75E9"/>
    <w:rsid w:val="42406AFE"/>
    <w:rsid w:val="42F058B7"/>
    <w:rsid w:val="42F97CFC"/>
    <w:rsid w:val="436109F6"/>
    <w:rsid w:val="441A38D4"/>
    <w:rsid w:val="44726A9A"/>
    <w:rsid w:val="4504239D"/>
    <w:rsid w:val="45290A2C"/>
    <w:rsid w:val="4BC77339"/>
    <w:rsid w:val="4C9236C5"/>
    <w:rsid w:val="4E250A85"/>
    <w:rsid w:val="4FFD4925"/>
    <w:rsid w:val="5004611B"/>
    <w:rsid w:val="505C172E"/>
    <w:rsid w:val="506405EA"/>
    <w:rsid w:val="52F46F0B"/>
    <w:rsid w:val="532B6A10"/>
    <w:rsid w:val="53543C14"/>
    <w:rsid w:val="53D8014D"/>
    <w:rsid w:val="55E064E0"/>
    <w:rsid w:val="56D71BDA"/>
    <w:rsid w:val="572C6D10"/>
    <w:rsid w:val="5DC34279"/>
    <w:rsid w:val="5FCD688E"/>
    <w:rsid w:val="5FF9BDAA"/>
    <w:rsid w:val="608816D1"/>
    <w:rsid w:val="60EF4E7F"/>
    <w:rsid w:val="648B0A32"/>
    <w:rsid w:val="665233C1"/>
    <w:rsid w:val="69AC0D42"/>
    <w:rsid w:val="69AE7C10"/>
    <w:rsid w:val="6AD9688B"/>
    <w:rsid w:val="6B8C736C"/>
    <w:rsid w:val="6BCE143D"/>
    <w:rsid w:val="6D0E3F22"/>
    <w:rsid w:val="744E4660"/>
    <w:rsid w:val="75143845"/>
    <w:rsid w:val="753355A2"/>
    <w:rsid w:val="759F1C61"/>
    <w:rsid w:val="75A75EC4"/>
    <w:rsid w:val="769F2DE8"/>
    <w:rsid w:val="76FDEB7C"/>
    <w:rsid w:val="77790C0C"/>
    <w:rsid w:val="79116788"/>
    <w:rsid w:val="79C65162"/>
    <w:rsid w:val="7C9011D9"/>
    <w:rsid w:val="7CCE3EE4"/>
    <w:rsid w:val="7DC651C5"/>
    <w:rsid w:val="7FCC2834"/>
    <w:rsid w:val="92DD1CEF"/>
    <w:rsid w:val="F05B4F69"/>
    <w:rsid w:val="F97D9566"/>
    <w:rsid w:val="FDFF411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600" w:lineRule="exact"/>
      <w:jc w:val="both"/>
    </w:pPr>
    <w:rPr>
      <w:rFonts w:eastAsia="方正仿宋_GBK" w:asciiTheme="minorHAnsi" w:hAnsiTheme="minorHAnsi" w:cstheme="minorBidi"/>
      <w:kern w:val="2"/>
      <w:sz w:val="32"/>
      <w:szCs w:val="24"/>
      <w:lang w:val="en-US" w:eastAsia="zh-CN" w:bidi="ar-SA"/>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8">
    <w:name w:val="Default Paragraph Font"/>
    <w:semiHidden/>
    <w:unhideWhenUsed/>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spacing w:line="240" w:lineRule="auto"/>
      <w:ind w:firstLine="420" w:firstLineChars="200"/>
    </w:pPr>
    <w:rPr>
      <w:rFonts w:ascii="Times New Roman" w:hAnsi="Times New Roman" w:eastAsia="宋体" w:cs="Times New Roman"/>
    </w:rPr>
  </w:style>
  <w:style w:type="paragraph" w:styleId="4">
    <w:name w:val="index 5"/>
    <w:basedOn w:val="1"/>
    <w:next w:val="1"/>
    <w:qFormat/>
    <w:uiPriority w:val="0"/>
    <w:pPr>
      <w:ind w:left="1680"/>
    </w:pPr>
    <w:rPr>
      <w:rFonts w:cs="Calibri"/>
      <w:szCs w:val="21"/>
    </w:rPr>
  </w:style>
  <w:style w:type="paragraph" w:styleId="5">
    <w:name w:val="annotation text"/>
    <w:basedOn w:val="1"/>
    <w:qFormat/>
    <w:uiPriority w:val="0"/>
    <w:pPr>
      <w:jc w:val="left"/>
    </w:pPr>
  </w:style>
  <w:style w:type="paragraph" w:styleId="6">
    <w:name w:val="Body Text"/>
    <w:basedOn w:val="1"/>
    <w:next w:val="7"/>
    <w:link w:val="28"/>
    <w:qFormat/>
    <w:uiPriority w:val="0"/>
    <w:pPr>
      <w:jc w:val="center"/>
    </w:pPr>
    <w:rPr>
      <w:rFonts w:eastAsia="楷体_GB2312"/>
      <w:b/>
      <w:bCs/>
      <w:sz w:val="44"/>
    </w:rPr>
  </w:style>
  <w:style w:type="paragraph" w:customStyle="1" w:styleId="7">
    <w:name w:val="默认"/>
    <w:qFormat/>
    <w:uiPriority w:val="0"/>
    <w:rPr>
      <w:rFonts w:ascii="Helvetica" w:hAnsi="Helvetica" w:eastAsia="Helvetica" w:cs="Helvetica"/>
      <w:color w:val="000000"/>
      <w:sz w:val="22"/>
      <w:szCs w:val="22"/>
      <w:lang w:val="en-US" w:eastAsia="zh-CN" w:bidi="ar-SA"/>
    </w:rPr>
  </w:style>
  <w:style w:type="paragraph" w:styleId="8">
    <w:name w:val="Body Text Indent"/>
    <w:basedOn w:val="1"/>
    <w:link w:val="26"/>
    <w:qFormat/>
    <w:uiPriority w:val="99"/>
    <w:pPr>
      <w:spacing w:after="120"/>
      <w:ind w:left="420" w:leftChars="200"/>
    </w:pPr>
  </w:style>
  <w:style w:type="paragraph" w:styleId="9">
    <w:name w:val="toc 5"/>
    <w:basedOn w:val="1"/>
    <w:next w:val="1"/>
    <w:qFormat/>
    <w:uiPriority w:val="0"/>
    <w:pPr>
      <w:ind w:left="1280"/>
      <w:jc w:val="left"/>
    </w:pPr>
    <w:rPr>
      <w:rFonts w:eastAsia="Calibri"/>
      <w:sz w:val="18"/>
      <w:szCs w:val="18"/>
    </w:rPr>
  </w:style>
  <w:style w:type="paragraph" w:styleId="10">
    <w:name w:val="Balloon Text"/>
    <w:basedOn w:val="1"/>
    <w:link w:val="25"/>
    <w:qFormat/>
    <w:uiPriority w:val="0"/>
    <w:pPr>
      <w:spacing w:line="240" w:lineRule="auto"/>
    </w:pPr>
    <w:rPr>
      <w:sz w:val="18"/>
      <w:szCs w:val="18"/>
    </w:rPr>
  </w:style>
  <w:style w:type="paragraph" w:styleId="11">
    <w:name w:val="footer"/>
    <w:basedOn w:val="1"/>
    <w:next w:val="4"/>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13">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rPr>
  </w:style>
  <w:style w:type="paragraph" w:styleId="14">
    <w:name w:val="Normal (Web)"/>
    <w:basedOn w:val="1"/>
    <w:qFormat/>
    <w:uiPriority w:val="0"/>
    <w:pPr>
      <w:spacing w:beforeAutospacing="1" w:afterAutospacing="1"/>
      <w:jc w:val="left"/>
    </w:pPr>
    <w:rPr>
      <w:rFonts w:cs="Times New Roman"/>
      <w:kern w:val="0"/>
      <w:sz w:val="24"/>
    </w:rPr>
  </w:style>
  <w:style w:type="paragraph" w:styleId="15">
    <w:name w:val="Body Text First Indent"/>
    <w:basedOn w:val="6"/>
    <w:link w:val="29"/>
    <w:qFormat/>
    <w:uiPriority w:val="0"/>
    <w:pPr>
      <w:spacing w:after="120"/>
      <w:ind w:firstLine="420" w:firstLineChars="100"/>
      <w:jc w:val="both"/>
    </w:pPr>
    <w:rPr>
      <w:rFonts w:eastAsia="方正仿宋_GBK"/>
      <w:b w:val="0"/>
      <w:bCs w:val="0"/>
      <w:sz w:val="32"/>
    </w:rPr>
  </w:style>
  <w:style w:type="paragraph" w:styleId="16">
    <w:name w:val="Body Text First Indent 2"/>
    <w:basedOn w:val="8"/>
    <w:link w:val="27"/>
    <w:qFormat/>
    <w:uiPriority w:val="99"/>
    <w:pPr>
      <w:ind w:firstLine="420" w:firstLineChars="200"/>
    </w:pPr>
  </w:style>
  <w:style w:type="character" w:styleId="19">
    <w:name w:val="Strong"/>
    <w:basedOn w:val="18"/>
    <w:qFormat/>
    <w:uiPriority w:val="0"/>
    <w:rPr>
      <w:b/>
      <w:bCs/>
    </w:rPr>
  </w:style>
  <w:style w:type="paragraph" w:customStyle="1" w:styleId="20">
    <w:name w:val="p0"/>
    <w:basedOn w:val="1"/>
    <w:qFormat/>
    <w:uiPriority w:val="0"/>
    <w:pPr>
      <w:widowControl/>
    </w:pPr>
    <w:rPr>
      <w:rFonts w:ascii="Calibri" w:hAnsi="Calibri" w:eastAsia="宋体" w:cs="宋体"/>
      <w:kern w:val="0"/>
      <w:szCs w:val="32"/>
    </w:rPr>
  </w:style>
  <w:style w:type="character" w:customStyle="1" w:styleId="21">
    <w:name w:val="页码1"/>
    <w:basedOn w:val="18"/>
    <w:qFormat/>
    <w:uiPriority w:val="0"/>
    <w:rPr>
      <w:rFonts w:cs="Times New Roman"/>
    </w:rPr>
  </w:style>
  <w:style w:type="paragraph" w:customStyle="1" w:styleId="22">
    <w:name w:val="List Paragraph1"/>
    <w:basedOn w:val="1"/>
    <w:qFormat/>
    <w:uiPriority w:val="0"/>
    <w:pPr>
      <w:ind w:firstLine="420" w:firstLineChars="200"/>
    </w:pPr>
    <w:rPr>
      <w:szCs w:val="32"/>
    </w:rPr>
  </w:style>
  <w:style w:type="character" w:customStyle="1" w:styleId="23">
    <w:name w:val="NormalCharacter"/>
    <w:link w:val="24"/>
    <w:qFormat/>
    <w:uiPriority w:val="0"/>
  </w:style>
  <w:style w:type="paragraph" w:customStyle="1" w:styleId="24">
    <w:name w:val="UserStyle_1"/>
    <w:basedOn w:val="1"/>
    <w:link w:val="23"/>
    <w:qFormat/>
    <w:uiPriority w:val="0"/>
    <w:pPr>
      <w:widowControl/>
      <w:spacing w:line="856" w:lineRule="atLeast"/>
      <w:textAlignment w:val="baseline"/>
    </w:pPr>
  </w:style>
  <w:style w:type="character" w:customStyle="1" w:styleId="25">
    <w:name w:val="批注框文本 Char"/>
    <w:basedOn w:val="18"/>
    <w:link w:val="10"/>
    <w:qFormat/>
    <w:uiPriority w:val="0"/>
    <w:rPr>
      <w:rFonts w:eastAsia="方正仿宋_GBK" w:asciiTheme="minorHAnsi" w:hAnsiTheme="minorHAnsi" w:cstheme="minorBidi"/>
      <w:kern w:val="2"/>
      <w:sz w:val="18"/>
      <w:szCs w:val="18"/>
    </w:rPr>
  </w:style>
  <w:style w:type="character" w:customStyle="1" w:styleId="26">
    <w:name w:val="正文文本缩进 Char"/>
    <w:basedOn w:val="18"/>
    <w:link w:val="8"/>
    <w:qFormat/>
    <w:uiPriority w:val="0"/>
    <w:rPr>
      <w:rFonts w:eastAsia="方正仿宋_GBK" w:asciiTheme="minorHAnsi" w:hAnsiTheme="minorHAnsi" w:cstheme="minorBidi"/>
      <w:kern w:val="2"/>
      <w:sz w:val="32"/>
      <w:szCs w:val="24"/>
    </w:rPr>
  </w:style>
  <w:style w:type="character" w:customStyle="1" w:styleId="27">
    <w:name w:val="正文首行缩进 2 Char"/>
    <w:basedOn w:val="26"/>
    <w:link w:val="16"/>
    <w:qFormat/>
    <w:uiPriority w:val="0"/>
  </w:style>
  <w:style w:type="character" w:customStyle="1" w:styleId="28">
    <w:name w:val="正文文本 Char"/>
    <w:basedOn w:val="18"/>
    <w:link w:val="6"/>
    <w:qFormat/>
    <w:uiPriority w:val="0"/>
    <w:rPr>
      <w:rFonts w:eastAsia="楷体_GB2312" w:asciiTheme="minorHAnsi" w:hAnsiTheme="minorHAnsi" w:cstheme="minorBidi"/>
      <w:b/>
      <w:bCs/>
      <w:kern w:val="2"/>
      <w:sz w:val="44"/>
      <w:szCs w:val="24"/>
    </w:rPr>
  </w:style>
  <w:style w:type="character" w:customStyle="1" w:styleId="29">
    <w:name w:val="正文首行缩进 Char"/>
    <w:basedOn w:val="28"/>
    <w:link w:val="15"/>
    <w:qFormat/>
    <w:uiPriority w:val="0"/>
  </w:style>
  <w:style w:type="character" w:customStyle="1" w:styleId="30">
    <w:name w:val="font71"/>
    <w:basedOn w:val="18"/>
    <w:qFormat/>
    <w:uiPriority w:val="0"/>
    <w:rPr>
      <w:rFonts w:hint="eastAsia" w:ascii="方正仿宋_GBK" w:hAnsi="方正仿宋_GBK" w:eastAsia="方正仿宋_GBK" w:cs="方正仿宋_GBK"/>
      <w:color w:val="000000"/>
      <w:sz w:val="24"/>
      <w:szCs w:val="24"/>
      <w:u w:val="none"/>
    </w:rPr>
  </w:style>
  <w:style w:type="paragraph" w:customStyle="1" w:styleId="31">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30</Pages>
  <Words>1859</Words>
  <Characters>10602</Characters>
  <Lines>88</Lines>
  <Paragraphs>24</Paragraphs>
  <TotalTime>2</TotalTime>
  <ScaleCrop>false</ScaleCrop>
  <LinksUpToDate>false</LinksUpToDate>
  <CharactersWithSpaces>12437</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2022-08-17T02:16:00Z</dcterms:created>
  <dc:creator>t</dc:creator>
  <cp:lastModifiedBy>刘东</cp:lastModifiedBy>
  <cp:lastPrinted>2022-05-11T08:46:00Z</cp:lastPrinted>
  <dcterms:modified xsi:type="dcterms:W3CDTF">2023-01-09T07:41:41Z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37C65AB8A8514BC48FC97866303F1DFC</vt:lpwstr>
  </property>
</Properties>
</file>