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260" w:lineRule="exact"/>
        <w:jc w:val="center"/>
        <w:textAlignment w:val="auto"/>
        <w:outlineLvl w:val="9"/>
        <w:rPr>
          <w:rFonts w:hint="default" w:ascii="Times New Roman" w:hAnsi="Times New Roman" w:eastAsia="方正小标宋_GBK" w:cs="Times New Roman"/>
          <w:color w:val="FF0000"/>
          <w:w w:val="34"/>
          <w:sz w:val="130"/>
        </w:rPr>
      </w:pPr>
    </w:p>
    <w:p>
      <w:pPr>
        <w:keepNext w:val="0"/>
        <w:keepLines w:val="0"/>
        <w:pageBreakBefore w:val="0"/>
        <w:widowControl w:val="0"/>
        <w:kinsoku/>
        <w:wordWrap/>
        <w:overflowPunct/>
        <w:topLinePunct/>
        <w:autoSpaceDN/>
        <w:bidi w:val="0"/>
        <w:adjustRightInd/>
        <w:snapToGrid/>
        <w:spacing w:before="720" w:beforeLines="200" w:line="1800" w:lineRule="exact"/>
        <w:ind w:right="-153" w:rightChars="-73"/>
        <w:jc w:val="center"/>
        <w:textAlignment w:val="auto"/>
        <w:rPr>
          <w:rFonts w:hint="default" w:ascii="Times New Roman" w:hAnsi="Times New Roman" w:eastAsia="方正大标宋_GBK" w:cs="Times New Roman"/>
          <w:b/>
          <w:color w:val="FF0000"/>
          <w:w w:val="50"/>
          <w:sz w:val="130"/>
        </w:rPr>
      </w:pPr>
      <w:r>
        <w:rPr>
          <w:rFonts w:hint="default" w:ascii="Times New Roman" w:hAnsi="Times New Roman" w:eastAsia="方正大标宋_GBK" w:cs="Times New Roman"/>
          <w:b/>
          <w:color w:val="FF0000"/>
          <w:w w:val="50"/>
          <w:sz w:val="130"/>
        </w:rPr>
        <w:t>重庆市北碚区卫生健康委员会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autoSpaceDN/>
        <w:bidi w:val="0"/>
        <w:adjustRightInd/>
        <w:snapToGrid/>
        <w:spacing w:line="1000" w:lineRule="exact"/>
        <w:ind w:firstLine="0" w:firstLine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rPr>
        <w:t>北碚卫健</w:t>
      </w:r>
      <w:r>
        <w:rPr>
          <w:rFonts w:hint="default" w:ascii="Times New Roman" w:hAnsi="Times New Roman" w:eastAsia="方正仿宋_GBK" w:cs="Times New Roman"/>
          <w:sz w:val="32"/>
          <w:lang w:val="en-US" w:eastAsia="zh-CN"/>
        </w:rPr>
        <w:t>发</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val="en-US" w:eastAsia="zh-CN"/>
        </w:rPr>
        <w:t>51</w:t>
      </w:r>
      <w:r>
        <w:rPr>
          <w:rFonts w:hint="default" w:ascii="Times New Roman" w:hAnsi="Times New Roman" w:eastAsia="方正仿宋_GBK" w:cs="Times New Roman"/>
          <w:sz w:val="32"/>
        </w:rPr>
        <w:t>号</w:t>
      </w:r>
      <w:r>
        <w:rPr>
          <w:rFonts w:hint="default" w:ascii="Times New Roman" w:hAnsi="Times New Roman" w:cs="Times New Roman"/>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633095</wp:posOffset>
                </wp:positionV>
                <wp:extent cx="5829300"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9.85pt;height:0.05pt;width:459pt;z-index:251658240;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4j56fUAAAABgEAAA8A&#10;AAAAAAAAAQAgAAAAIgAAAGRycy9kb3ducmV2LnhtbFBLAQIUABQAAAAIAIdO4kBV/P+74gEAAKUD&#10;AAAOAAAAAAAAAAEAIAAAACMBAABkcnMvZTJvRG9jLnhtbFBLBQYAAAAABgAGAFkBAAB3BQAAAAA=&#10;">
                <v:fill on="f" focussize="0,0"/>
                <v:stroke weight="1.25pt" color="#FF0000" joinstyle="round"/>
                <v:imagedata o:title=""/>
                <o:lock v:ext="edit" aspectratio="f"/>
              </v:line>
            </w:pict>
          </mc:Fallback>
        </mc:AlternateContent>
      </w:r>
    </w:p>
    <w:p>
      <w:pPr>
        <w:keepNext w:val="0"/>
        <w:keepLines w:val="0"/>
        <w:pageBreakBefore w:val="0"/>
        <w:widowControl w:val="0"/>
        <w:tabs>
          <w:tab w:val="left" w:pos="5004"/>
        </w:tabs>
        <w:kinsoku/>
        <w:wordWrap/>
        <w:overflowPunct/>
        <w:topLinePunct w:val="0"/>
        <w:autoSpaceDN/>
        <w:bidi w:val="0"/>
        <w:adjustRightInd/>
        <w:snapToGrid/>
        <w:spacing w:afterAutospacing="0" w:line="560" w:lineRule="exact"/>
        <w:ind w:left="0" w:leftChars="0" w:right="0" w:rightChars="0"/>
        <w:textAlignment w:val="auto"/>
        <w:outlineLvl w:val="9"/>
        <w:rPr>
          <w:rFonts w:hint="default" w:ascii="Times New Roman" w:hAnsi="Times New Roman" w:eastAsia="Times New Roman" w:cs="Times New Roman"/>
          <w:b w:val="0"/>
          <w:bCs w:val="0"/>
          <w:color w:val="000000" w:themeColor="text1"/>
          <w:spacing w:val="0"/>
          <w:w w:val="100"/>
          <w:sz w:val="32"/>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napToGrid/>
        <w:spacing w:line="560" w:lineRule="exact"/>
        <w:ind w:left="0" w:leftChars="0" w:right="0" w:firstLine="0" w:firstLineChars="0"/>
        <w:jc w:val="both"/>
        <w:textAlignment w:val="auto"/>
        <w:rPr>
          <w:rFonts w:hint="default" w:ascii="Times New Roman" w:hAnsi="Times New Roman" w:eastAsia="方正小标宋_GBK" w:cs="Times New Roman"/>
          <w:b w:val="0"/>
          <w:bCs w:val="0"/>
          <w:color w:val="000000" w:themeColor="text1"/>
          <w:spacing w:val="0"/>
          <w:sz w:val="44"/>
          <w:szCs w:val="44"/>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_GBK" w:cs="Times New Roman"/>
          <w:b w:val="0"/>
          <w:bCs w:val="0"/>
          <w:i w:val="0"/>
          <w:iCs w:val="0"/>
          <w:caps w:val="0"/>
          <w:color w:val="000000" w:themeColor="text1"/>
          <w:spacing w:val="0"/>
          <w:sz w:val="44"/>
          <w:szCs w:val="44"/>
          <w:shd w:val="clear" w:fill="FFFFFF"/>
          <w14:textFill>
            <w14:solidFill>
              <w14:schemeClr w14:val="tx1"/>
            </w14:solidFill>
          </w14:textFill>
        </w:rPr>
        <w:t>重庆市</w:t>
      </w:r>
      <w:r>
        <w:rPr>
          <w:rFonts w:hint="default" w:ascii="Times New Roman" w:hAnsi="Times New Roman" w:eastAsia="方正小标宋_GBK" w:cs="Times New Roman"/>
          <w:b w:val="0"/>
          <w:bCs w:val="0"/>
          <w:i w:val="0"/>
          <w:iCs w:val="0"/>
          <w:caps w:val="0"/>
          <w:color w:val="000000" w:themeColor="text1"/>
          <w:spacing w:val="0"/>
          <w:sz w:val="44"/>
          <w:szCs w:val="44"/>
          <w:shd w:val="clear" w:fill="FFFFFF"/>
          <w:lang w:eastAsia="zh-CN"/>
          <w14:textFill>
            <w14:solidFill>
              <w14:schemeClr w14:val="tx1"/>
            </w14:solidFill>
          </w14:textFill>
        </w:rPr>
        <w:t>北碚区</w:t>
      </w:r>
      <w:r>
        <w:rPr>
          <w:rFonts w:hint="default" w:ascii="Times New Roman" w:hAnsi="Times New Roman" w:eastAsia="方正小标宋_GBK" w:cs="Times New Roman"/>
          <w:b w:val="0"/>
          <w:bCs w:val="0"/>
          <w:i w:val="0"/>
          <w:iCs w:val="0"/>
          <w:caps w:val="0"/>
          <w:color w:val="000000" w:themeColor="text1"/>
          <w:spacing w:val="0"/>
          <w:sz w:val="44"/>
          <w:szCs w:val="44"/>
          <w:shd w:val="clear" w:fill="FFFFFF"/>
          <w14:textFill>
            <w14:solidFill>
              <w14:schemeClr w14:val="tx1"/>
            </w14:solidFill>
          </w14:textFill>
        </w:rPr>
        <w:t>卫生健康委员会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iCs w:val="0"/>
          <w:caps w:val="0"/>
          <w:color w:val="000000" w:themeColor="text1"/>
          <w:spacing w:val="0"/>
          <w:sz w:val="44"/>
          <w:szCs w:val="44"/>
          <w14:textFill>
            <w14:solidFill>
              <w14:schemeClr w14:val="tx1"/>
            </w14:solidFill>
          </w14:textFill>
        </w:rPr>
      </w:pPr>
      <w:bookmarkStart w:id="0" w:name="_GoBack"/>
      <w:r>
        <w:rPr>
          <w:rFonts w:hint="default" w:ascii="Times New Roman" w:hAnsi="Times New Roman" w:eastAsia="方正小标宋_GBK" w:cs="Times New Roman"/>
          <w:b w:val="0"/>
          <w:bCs w:val="0"/>
          <w:i w:val="0"/>
          <w:iCs w:val="0"/>
          <w:caps w:val="0"/>
          <w:color w:val="000000" w:themeColor="text1"/>
          <w:spacing w:val="0"/>
          <w:sz w:val="44"/>
          <w:szCs w:val="44"/>
          <w:shd w:val="clear" w:fill="FFFFFF"/>
          <w14:textFill>
            <w14:solidFill>
              <w14:schemeClr w14:val="tx1"/>
            </w14:solidFill>
          </w14:textFill>
        </w:rPr>
        <w:t>关于新冠病毒核酸检测实验室排查结果的公告</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根据重庆市卫生健康委《关于进一步强化新冠病毒核酸检测质量监管的通知》（委办（2022—65））要求，2022年6月1</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日-1</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日，区卫生健康委组织临床医学检验专家、卫生健康综合行政执法支队行政执法人员等对我区新冠病毒核酸检测实验室进行了集中现场排查。我区现有</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家核酸检测实验室，包括1家疾控中心</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家医疗机构实验室</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1家第三方</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核酸检测实验室，经排查均达到新冠病毒核酸检测实验室的相关要求。现将具体名单公告如下：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560" w:lineRule="exact"/>
        <w:ind w:left="0" w:right="0" w:firstLine="0"/>
        <w:jc w:val="both"/>
        <w:textAlignment w:val="auto"/>
        <w:rPr>
          <w:rStyle w:val="9"/>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560" w:lineRule="exact"/>
        <w:ind w:left="0" w:right="0" w:firstLine="0"/>
        <w:jc w:val="center"/>
        <w:textAlignment w:val="auto"/>
        <w:rPr>
          <w:rStyle w:val="9"/>
          <w:rFonts w:hint="eastAsia" w:ascii="方正黑体_GBK" w:hAnsi="方正黑体_GBK" w:eastAsia="方正黑体_GBK" w:cs="方正黑体_GBK"/>
          <w:b w:val="0"/>
          <w:bCs w:val="0"/>
          <w:i w:val="0"/>
          <w:iCs w:val="0"/>
          <w:caps w:val="0"/>
          <w:color w:val="000000" w:themeColor="text1"/>
          <w:spacing w:val="0"/>
          <w:sz w:val="32"/>
          <w:szCs w:val="32"/>
          <w:shd w:val="clear" w:fill="FFFFFF"/>
          <w14:textFill>
            <w14:solidFill>
              <w14:schemeClr w14:val="tx1"/>
            </w14:solidFill>
          </w14:textFill>
        </w:rPr>
      </w:pPr>
      <w:r>
        <w:rPr>
          <w:rStyle w:val="9"/>
          <w:rFonts w:hint="eastAsia" w:ascii="方正黑体_GBK" w:hAnsi="方正黑体_GBK" w:eastAsia="方正黑体_GBK" w:cs="方正黑体_GBK"/>
          <w:b w:val="0"/>
          <w:bCs w:val="0"/>
          <w:i w:val="0"/>
          <w:iCs w:val="0"/>
          <w:caps w:val="0"/>
          <w:color w:val="000000" w:themeColor="text1"/>
          <w:spacing w:val="0"/>
          <w:sz w:val="32"/>
          <w:szCs w:val="32"/>
          <w:shd w:val="clear" w:fill="FFFFFF"/>
          <w:lang w:eastAsia="zh-CN"/>
          <w14:textFill>
            <w14:solidFill>
              <w14:schemeClr w14:val="tx1"/>
            </w14:solidFill>
          </w14:textFill>
        </w:rPr>
        <w:t>北碚</w:t>
      </w:r>
      <w:r>
        <w:rPr>
          <w:rStyle w:val="9"/>
          <w:rFonts w:hint="eastAsia" w:ascii="方正黑体_GBK" w:hAnsi="方正黑体_GBK" w:eastAsia="方正黑体_GBK" w:cs="方正黑体_GBK"/>
          <w:b w:val="0"/>
          <w:bCs w:val="0"/>
          <w:i w:val="0"/>
          <w:iCs w:val="0"/>
          <w:caps w:val="0"/>
          <w:color w:val="000000" w:themeColor="text1"/>
          <w:spacing w:val="0"/>
          <w:sz w:val="32"/>
          <w:szCs w:val="32"/>
          <w:shd w:val="clear" w:fill="FFFFFF"/>
          <w14:textFill>
            <w14:solidFill>
              <w14:schemeClr w14:val="tx1"/>
            </w14:solidFill>
          </w14:textFill>
        </w:rPr>
        <w:t>区新冠病毒核酸检测实验室合格名单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560" w:lineRule="exact"/>
        <w:ind w:left="0" w:right="0" w:firstLine="0"/>
        <w:jc w:val="center"/>
        <w:textAlignment w:val="auto"/>
        <w:rPr>
          <w:rStyle w:val="9"/>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p>
    <w:tbl>
      <w:tblPr>
        <w:tblStyle w:val="12"/>
        <w:tblW w:w="9512"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4994"/>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pacing w:val="0"/>
                <w:sz w:val="32"/>
                <w:szCs w:val="32"/>
                <w14:textFill>
                  <w14:solidFill>
                    <w14:schemeClr w14:val="tx1"/>
                  </w14:solidFill>
                </w14:textFill>
              </w:rPr>
              <w:t>序号</w:t>
            </w:r>
          </w:p>
        </w:tc>
        <w:tc>
          <w:tcPr>
            <w:tcW w:w="4994" w:type="dxa"/>
            <w:tcBorders>
              <w:top w:val="single" w:color="auto" w:sz="6" w:space="0"/>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pacing w:val="0"/>
                <w:sz w:val="32"/>
                <w:szCs w:val="32"/>
                <w14:textFill>
                  <w14:solidFill>
                    <w14:schemeClr w14:val="tx1"/>
                  </w14:solidFill>
                </w14:textFill>
              </w:rPr>
              <w:t>实验室名称</w:t>
            </w:r>
          </w:p>
        </w:tc>
        <w:tc>
          <w:tcPr>
            <w:tcW w:w="3452" w:type="dxa"/>
            <w:tcBorders>
              <w:top w:val="single" w:color="auto" w:sz="6" w:space="0"/>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pacing w:val="0"/>
                <w:sz w:val="32"/>
                <w:szCs w:val="32"/>
                <w:lang w:eastAsia="zh-CN"/>
                <w14:textFill>
                  <w14:solidFill>
                    <w14:schemeClr w14:val="tx1"/>
                  </w14:solidFill>
                </w14:textFill>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1</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重庆市第九人民医院</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2</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重庆市北碚区中医院</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3</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重庆市北碚区疾病预防控制中心</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4</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西南大学医院</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5</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重庆能投健康产业有限公司天府医院</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nil"/>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6</w:t>
            </w:r>
          </w:p>
        </w:tc>
        <w:tc>
          <w:tcPr>
            <w:tcW w:w="4994"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重庆浦洛通医学检验实验室</w:t>
            </w:r>
          </w:p>
        </w:tc>
        <w:tc>
          <w:tcPr>
            <w:tcW w:w="3452" w:type="dxa"/>
            <w:tcBorders>
              <w:top w:val="nil"/>
              <w:left w:val="nil"/>
              <w:bottom w:val="single" w:color="auto" w:sz="6" w:space="0"/>
              <w:right w:val="single" w:color="auto" w:sz="6" w:space="0"/>
            </w:tcBorders>
            <w:shd w:val="clear" w:color="auto" w:fill="FFFFFF"/>
            <w:tcMar>
              <w:top w:w="75" w:type="dxa"/>
              <w:left w:w="75" w:type="dxa"/>
              <w:bottom w:w="75" w:type="dxa"/>
              <w:right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合格</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napToGrid/>
        <w:spacing w:before="0" w:beforeAutospacing="0" w:after="0" w:afterAutospacing="0" w:line="560" w:lineRule="exact"/>
        <w:ind w:left="0" w:right="0" w:firstLine="0"/>
        <w:jc w:val="center"/>
        <w:textAlignment w:val="auto"/>
        <w:rPr>
          <w:rStyle w:val="9"/>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微软雅黑"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重庆市</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北碚区</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卫生健康委员会  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2022年6月20日 </w:t>
      </w:r>
    </w:p>
    <w:p>
      <w:pPr>
        <w:pStyle w:val="3"/>
        <w:ind w:firstLine="560"/>
        <w:rPr>
          <w:rFonts w:hint="default" w:ascii="Times New Roman" w:hAnsi="Times New Roman" w:eastAsia="方正仿宋_GBK" w:cs="Times New Roman"/>
          <w:bCs/>
          <w:color w:val="000000"/>
          <w:sz w:val="28"/>
        </w:rPr>
      </w:pPr>
    </w:p>
    <w:p>
      <w:pPr>
        <w:pStyle w:val="3"/>
        <w:ind w:firstLine="560"/>
        <w:rPr>
          <w:rFonts w:hint="default" w:ascii="Times New Roman" w:hAnsi="Times New Roman" w:eastAsia="方正仿宋_GBK" w:cs="Times New Roman"/>
          <w:bCs/>
          <w:color w:val="000000"/>
          <w:sz w:val="28"/>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方正仿宋_GBK" w:cs="Times New Roman"/>
          <w:bCs/>
          <w:color w:val="000000"/>
          <w:sz w:val="28"/>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default" w:ascii="Times New Roman" w:hAnsi="Times New Roman" w:eastAsia="方正仿宋_GBK" w:cs="Times New Roman"/>
          <w:bCs/>
          <w:color w:val="000000"/>
          <w:sz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bidi="ar-SA"/>
        </w:rPr>
      </w:pPr>
    </w:p>
    <w:p>
      <w:pPr>
        <w:pBdr>
          <w:top w:val="single" w:color="auto" w:sz="4" w:space="1"/>
          <w:bottom w:val="single" w:color="auto" w:sz="8" w:space="1"/>
        </w:pBdr>
        <w:tabs>
          <w:tab w:val="center" w:pos="4153"/>
          <w:tab w:val="right" w:pos="8306"/>
        </w:tabs>
        <w:spacing w:line="560" w:lineRule="exact"/>
        <w:ind w:firstLine="280" w:firstLineChars="100"/>
      </w:pPr>
      <w:r>
        <w:rPr>
          <w:rFonts w:hint="default" w:ascii="Times New Roman" w:hAnsi="Times New Roman" w:eastAsia="方正仿宋_GBK" w:cs="Times New Roman"/>
          <w:sz w:val="28"/>
          <w:szCs w:val="28"/>
        </w:rPr>
        <w:t>重庆市北碚区卫生健康委员会办公室          2022年6月</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 xml:space="preserve">日印发 </w:t>
      </w:r>
    </w:p>
    <w:sectPr>
      <w:footerReference r:id="rId3" w:type="default"/>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p>
                    <w:pPr>
                      <w:pStyle w:val="4"/>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YmY2YTQ4MWU2NDE5NDgzZmVlM2YzNGU5YTViYTAifQ=="/>
  </w:docVars>
  <w:rsids>
    <w:rsidRoot w:val="1D036BD8"/>
    <w:rsid w:val="1D036BD8"/>
    <w:rsid w:val="27DD4112"/>
    <w:rsid w:val="699E6621"/>
    <w:rsid w:val="78890305"/>
    <w:rsid w:val="7F73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uiPriority w:val="0"/>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区卫计委</Company>
  <Pages>2</Pages>
  <Words>428</Words>
  <Characters>449</Characters>
  <Lines>0</Lines>
  <Paragraphs>0</Paragraphs>
  <TotalTime>1</TotalTime>
  <ScaleCrop>false</ScaleCrop>
  <LinksUpToDate>false</LinksUpToDate>
  <CharactersWithSpaces>517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2022-06-21T00:30:00Z</dcterms:created>
  <dc:creator>贺信</dc:creator>
  <cp:lastModifiedBy>Administrator</cp:lastModifiedBy>
  <cp:lastPrinted>2022-06-21T01:06:00Z</cp:lastPrinted>
  <dcterms:modified xsi:type="dcterms:W3CDTF">2022-06-21T07:58:19Z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FCC023C1B8D448C49139410FFC96A6CE</vt:lpwstr>
  </property>
</Properties>
</file>